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空气波压力治疗仪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center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共两台，总预算3.9万元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  <w:r>
        <w:rPr>
          <w:rFonts w:hint="eastAsia"/>
          <w:sz w:val="28"/>
          <w:szCs w:val="28"/>
          <w:lang w:val="en-US" w:eastAsia="zh-CN"/>
        </w:rPr>
        <w:t>至少保修一年，省内有维修点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技术参数：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1、台式机型,可同时使用两个四腔气囊。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2、4.3寸彩色触摸屏加旋转编码器操作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，操作简便。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3、时间设定功能时间范围为0～60分钟，步长1min。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4、充气模式：八种基础充气模式，可任意组合治疗。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5、治疗仪压力范围：5～25kPa可调。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6、极限压强≤40kPa，且超过2kPa的持续时间应不大于3min。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7、过压保护：治疗仪应具有过压保护措施。 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8、手动释压器：治疗仪应提供在各种状态下手动解除患者压强的措施。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9、连接：连接管路应有防止接错的装置或标识。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10、工作噪声：治疗仪正常工作时的噪声应不大于70dB。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11、产品取得计算机软件著作权。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ED2B6F"/>
    <w:rsid w:val="14ED2B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2020-06-05T02:02:00Z</dcterms:created>
  <dc:creator>Administrator</dc:creator>
  <cp:lastModifiedBy>Administrator</cp:lastModifiedBy>
  <dcterms:modified xsi:type="dcterms:W3CDTF">2020-06-05T02:03:11Z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