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rPr>
          <w:rFonts w:hint="eastAsia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评审标准</w:t>
      </w:r>
    </w:p>
    <w:p>
      <w:pPr>
        <w:pStyle w:val="5"/>
        <w:ind w:left="0" w:leftChars="0" w:firstLine="0" w:firstLineChars="0"/>
        <w:rPr>
          <w:rFonts w:hint="eastAsia"/>
        </w:rPr>
      </w:pPr>
    </w:p>
    <w:p>
      <w:pPr>
        <w:ind w:firstLine="48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由娄底市中心医院相关科室组成评审小组，对投标人的资质和打分情况进行审核，得分最高的为中标单位，在同等条件下，优先考虑原有合作方。</w:t>
      </w:r>
    </w:p>
    <w:tbl>
      <w:tblPr>
        <w:tblStyle w:val="3"/>
        <w:tblpPr w:leftFromText="180" w:rightFromText="180" w:vertAnchor="text" w:horzAnchor="page" w:tblpX="1420" w:tblpY="396"/>
        <w:tblOverlap w:val="never"/>
        <w:tblW w:w="9498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277"/>
        <w:gridCol w:w="1559"/>
        <w:gridCol w:w="761"/>
        <w:gridCol w:w="5193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left="628" w:leftChars="1" w:hanging="626" w:hangingChars="297"/>
              <w:jc w:val="center"/>
              <w:rPr>
                <w:rFonts w:hint="eastAsia"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序号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left="628" w:leftChars="1" w:hanging="626" w:hangingChars="297"/>
              <w:jc w:val="center"/>
              <w:rPr>
                <w:rFonts w:hint="eastAsia" w:ascii="宋体" w:hAnsi="宋体" w:eastAsia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  <w:t>分值</w:t>
            </w:r>
          </w:p>
        </w:tc>
        <w:tc>
          <w:tcPr>
            <w:tcW w:w="751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left="628" w:leftChars="1" w:hanging="626" w:hangingChars="297"/>
              <w:jc w:val="center"/>
              <w:rPr>
                <w:rFonts w:hint="eastAsia"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评分标准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0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77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100分</w:t>
            </w:r>
          </w:p>
        </w:tc>
        <w:tc>
          <w:tcPr>
            <w:tcW w:w="155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类似业绩</w:t>
            </w:r>
          </w:p>
        </w:tc>
        <w:tc>
          <w:tcPr>
            <w:tcW w:w="761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20</w:t>
            </w:r>
          </w:p>
        </w:tc>
        <w:tc>
          <w:tcPr>
            <w:tcW w:w="5193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eastAsia="zh-CN"/>
              </w:rPr>
              <w:t>投标人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提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供近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年内（20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20年10月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-20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22年10月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）类似业绩合同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每项计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分，最多计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项工程。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highlight w:val="none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highlight w:val="none"/>
                <w:lang w:eastAsia="zh-CN"/>
              </w:rPr>
              <w:t>原件备查、否则不计分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highlight w:val="none"/>
              </w:rPr>
              <w:t>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7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安全</w:t>
            </w:r>
            <w:r>
              <w:rPr>
                <w:rFonts w:hint="eastAsia"/>
                <w:color w:val="auto"/>
              </w:rPr>
              <w:t>认</w:t>
            </w:r>
            <w:r>
              <w:rPr>
                <w:rFonts w:hint="eastAsia" w:ascii="宋体" w:hAnsi="宋体" w:cs="宋体"/>
                <w:color w:val="000000"/>
                <w:highlight w:val="none"/>
              </w:rPr>
              <w:t>证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20</w:t>
            </w:r>
          </w:p>
        </w:tc>
        <w:tc>
          <w:tcPr>
            <w:tcW w:w="5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投标人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获得市级及以上安全质量标准化认证，优秀的计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分，合格的计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分，没有不计分。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>（提供证明文件并加盖单位公章，否则不予计分）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7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投标人服务能力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投标人履约效率10</w:t>
            </w:r>
          </w:p>
        </w:tc>
        <w:tc>
          <w:tcPr>
            <w:tcW w:w="519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为保证服务效率，投标人在娄底范围内有固定办公场所的，计10分。（投标人提供营业执照复印件，投标人属不在娄底范围内市场监督管理局登记注册的，须提供其经娄底市（或娄星区）市场监督管理局登记注册分公司的有效营业执照复印件，并具备有固定办公场所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70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</w:pPr>
          </w:p>
        </w:tc>
        <w:tc>
          <w:tcPr>
            <w:tcW w:w="1277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</w:pPr>
          </w:p>
        </w:tc>
        <w:tc>
          <w:tcPr>
            <w:tcW w:w="155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售后服务10</w:t>
            </w:r>
          </w:p>
        </w:tc>
        <w:tc>
          <w:tcPr>
            <w:tcW w:w="519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根据各供应商提供详细完整的本地化售后服务方案（对故障的响应、 售后维保人员、售后服务热线、售后服务机构、备品备件情况）进行横向比对，优秀的计10分，良好的计5分，合格的计3分，差的计1分，未提供的不计分。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7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人员履约能力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20</w:t>
            </w:r>
          </w:p>
        </w:tc>
        <w:tc>
          <w:tcPr>
            <w:tcW w:w="519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投标人维保项目负责人具备注册消防工程师、机电工程注册建造师、机电工程相关专业工程师的加</w:t>
            </w:r>
            <w:r>
              <w:rPr>
                <w:rFonts w:hint="eastAsia" w:eastAsia="宋体"/>
                <w:color w:val="auto"/>
                <w:lang w:val="en-US" w:eastAsia="zh-CN"/>
              </w:rPr>
              <w:t>10分，</w:t>
            </w:r>
            <w:r>
              <w:rPr>
                <w:rFonts w:hint="eastAsia" w:eastAsia="宋体"/>
                <w:color w:val="auto"/>
                <w:lang w:eastAsia="zh-CN"/>
              </w:rPr>
              <w:t>投标人维保技术负责人具备注册消防工程师、机电工程注册建造师、机电工程相关专业工程师的加</w:t>
            </w:r>
            <w:r>
              <w:rPr>
                <w:rFonts w:hint="eastAsia" w:eastAsia="宋体"/>
                <w:color w:val="auto"/>
                <w:lang w:val="en-US" w:eastAsia="zh-CN"/>
              </w:rPr>
              <w:t>5分，维保操作员具备高级消防操作员证的加5分。（投标文件中附相关证件及本单位社保证明）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7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投标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报价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F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subscript"/>
                <w:lang w:eastAsia="zh-CN"/>
              </w:rPr>
              <w:t>投标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subscript"/>
              </w:rPr>
              <w:t>报价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＝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0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）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20</w:t>
            </w:r>
          </w:p>
        </w:tc>
        <w:tc>
          <w:tcPr>
            <w:tcW w:w="519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满足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招标公告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要求且经评标委员会认定报价最低的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投标人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的价格为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投标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基准价，其价格分为满分。其他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投标人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的价格分统一按照下列公式计算：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投标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报价得分=（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投标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基准价/最后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投标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报价）×价格权值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项目评审过程中，不得去掉最后报价中的最高报价和最低报价。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</w:p>
    <w:p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维护保养范围：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娄底市中心医院全院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787" w:firstLineChars="328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内容：1、消防供配电设施；2、火灾自动报警系统；3、消防供水设施；4、消火栓系统；5、自动喷水灭火系统；6、气体灭火系统；7、防排烟系统；8、普维护保养通应急照明和疏散指示标志；9、应急广播系统；10、消防专用电话；11、防火分隔设施；12、智能疏散系统； 13、电气火灾监控系统；14、室外消火栓系统。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64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相关要求：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1.维护保养期限：1年；试用期三个月，如在试用期内，中标人不能按招标要求及合同约定履行维护、保养和维修等义务，采购人有权另行依法选定其他单位和单方解除合同；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2.维护保养期限内对全院自动消防设备设施进行1次全面维护保养，且由具有相应资质的检验检测机构出具检测报告；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420" w:right="0" w:firstLine="2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3.至少指定3名以上专业维护人员24小时值班，随叫随到。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420" w:right="0" w:firstLine="2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4.定期巡查，每星期对养护范围内的自动消防设备设施至少巡查一遍，具体以合同为准，且要做好的书面巡查、养护记录，供采购人随时抽查。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5.维护保养期限内，维护保养范围内的维护、保养、维修，采购人不再支付任何人工费用，如需更换设备、材料的，需提供详细数据且产品规格参数符合国家相关规定,并经采购人确认。</w:t>
      </w:r>
    </w:p>
    <w:p>
      <w:pPr>
        <w:pStyle w:val="2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mODRhMGJkZjg0NGIyZDNkOTRkNTBmMmY5ZTU4MTkifQ=="/>
  </w:docVars>
  <w:rsids>
    <w:rsidRoot w:val="62DE6C04"/>
    <w:rsid w:val="2B4D4EE2"/>
    <w:rsid w:val="62DE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360" w:lineRule="auto"/>
      <w:outlineLvl w:val="1"/>
    </w:pPr>
    <w:rPr>
      <w:rFonts w:ascii="Arial" w:hAnsi="Arial"/>
      <w:b/>
      <w:bCs/>
      <w:sz w:val="24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格式"/>
    <w:basedOn w:val="1"/>
    <w:qFormat/>
    <w:uiPriority w:val="0"/>
    <w:pPr>
      <w:widowControl/>
      <w:adjustRightInd w:val="0"/>
      <w:snapToGrid w:val="0"/>
      <w:spacing w:line="400" w:lineRule="atLeast"/>
      <w:ind w:firstLine="482"/>
      <w:textAlignment w:val="baseline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2022-12-07T09:17:00Z</dcterms:created>
  <dc:creator>sisi</dc:creator>
  <cp:lastModifiedBy>sisi</cp:lastModifiedBy>
  <dcterms:modified xsi:type="dcterms:W3CDTF">2022-12-07T09:18:01Z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690A3200FFBE484B8B24443765876997</vt:lpwstr>
  </property>
</Properties>
</file>