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宋体" w:hAnsi="宋体"/>
          <w:color w:val="000000" w:themeColor="text1"/>
          <w:sz w:val="44"/>
          <w:szCs w:val="44"/>
          <w14:textFill>
            <w14:solidFill>
              <w14:schemeClr w14:val="tx1"/>
            </w14:solidFill>
          </w14:textFill>
        </w:rPr>
      </w:pPr>
      <w:bookmarkStart w:id="0" w:name="_Toc221501183"/>
      <w:bookmarkStart w:id="1" w:name="_Toc160416653"/>
      <w:bookmarkStart w:id="2" w:name="_Toc14706856"/>
      <w:bookmarkStart w:id="3" w:name="_Toc14705436"/>
      <w:bookmarkStart w:id="4" w:name="_Toc64727756"/>
      <w:bookmarkStart w:id="5" w:name="_Toc159906747"/>
      <w:bookmarkStart w:id="6" w:name="_Toc159906217"/>
      <w:r>
        <w:rPr>
          <w:rFonts w:hint="eastAsia" w:ascii="宋体" w:hAnsi="宋体"/>
          <w:color w:val="000000" w:themeColor="text1"/>
          <w:sz w:val="44"/>
          <w:szCs w:val="44"/>
          <w14:textFill>
            <w14:solidFill>
              <w14:schemeClr w14:val="tx1"/>
            </w14:solidFill>
          </w14:textFill>
        </w:rPr>
        <w:t>技术</w:t>
      </w:r>
      <w:r>
        <w:rPr>
          <w:rFonts w:ascii="宋体" w:hAnsi="宋体"/>
          <w:color w:val="000000" w:themeColor="text1"/>
          <w:sz w:val="44"/>
          <w:szCs w:val="44"/>
          <w14:textFill>
            <w14:solidFill>
              <w14:schemeClr w14:val="tx1"/>
            </w14:solidFill>
          </w14:textFill>
        </w:rPr>
        <w:t>要求</w:t>
      </w:r>
    </w:p>
    <w:bookmarkEnd w:id="0"/>
    <w:p>
      <w:pPr>
        <w:keepNext/>
        <w:keepLines/>
        <w:numPr>
          <w:ilvl w:val="0"/>
          <w:numId w:val="5"/>
        </w:numPr>
        <w:spacing w:line="360" w:lineRule="auto"/>
        <w:outlineLvl w:val="0"/>
        <w:rPr>
          <w:rFonts w:ascii="宋体" w:hAnsi="宋体" w:cs="宋体"/>
          <w:b/>
          <w:kern w:val="44"/>
          <w:sz w:val="24"/>
          <w:szCs w:val="24"/>
        </w:rPr>
      </w:pPr>
      <w:bookmarkStart w:id="7" w:name="_Toc214706651"/>
      <w:bookmarkStart w:id="8" w:name="_Toc389229402"/>
      <w:bookmarkStart w:id="9" w:name="_Toc525828140"/>
      <w:bookmarkStart w:id="10" w:name="_Toc12560"/>
      <w:bookmarkStart w:id="11" w:name="_Toc525828196"/>
      <w:bookmarkStart w:id="12" w:name="_Toc13839"/>
      <w:bookmarkStart w:id="13" w:name="_Toc24337"/>
      <w:bookmarkStart w:id="14" w:name="_Toc525828171"/>
      <w:r>
        <w:rPr>
          <w:rFonts w:hint="eastAsia" w:ascii="宋体" w:hAnsi="宋体" w:cs="宋体"/>
          <w:b/>
          <w:kern w:val="44"/>
          <w:sz w:val="24"/>
          <w:szCs w:val="24"/>
        </w:rPr>
        <w:t>项目背景</w:t>
      </w:r>
    </w:p>
    <w:bookmarkEnd w:id="7"/>
    <w:p>
      <w:pPr>
        <w:numPr>
          <w:ilvl w:val="255"/>
          <w:numId w:val="0"/>
        </w:numPr>
        <w:spacing w:line="360" w:lineRule="auto"/>
        <w:ind w:firstLine="420" w:firstLineChars="200"/>
        <w:rPr>
          <w:rFonts w:ascii="宋体" w:hAnsi="宋体" w:cs="宋体"/>
          <w:szCs w:val="21"/>
        </w:rPr>
      </w:pPr>
      <w:r>
        <w:rPr>
          <w:rFonts w:hint="eastAsia" w:ascii="宋体" w:hAnsi="宋体" w:cs="宋体"/>
          <w:szCs w:val="21"/>
        </w:rPr>
        <w:t>随着我国老龄化时代的到来，医疗保险短期收支平衡和长期收支平衡难以保持。按病种分值（D</w:t>
      </w:r>
      <w:r>
        <w:rPr>
          <w:rFonts w:ascii="宋体" w:hAnsi="宋体" w:cs="宋体"/>
          <w:szCs w:val="21"/>
        </w:rPr>
        <w:t>IP</w:t>
      </w:r>
      <w:r>
        <w:rPr>
          <w:rFonts w:hint="eastAsia" w:ascii="宋体" w:hAnsi="宋体" w:cs="宋体"/>
          <w:szCs w:val="21"/>
        </w:rPr>
        <w:t>）支付是目前国内诸多医院单位引入的的医保支付方式。根据国家和我省医保支付方式改革要求，全面推行住院医疗服务</w:t>
      </w:r>
      <w:r>
        <w:rPr>
          <w:rFonts w:ascii="宋体" w:hAnsi="宋体" w:cs="宋体"/>
          <w:szCs w:val="21"/>
        </w:rPr>
        <w:t>DIP</w:t>
      </w:r>
      <w:r>
        <w:rPr>
          <w:rFonts w:hint="eastAsia" w:ascii="宋体" w:hAnsi="宋体" w:cs="宋体"/>
          <w:szCs w:val="21"/>
        </w:rPr>
        <w:t>支付具有很强的必要性和可行性。</w:t>
      </w:r>
    </w:p>
    <w:p>
      <w:pPr>
        <w:numPr>
          <w:ilvl w:val="255"/>
          <w:numId w:val="0"/>
        </w:numPr>
        <w:spacing w:line="360" w:lineRule="auto"/>
        <w:ind w:firstLine="420" w:firstLineChars="200"/>
        <w:rPr>
          <w:rFonts w:ascii="宋体" w:hAnsi="宋体" w:cs="宋体"/>
          <w:szCs w:val="21"/>
        </w:rPr>
      </w:pPr>
      <w:r>
        <w:rPr>
          <w:rFonts w:ascii="宋体" w:hAnsi="宋体" w:cs="宋体"/>
          <w:szCs w:val="21"/>
        </w:rPr>
        <w:t>DIP</w:t>
      </w:r>
      <w:r>
        <w:rPr>
          <w:rFonts w:hint="eastAsia" w:ascii="宋体" w:hAnsi="宋体" w:cs="宋体"/>
          <w:szCs w:val="21"/>
        </w:rPr>
        <w:t>作为一种病种组合分类方案，是实现病种“标准化”的有效工具，是用于衡量医疗服务质量效率以及进行医保支付的一个重要工具。在</w:t>
      </w:r>
      <w:r>
        <w:rPr>
          <w:rFonts w:ascii="宋体" w:hAnsi="宋体" w:cs="宋体"/>
          <w:szCs w:val="21"/>
        </w:rPr>
        <w:t>DIP</w:t>
      </w:r>
      <w:r>
        <w:rPr>
          <w:rFonts w:hint="eastAsia" w:ascii="宋体" w:hAnsi="宋体" w:cs="宋体"/>
          <w:szCs w:val="21"/>
        </w:rPr>
        <w:t>支付机制下，医院运营压力空前增加，导致医院管理需实现科学化和精益化管理的进一步转型。在实现科学化和精益化转型的过程中，很重要的一点就是要应用管理工具来进行医疗数据处理、动态分析和趋势研究。</w:t>
      </w:r>
    </w:p>
    <w:p>
      <w:pPr>
        <w:keepNext/>
        <w:keepLines/>
        <w:numPr>
          <w:ilvl w:val="0"/>
          <w:numId w:val="5"/>
        </w:numPr>
        <w:spacing w:line="360" w:lineRule="auto"/>
        <w:outlineLvl w:val="0"/>
        <w:rPr>
          <w:rFonts w:ascii="宋体" w:hAnsi="宋体" w:cs="宋体"/>
          <w:b/>
          <w:kern w:val="44"/>
          <w:sz w:val="24"/>
          <w:szCs w:val="24"/>
        </w:rPr>
      </w:pPr>
      <w:r>
        <w:rPr>
          <w:rFonts w:hint="eastAsia" w:ascii="宋体" w:hAnsi="宋体" w:cs="宋体"/>
          <w:b/>
          <w:kern w:val="44"/>
          <w:sz w:val="24"/>
          <w:szCs w:val="24"/>
        </w:rPr>
        <w:t>建设内容</w:t>
      </w:r>
    </w:p>
    <w:p>
      <w:pPr>
        <w:numPr>
          <w:ilvl w:val="255"/>
          <w:numId w:val="0"/>
        </w:numPr>
        <w:spacing w:line="360" w:lineRule="auto"/>
        <w:ind w:firstLine="420" w:firstLineChars="200"/>
        <w:rPr>
          <w:rFonts w:ascii="宋体" w:hAnsi="宋体" w:cs="宋体"/>
          <w:szCs w:val="21"/>
        </w:rPr>
      </w:pPr>
      <w:r>
        <w:rPr>
          <w:rFonts w:hint="eastAsia" w:ascii="宋体" w:hAnsi="宋体" w:cs="宋体"/>
          <w:szCs w:val="21"/>
        </w:rPr>
        <w:t>本次招标内容包括系统软件的开发、安装、技术支持、运行维护、项目验收、培训及售后服务等。</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3274"/>
        <w:gridCol w:w="1134"/>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3274" w:type="dxa"/>
            <w:vAlign w:val="center"/>
          </w:tcPr>
          <w:p>
            <w:pPr>
              <w:spacing w:line="360" w:lineRule="auto"/>
              <w:jc w:val="center"/>
              <w:rPr>
                <w:rFonts w:ascii="宋体" w:hAnsi="宋体" w:cs="宋体"/>
                <w:szCs w:val="21"/>
              </w:rPr>
            </w:pPr>
            <w:r>
              <w:rPr>
                <w:rFonts w:hint="eastAsia" w:ascii="宋体" w:hAnsi="宋体" w:cs="宋体"/>
                <w:szCs w:val="21"/>
              </w:rPr>
              <w:t>货物名称</w:t>
            </w:r>
          </w:p>
        </w:tc>
        <w:tc>
          <w:tcPr>
            <w:tcW w:w="1134" w:type="dxa"/>
            <w:vAlign w:val="center"/>
          </w:tcPr>
          <w:p>
            <w:pPr>
              <w:spacing w:line="360" w:lineRule="auto"/>
              <w:jc w:val="center"/>
              <w:rPr>
                <w:rFonts w:ascii="宋体" w:hAnsi="宋体" w:cs="宋体"/>
                <w:szCs w:val="21"/>
              </w:rPr>
            </w:pPr>
            <w:r>
              <w:rPr>
                <w:rFonts w:hint="eastAsia" w:ascii="宋体" w:hAnsi="宋体" w:cs="宋体"/>
                <w:szCs w:val="21"/>
              </w:rPr>
              <w:t>数量</w:t>
            </w:r>
          </w:p>
        </w:tc>
        <w:tc>
          <w:tcPr>
            <w:tcW w:w="3282" w:type="dxa"/>
            <w:vAlign w:val="center"/>
          </w:tcPr>
          <w:p>
            <w:pPr>
              <w:spacing w:line="360" w:lineRule="auto"/>
              <w:jc w:val="center"/>
              <w:rPr>
                <w:rFonts w:ascii="宋体" w:hAnsi="宋体" w:cs="宋体"/>
                <w:szCs w:val="21"/>
              </w:rPr>
            </w:pPr>
            <w:r>
              <w:rPr>
                <w:rFonts w:hint="eastAsia" w:ascii="宋体" w:hAnsi="宋体" w:cs="宋体"/>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spacing w:line="360" w:lineRule="auto"/>
              <w:jc w:val="center"/>
              <w:rPr>
                <w:rFonts w:ascii="宋体" w:hAnsi="宋体" w:cs="宋体"/>
                <w:szCs w:val="21"/>
              </w:rPr>
            </w:pPr>
            <w:r>
              <w:rPr>
                <w:rFonts w:hint="eastAsia" w:ascii="宋体" w:hAnsi="宋体" w:cs="宋体"/>
                <w:szCs w:val="21"/>
              </w:rPr>
              <w:t>1</w:t>
            </w:r>
          </w:p>
        </w:tc>
        <w:tc>
          <w:tcPr>
            <w:tcW w:w="3274" w:type="dxa"/>
            <w:vAlign w:val="center"/>
          </w:tcPr>
          <w:p>
            <w:pPr>
              <w:spacing w:line="360" w:lineRule="auto"/>
              <w:rPr>
                <w:rFonts w:ascii="宋体" w:hAnsi="宋体" w:cs="宋体"/>
                <w:szCs w:val="21"/>
              </w:rPr>
            </w:pPr>
            <w:r>
              <w:rPr>
                <w:rFonts w:hint="eastAsia" w:ascii="宋体" w:hAnsi="宋体" w:cs="仿宋"/>
                <w:szCs w:val="21"/>
              </w:rPr>
              <w:t>DIP精细化运营管理系统</w:t>
            </w:r>
            <w:bookmarkStart w:id="20" w:name="_GoBack"/>
            <w:bookmarkEnd w:id="20"/>
          </w:p>
        </w:tc>
        <w:tc>
          <w:tcPr>
            <w:tcW w:w="1134" w:type="dxa"/>
            <w:vAlign w:val="center"/>
          </w:tcPr>
          <w:p>
            <w:pPr>
              <w:spacing w:line="360" w:lineRule="auto"/>
              <w:jc w:val="center"/>
              <w:rPr>
                <w:rFonts w:ascii="宋体" w:hAnsi="宋体" w:cs="宋体"/>
                <w:szCs w:val="21"/>
              </w:rPr>
            </w:pPr>
            <w:r>
              <w:rPr>
                <w:rFonts w:hint="eastAsia" w:ascii="宋体" w:hAnsi="宋体" w:cs="宋体"/>
                <w:szCs w:val="21"/>
              </w:rPr>
              <w:t>1套</w:t>
            </w:r>
          </w:p>
        </w:tc>
        <w:tc>
          <w:tcPr>
            <w:tcW w:w="3282" w:type="dxa"/>
            <w:vAlign w:val="center"/>
          </w:tcPr>
          <w:p>
            <w:pPr>
              <w:spacing w:line="360" w:lineRule="auto"/>
              <w:rPr>
                <w:rFonts w:ascii="宋体" w:hAnsi="宋体" w:cs="宋体"/>
                <w:szCs w:val="21"/>
              </w:rPr>
            </w:pPr>
            <w:r>
              <w:rPr>
                <w:rFonts w:hint="eastAsia" w:ascii="宋体" w:hAnsi="宋体" w:cs="宋体"/>
                <w:szCs w:val="21"/>
              </w:rPr>
              <w:t>合同签订之日</w:t>
            </w:r>
            <w:r>
              <w:rPr>
                <w:rFonts w:hint="eastAsia" w:ascii="宋体" w:hAnsi="宋体" w:cs="宋体"/>
                <w:color w:val="000000" w:themeColor="text1"/>
                <w:szCs w:val="21"/>
                <w14:textFill>
                  <w14:solidFill>
                    <w14:schemeClr w14:val="tx1"/>
                  </w14:solidFill>
                </w14:textFill>
              </w:rPr>
              <w:t>起45天内到</w:t>
            </w:r>
            <w:r>
              <w:rPr>
                <w:rFonts w:hint="eastAsia" w:ascii="宋体" w:hAnsi="宋体" w:cs="宋体"/>
                <w:szCs w:val="21"/>
              </w:rPr>
              <w:t>货、安装、交付。</w:t>
            </w:r>
          </w:p>
        </w:tc>
      </w:tr>
    </w:tbl>
    <w:p>
      <w:pPr>
        <w:keepNext/>
        <w:keepLines/>
        <w:numPr>
          <w:ilvl w:val="0"/>
          <w:numId w:val="5"/>
        </w:numPr>
        <w:spacing w:line="360" w:lineRule="auto"/>
        <w:outlineLvl w:val="0"/>
        <w:rPr>
          <w:rFonts w:ascii="宋体" w:hAnsi="宋体" w:cs="宋体"/>
          <w:b/>
          <w:kern w:val="44"/>
          <w:sz w:val="24"/>
          <w:szCs w:val="24"/>
        </w:rPr>
      </w:pPr>
      <w:r>
        <w:rPr>
          <w:rFonts w:hint="eastAsia" w:ascii="宋体" w:hAnsi="宋体" w:cs="宋体"/>
          <w:b/>
          <w:kern w:val="44"/>
          <w:sz w:val="24"/>
          <w:szCs w:val="24"/>
        </w:rPr>
        <w:t>技术规格和配置要求</w:t>
      </w:r>
    </w:p>
    <w:p>
      <w:pPr>
        <w:keepNext/>
        <w:keepLines/>
        <w:numPr>
          <w:ilvl w:val="1"/>
          <w:numId w:val="6"/>
        </w:numPr>
        <w:spacing w:before="156" w:beforeLines="50" w:after="156" w:afterLines="50"/>
        <w:outlineLvl w:val="1"/>
        <w:rPr>
          <w:rFonts w:ascii="宋体" w:hAnsi="宋体" w:cs="宋体"/>
          <w:b/>
          <w:sz w:val="24"/>
          <w:szCs w:val="24"/>
        </w:rPr>
      </w:pPr>
      <w:r>
        <w:rPr>
          <w:rFonts w:hint="eastAsia" w:ascii="宋体" w:hAnsi="宋体" w:cs="宋体"/>
          <w:b/>
          <w:sz w:val="24"/>
          <w:szCs w:val="24"/>
        </w:rPr>
        <w:t>系统设计原则</w:t>
      </w:r>
    </w:p>
    <w:p>
      <w:pPr>
        <w:pStyle w:val="5"/>
        <w:rPr>
          <w:sz w:val="24"/>
          <w:szCs w:val="24"/>
        </w:rPr>
      </w:pPr>
      <w:r>
        <w:rPr>
          <w:rFonts w:hint="eastAsia"/>
          <w:sz w:val="24"/>
          <w:szCs w:val="24"/>
        </w:rPr>
        <w:t>1.1全面规划、集中部署、全员应用</w:t>
      </w:r>
    </w:p>
    <w:p>
      <w:pPr>
        <w:spacing w:line="360" w:lineRule="auto"/>
        <w:rPr>
          <w:rFonts w:ascii="宋体" w:hAnsi="宋体"/>
        </w:rPr>
      </w:pPr>
      <w:r>
        <w:rPr>
          <w:rFonts w:hint="eastAsia" w:ascii="宋体" w:hAnsi="宋体"/>
        </w:rPr>
        <w:t>基于顶层设计的思路,根据医院的实际管理需要及信息化的进程完成</w:t>
      </w:r>
      <w:r>
        <w:rPr>
          <w:rFonts w:ascii="宋体" w:hAnsi="宋体"/>
        </w:rPr>
        <w:t>DIP</w:t>
      </w:r>
      <w:r>
        <w:rPr>
          <w:rFonts w:hint="eastAsia" w:ascii="宋体" w:hAnsi="宋体"/>
        </w:rPr>
        <w:t>的项目建设，各系统之间必须实现业务上的无缝衔接、数据上的同源共享和工作上的协同畅通。</w:t>
      </w:r>
    </w:p>
    <w:p>
      <w:pPr>
        <w:spacing w:line="360" w:lineRule="auto"/>
        <w:rPr>
          <w:rFonts w:ascii="宋体" w:hAnsi="宋体"/>
          <w:b/>
          <w:bCs/>
        </w:rPr>
      </w:pPr>
      <w:r>
        <w:rPr>
          <w:rFonts w:hint="eastAsia" w:ascii="宋体" w:hAnsi="宋体"/>
          <w:b/>
          <w:bCs/>
        </w:rPr>
        <w:t>1.2“四统一”原则</w:t>
      </w:r>
    </w:p>
    <w:p>
      <w:pPr>
        <w:spacing w:line="360" w:lineRule="auto"/>
        <w:rPr>
          <w:rFonts w:ascii="宋体" w:hAnsi="宋体"/>
        </w:rPr>
      </w:pPr>
      <w:r>
        <w:rPr>
          <w:rFonts w:hint="eastAsia" w:ascii="宋体" w:hAnsi="宋体"/>
        </w:rPr>
        <w:t>坚持统一领导、统一规划、统一标准、统一建设的“四统一”原则。</w:t>
      </w:r>
    </w:p>
    <w:p>
      <w:pPr>
        <w:spacing w:line="360" w:lineRule="auto"/>
        <w:rPr>
          <w:rFonts w:ascii="宋体" w:hAnsi="宋体"/>
          <w:b/>
          <w:bCs/>
        </w:rPr>
      </w:pPr>
      <w:r>
        <w:rPr>
          <w:rFonts w:hint="eastAsia" w:ascii="宋体" w:hAnsi="宋体"/>
          <w:b/>
          <w:bCs/>
        </w:rPr>
        <w:t>1.3稳定性和可靠性</w:t>
      </w:r>
    </w:p>
    <w:p>
      <w:pPr>
        <w:spacing w:line="360" w:lineRule="auto"/>
        <w:rPr>
          <w:rFonts w:ascii="宋体" w:hAnsi="宋体"/>
        </w:rPr>
      </w:pPr>
      <w:r>
        <w:rPr>
          <w:rFonts w:hint="eastAsia" w:ascii="宋体" w:hAnsi="宋体"/>
        </w:rPr>
        <w:t>系统应经过完善的设计和充分的测试运行，具备在较长时间内连续无故障的运行能力。</w:t>
      </w:r>
    </w:p>
    <w:p>
      <w:pPr>
        <w:spacing w:line="360" w:lineRule="auto"/>
        <w:rPr>
          <w:rFonts w:ascii="宋体" w:hAnsi="宋体"/>
        </w:rPr>
      </w:pPr>
      <w:r>
        <w:rPr>
          <w:rFonts w:hint="eastAsia" w:ascii="宋体" w:hAnsi="宋体"/>
        </w:rPr>
        <w:t>系统应提供全面、有效的系统安全机制。</w:t>
      </w:r>
    </w:p>
    <w:p>
      <w:pPr>
        <w:spacing w:line="360" w:lineRule="auto"/>
        <w:rPr>
          <w:rFonts w:ascii="宋体" w:hAnsi="宋体"/>
        </w:rPr>
      </w:pPr>
      <w:r>
        <w:rPr>
          <w:rFonts w:hint="eastAsia" w:ascii="宋体" w:hAnsi="宋体"/>
        </w:rPr>
        <w:t>系统应具备开放的标准化体系结构，可方便地与其它业务系统衔接，实现与其它业务系统间的无缝集成。</w:t>
      </w:r>
    </w:p>
    <w:p>
      <w:pPr>
        <w:spacing w:line="360" w:lineRule="auto"/>
        <w:rPr>
          <w:rFonts w:ascii="宋体" w:hAnsi="宋体"/>
          <w:b/>
          <w:bCs/>
        </w:rPr>
      </w:pPr>
      <w:r>
        <w:rPr>
          <w:rFonts w:hint="eastAsia" w:ascii="宋体" w:hAnsi="宋体"/>
          <w:b/>
          <w:bCs/>
        </w:rPr>
        <w:t>1.3兼容性和易用性</w:t>
      </w:r>
    </w:p>
    <w:p>
      <w:pPr>
        <w:spacing w:line="360" w:lineRule="auto"/>
        <w:rPr>
          <w:rFonts w:ascii="宋体" w:hAnsi="宋体"/>
        </w:rPr>
      </w:pPr>
      <w:r>
        <w:rPr>
          <w:rFonts w:hint="eastAsia" w:ascii="宋体" w:hAnsi="宋体"/>
        </w:rPr>
        <w:t>系统应具备易操作的特点，好记易学、实用高效。</w:t>
      </w:r>
    </w:p>
    <w:p>
      <w:pPr>
        <w:spacing w:line="360" w:lineRule="auto"/>
        <w:rPr>
          <w:rFonts w:ascii="宋体" w:hAnsi="宋体"/>
        </w:rPr>
      </w:pPr>
      <w:r>
        <w:rPr>
          <w:rFonts w:hint="eastAsia" w:ascii="宋体" w:hAnsi="宋体"/>
        </w:rPr>
        <w:t>系统应具备强大的容错、数据恢复与稳定运行的能力。</w:t>
      </w:r>
    </w:p>
    <w:p>
      <w:pPr>
        <w:spacing w:line="360" w:lineRule="auto"/>
        <w:rPr>
          <w:rFonts w:ascii="宋体" w:hAnsi="宋体"/>
        </w:rPr>
      </w:pPr>
      <w:r>
        <w:rPr>
          <w:rFonts w:hint="eastAsia" w:ascii="宋体" w:hAnsi="宋体"/>
        </w:rPr>
        <w:t>系统应易于扩展和升级，能够根据用户的具体需求快速、方便地定制、扩展原系统的功能。</w:t>
      </w:r>
    </w:p>
    <w:p>
      <w:pPr>
        <w:spacing w:line="360" w:lineRule="auto"/>
        <w:rPr>
          <w:rFonts w:ascii="宋体" w:hAnsi="宋体"/>
          <w:b/>
          <w:bCs/>
        </w:rPr>
      </w:pPr>
      <w:r>
        <w:rPr>
          <w:rFonts w:hint="eastAsia" w:ascii="宋体" w:hAnsi="宋体"/>
          <w:b/>
          <w:bCs/>
        </w:rPr>
        <w:t>1.5安全性</w:t>
      </w:r>
    </w:p>
    <w:p>
      <w:pPr>
        <w:spacing w:line="360" w:lineRule="auto"/>
        <w:rPr>
          <w:rFonts w:ascii="宋体" w:hAnsi="宋体"/>
        </w:rPr>
      </w:pPr>
      <w:r>
        <w:rPr>
          <w:rFonts w:hint="eastAsia" w:ascii="宋体" w:hAnsi="宋体"/>
        </w:rPr>
        <w:t>数据和系统的安全性对一个应用系统是至关重要的，因此对于信息系统来说，应充分考虑到可能出现的问题，必须把这一原则作为极为重要因素考虑。数据交换、业务集成和信息展现所处理、传送和管理的信息，可能涉及到不同部门和系统的秘密或敏感信息，此类信息处理和传递的任何环节如果出现漏洞，其损失将是巨大的。因此，系统的安全性将是十分重要的原则。</w:t>
      </w:r>
    </w:p>
    <w:p>
      <w:pPr>
        <w:keepNext/>
        <w:keepLines/>
        <w:numPr>
          <w:ilvl w:val="1"/>
          <w:numId w:val="6"/>
        </w:numPr>
        <w:spacing w:before="156" w:beforeLines="50" w:after="156" w:afterLines="50"/>
        <w:outlineLvl w:val="1"/>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系统总体要求</w:t>
      </w:r>
    </w:p>
    <w:p>
      <w:pPr>
        <w:spacing w:line="360" w:lineRule="auto"/>
        <w:ind w:firstLine="567" w:firstLineChars="270"/>
        <w:rPr>
          <w:rFonts w:ascii="宋体" w:hAnsi="宋体"/>
        </w:rPr>
      </w:pPr>
      <w:r>
        <w:rPr>
          <w:rFonts w:hint="eastAsia" w:ascii="宋体" w:hAnsi="宋体"/>
        </w:rPr>
        <w:t>本次项目为软件系统服务项目，硬件、网络、安全等都利用现有医院资源，不另行采购。总体技术需求如下：</w:t>
      </w:r>
    </w:p>
    <w:p>
      <w:pPr>
        <w:spacing w:line="360" w:lineRule="auto"/>
        <w:ind w:firstLine="567" w:firstLineChars="270"/>
        <w:rPr>
          <w:rFonts w:ascii="宋体" w:hAnsi="宋体"/>
        </w:rPr>
      </w:pPr>
      <w:r>
        <w:rPr>
          <w:rFonts w:hint="eastAsia" w:ascii="宋体" w:hAnsi="宋体"/>
        </w:rPr>
        <w:t>（1）采用多层架构的B/S结构，应用展示端建议采用HTML5技术，必须支持跨平台（Windows、IOS、Android平台）的应用展示；</w:t>
      </w:r>
    </w:p>
    <w:p>
      <w:pPr>
        <w:spacing w:line="360" w:lineRule="auto"/>
        <w:ind w:firstLine="567" w:firstLineChars="270"/>
        <w:rPr>
          <w:rFonts w:ascii="宋体" w:hAnsi="宋体"/>
        </w:rPr>
      </w:pPr>
      <w:r>
        <w:rPr>
          <w:rFonts w:hint="eastAsia" w:ascii="宋体" w:hAnsi="宋体"/>
        </w:rPr>
        <w:t>（2）</w:t>
      </w:r>
      <w:r>
        <w:rPr>
          <w:rFonts w:hint="eastAsia" w:ascii="宋体" w:hAnsi="宋体" w:cs="宋体"/>
        </w:rPr>
        <w:t>考虑到平台将来的可扩展性，平台必须是开放式的：展示页面可视化配置，灵活增加；具有数据集，且数据集可自定义配置；</w:t>
      </w:r>
    </w:p>
    <w:p>
      <w:pPr>
        <w:spacing w:line="360" w:lineRule="auto"/>
        <w:ind w:firstLine="567" w:firstLineChars="270"/>
        <w:rPr>
          <w:rFonts w:ascii="宋体" w:hAnsi="宋体"/>
        </w:rPr>
      </w:pPr>
      <w:r>
        <w:rPr>
          <w:rFonts w:hint="eastAsia" w:ascii="宋体" w:hAnsi="宋体"/>
        </w:rPr>
        <w:t>（3）要有数据展现引擎，可以根据医院需求灵活地配置相关管理指标的呈现；</w:t>
      </w:r>
    </w:p>
    <w:p>
      <w:pPr>
        <w:spacing w:line="360" w:lineRule="auto"/>
        <w:ind w:firstLine="567" w:firstLineChars="270"/>
        <w:rPr>
          <w:rFonts w:ascii="宋体" w:hAnsi="宋体"/>
        </w:rPr>
      </w:pPr>
      <w:r>
        <w:rPr>
          <w:rFonts w:hint="eastAsia" w:ascii="宋体" w:hAnsi="宋体"/>
        </w:rPr>
        <w:t>（4）系统支持ORACLE、SqlServer、MySql等主流大型数据库系统；</w:t>
      </w:r>
    </w:p>
    <w:p>
      <w:pPr>
        <w:spacing w:line="360" w:lineRule="auto"/>
        <w:ind w:left="420" w:leftChars="200" w:firstLine="567" w:firstLineChars="270"/>
        <w:rPr>
          <w:rFonts w:ascii="宋体" w:hAnsi="宋体"/>
        </w:rPr>
      </w:pPr>
      <w:r>
        <w:rPr>
          <w:rFonts w:hint="eastAsia" w:ascii="宋体" w:hAnsi="宋体"/>
        </w:rPr>
        <w:t>支持主流厂商的硬件及操作系统平台；</w:t>
      </w:r>
      <w:r>
        <w:rPr>
          <w:rFonts w:hint="eastAsia" w:ascii="宋体" w:hAnsi="宋体"/>
        </w:rPr>
        <w:tab/>
      </w:r>
    </w:p>
    <w:p>
      <w:pPr>
        <w:spacing w:line="360" w:lineRule="auto"/>
        <w:ind w:left="420" w:leftChars="200" w:firstLine="567" w:firstLineChars="270"/>
        <w:rPr>
          <w:rFonts w:ascii="宋体" w:hAnsi="宋体"/>
        </w:rPr>
      </w:pPr>
      <w:r>
        <w:rPr>
          <w:rFonts w:hint="eastAsia" w:ascii="宋体" w:hAnsi="宋体"/>
        </w:rPr>
        <w:t>支持Unix、Linux 、Windows操作系统，支持C/S/S或B/S/S的体系结构；</w:t>
      </w:r>
    </w:p>
    <w:p>
      <w:pPr>
        <w:spacing w:line="360" w:lineRule="auto"/>
        <w:ind w:left="420" w:leftChars="200" w:firstLine="567" w:firstLineChars="270"/>
        <w:rPr>
          <w:rFonts w:ascii="宋体" w:hAnsi="宋体"/>
        </w:rPr>
      </w:pPr>
      <w:r>
        <w:rPr>
          <w:rFonts w:hint="eastAsia" w:ascii="宋体" w:hAnsi="宋体"/>
        </w:rPr>
        <w:t>支持关系模型，支持分布式处理；</w:t>
      </w:r>
    </w:p>
    <w:p>
      <w:pPr>
        <w:spacing w:line="360" w:lineRule="auto"/>
        <w:ind w:left="420" w:leftChars="200" w:firstLine="567" w:firstLineChars="270"/>
        <w:rPr>
          <w:rFonts w:ascii="宋体" w:hAnsi="宋体"/>
        </w:rPr>
      </w:pPr>
      <w:r>
        <w:rPr>
          <w:rFonts w:hint="eastAsia" w:ascii="宋体" w:hAnsi="宋体"/>
        </w:rPr>
        <w:t>支持主流的网络协议（TCP/IP、IPX/SPX、NETBIOS及混合协议等）；</w:t>
      </w:r>
    </w:p>
    <w:p>
      <w:pPr>
        <w:spacing w:line="360" w:lineRule="auto"/>
        <w:ind w:firstLine="567" w:firstLineChars="270"/>
        <w:rPr>
          <w:rFonts w:ascii="宋体" w:hAnsi="宋体"/>
        </w:rPr>
      </w:pPr>
      <w:r>
        <w:rPr>
          <w:rFonts w:hint="eastAsia" w:ascii="宋体" w:hAnsi="宋体"/>
        </w:rPr>
        <w:t>（5）须提供配套的ETL工具、数据订阅工具、消息引擎、规则库、报表工具、数据共享引擎等一系列应用工具，可确保各种临床和管理应用效果的配置扩展实现。</w:t>
      </w:r>
    </w:p>
    <w:p>
      <w:pPr>
        <w:keepNext/>
        <w:keepLines/>
        <w:numPr>
          <w:ilvl w:val="1"/>
          <w:numId w:val="6"/>
        </w:numPr>
        <w:spacing w:before="156" w:beforeLines="50" w:after="156" w:afterLines="50"/>
        <w:outlineLvl w:val="1"/>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参数配置</w:t>
      </w:r>
    </w:p>
    <w:p>
      <w:pPr>
        <w:pStyle w:val="5"/>
        <w:numPr>
          <w:ilvl w:val="1"/>
          <w:numId w:val="7"/>
        </w:numPr>
        <w:rPr>
          <w:sz w:val="24"/>
          <w:szCs w:val="24"/>
        </w:rPr>
      </w:pPr>
      <w:bookmarkStart w:id="15" w:name="_Toc24041"/>
      <w:r>
        <w:rPr>
          <w:rFonts w:hint="eastAsia"/>
          <w:sz w:val="24"/>
          <w:szCs w:val="24"/>
          <w:lang w:val="en-US" w:eastAsia="zh-CN"/>
        </w:rPr>
        <w:t xml:space="preserve"> </w:t>
      </w:r>
      <w:r>
        <w:rPr>
          <w:sz w:val="24"/>
          <w:szCs w:val="24"/>
        </w:rPr>
        <w:t>DIP在院管理（含预分组、预测预警）</w:t>
      </w:r>
      <w:bookmarkEnd w:id="15"/>
    </w:p>
    <w:tbl>
      <w:tblPr>
        <w:tblStyle w:val="43"/>
        <w:tblW w:w="8452" w:type="dxa"/>
        <w:tblInd w:w="96" w:type="dxa"/>
        <w:tblLayout w:type="autofit"/>
        <w:tblCellMar>
          <w:top w:w="0" w:type="dxa"/>
          <w:left w:w="108" w:type="dxa"/>
          <w:bottom w:w="0" w:type="dxa"/>
          <w:right w:w="108" w:type="dxa"/>
        </w:tblCellMar>
      </w:tblPr>
      <w:tblGrid>
        <w:gridCol w:w="1275"/>
        <w:gridCol w:w="1245"/>
        <w:gridCol w:w="5932"/>
      </w:tblGrid>
      <w:tr>
        <w:tblPrEx>
          <w:tblCellMar>
            <w:top w:w="0" w:type="dxa"/>
            <w:left w:w="108" w:type="dxa"/>
            <w:bottom w:w="0" w:type="dxa"/>
            <w:right w:w="108" w:type="dxa"/>
          </w:tblCellMar>
        </w:tblPrEx>
        <w:trPr>
          <w:trHeight w:val="663" w:hRule="atLeast"/>
          <w:tblHeader/>
        </w:trPr>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b/>
                <w:bCs/>
                <w:szCs w:val="21"/>
              </w:rPr>
            </w:pPr>
            <w:r>
              <w:rPr>
                <w:b/>
                <w:bCs/>
                <w:szCs w:val="21"/>
              </w:rPr>
              <w:t>功能模块</w:t>
            </w:r>
          </w:p>
        </w:tc>
        <w:tc>
          <w:tcPr>
            <w:tcW w:w="124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76" w:lineRule="auto"/>
              <w:jc w:val="center"/>
              <w:textAlignment w:val="center"/>
              <w:rPr>
                <w:b/>
                <w:bCs/>
                <w:szCs w:val="21"/>
              </w:rPr>
            </w:pPr>
            <w:r>
              <w:rPr>
                <w:b/>
                <w:bCs/>
                <w:szCs w:val="21"/>
              </w:rPr>
              <w:t>模块描述</w:t>
            </w:r>
          </w:p>
        </w:tc>
        <w:tc>
          <w:tcPr>
            <w:tcW w:w="5932"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76" w:lineRule="auto"/>
              <w:jc w:val="center"/>
              <w:textAlignment w:val="center"/>
              <w:rPr>
                <w:b/>
                <w:bCs/>
                <w:szCs w:val="21"/>
              </w:rPr>
            </w:pPr>
            <w:r>
              <w:rPr>
                <w:b/>
                <w:bCs/>
                <w:kern w:val="0"/>
                <w:szCs w:val="21"/>
                <w:lang w:bidi="ar"/>
              </w:rPr>
              <w:t>功能说明</w:t>
            </w:r>
          </w:p>
        </w:tc>
      </w:tr>
      <w:tr>
        <w:tblPrEx>
          <w:tblCellMar>
            <w:top w:w="0" w:type="dxa"/>
            <w:left w:w="108" w:type="dxa"/>
            <w:bottom w:w="0" w:type="dxa"/>
            <w:right w:w="108" w:type="dxa"/>
          </w:tblCellMar>
        </w:tblPrEx>
        <w:trPr>
          <w:trHeight w:val="90" w:hRule="atLeast"/>
        </w:trPr>
        <w:tc>
          <w:tcPr>
            <w:tcW w:w="127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76" w:lineRule="auto"/>
              <w:jc w:val="center"/>
              <w:textAlignment w:val="center"/>
              <w:rPr>
                <w:kern w:val="0"/>
                <w:szCs w:val="21"/>
                <w:lang w:bidi="ar"/>
              </w:rPr>
            </w:pPr>
            <w:r>
              <w:rPr>
                <w:kern w:val="0"/>
                <w:szCs w:val="21"/>
                <w:lang w:bidi="ar"/>
              </w:rPr>
              <w:t>医生助手</w:t>
            </w:r>
          </w:p>
          <w:p>
            <w:pPr>
              <w:widowControl/>
              <w:spacing w:line="276" w:lineRule="auto"/>
              <w:jc w:val="center"/>
              <w:textAlignment w:val="center"/>
              <w:rPr>
                <w:szCs w:val="21"/>
              </w:rPr>
            </w:pPr>
            <w:r>
              <w:rPr>
                <w:kern w:val="0"/>
                <w:szCs w:val="21"/>
                <w:lang w:bidi="ar"/>
              </w:rPr>
              <w:t>（在院DIP分组监测接口）</w:t>
            </w: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76" w:lineRule="auto"/>
              <w:jc w:val="left"/>
              <w:textAlignment w:val="center"/>
              <w:rPr>
                <w:szCs w:val="21"/>
              </w:rPr>
            </w:pPr>
            <w:r>
              <w:rPr>
                <w:kern w:val="0"/>
                <w:szCs w:val="21"/>
                <w:lang w:bidi="ar"/>
              </w:rPr>
              <w:t>DIP分组预测与预警</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kern w:val="0"/>
                <w:szCs w:val="21"/>
                <w:lang w:bidi="ar"/>
              </w:rPr>
            </w:pPr>
            <w:r>
              <w:rPr>
                <w:kern w:val="0"/>
                <w:szCs w:val="21"/>
                <w:lang w:bidi="ar"/>
              </w:rPr>
              <w:t>1、支持实时查看DIP预测分组、辅助矫正目录、二级目录，当有入院诊断时即进行DIP预分组，并根据诊断/手术更新实时更新分组</w:t>
            </w:r>
          </w:p>
          <w:p>
            <w:pPr>
              <w:widowControl/>
              <w:spacing w:line="276" w:lineRule="auto"/>
              <w:jc w:val="left"/>
              <w:textAlignment w:val="center"/>
              <w:rPr>
                <w:kern w:val="0"/>
                <w:szCs w:val="21"/>
                <w:lang w:bidi="ar"/>
              </w:rPr>
            </w:pPr>
            <w:r>
              <w:rPr>
                <w:kern w:val="0"/>
                <w:szCs w:val="21"/>
                <w:lang w:bidi="ar"/>
              </w:rPr>
              <w:t>2、提供实时预警，包括费用预警、病历首页质控预警、不合理入院预警等，预警条件支持自定义</w:t>
            </w:r>
          </w:p>
          <w:p>
            <w:pPr>
              <w:widowControl/>
              <w:spacing w:line="276" w:lineRule="auto"/>
              <w:jc w:val="left"/>
              <w:textAlignment w:val="center"/>
              <w:rPr>
                <w:kern w:val="0"/>
                <w:szCs w:val="21"/>
                <w:lang w:bidi="ar"/>
              </w:rPr>
            </w:pPr>
            <w:r>
              <w:rPr>
                <w:rFonts w:hint="eastAsia" w:ascii="宋体" w:hAnsi="宋体"/>
                <w:kern w:val="0"/>
                <w:szCs w:val="21"/>
                <w:lang w:bidi="ar"/>
              </w:rPr>
              <w:t>▲</w:t>
            </w:r>
            <w:r>
              <w:rPr>
                <w:kern w:val="0"/>
                <w:szCs w:val="21"/>
                <w:lang w:bidi="ar"/>
              </w:rPr>
              <w:t>3、大数据重要手术缺漏质控，直接定位影响DIP分组的缺漏手术，并可对比查看补充缺漏手术前后DIP分组及费用情况</w:t>
            </w:r>
          </w:p>
          <w:p>
            <w:pPr>
              <w:widowControl/>
              <w:spacing w:line="276" w:lineRule="auto"/>
              <w:jc w:val="left"/>
              <w:textAlignment w:val="center"/>
              <w:rPr>
                <w:kern w:val="0"/>
                <w:szCs w:val="21"/>
                <w:lang w:bidi="ar"/>
              </w:rPr>
            </w:pPr>
            <w:r>
              <w:rPr>
                <w:rFonts w:hint="eastAsia" w:ascii="宋体" w:hAnsi="宋体"/>
                <w:kern w:val="0"/>
                <w:szCs w:val="21"/>
                <w:lang w:bidi="ar"/>
              </w:rPr>
              <w:t>▲</w:t>
            </w:r>
            <w:r>
              <w:rPr>
                <w:kern w:val="0"/>
                <w:szCs w:val="21"/>
                <w:lang w:bidi="ar"/>
              </w:rPr>
              <w:t>4、支持自由拖动诊断手术调整顺序，增加、修改或减少诊断手术，模拟DIP分组及预警，可与原分组对比查看；支持诊断手术模糊联想输入</w:t>
            </w:r>
          </w:p>
          <w:p>
            <w:pPr>
              <w:widowControl/>
              <w:spacing w:line="276" w:lineRule="auto"/>
              <w:jc w:val="left"/>
              <w:textAlignment w:val="center"/>
              <w:rPr>
                <w:kern w:val="0"/>
                <w:szCs w:val="21"/>
                <w:lang w:bidi="ar"/>
              </w:rPr>
            </w:pPr>
            <w:r>
              <w:rPr>
                <w:kern w:val="0"/>
                <w:szCs w:val="21"/>
                <w:lang w:bidi="ar"/>
              </w:rPr>
              <w:t>5、支持查看总费用与地区标杆对比，支持查看费用明细，药品明细支持标记国谈药、集采药、限定支付药，用于费用分析</w:t>
            </w:r>
          </w:p>
          <w:p>
            <w:pPr>
              <w:widowControl/>
              <w:spacing w:line="276" w:lineRule="auto"/>
              <w:jc w:val="left"/>
              <w:textAlignment w:val="center"/>
              <w:rPr>
                <w:szCs w:val="21"/>
              </w:rPr>
            </w:pPr>
            <w:r>
              <w:rPr>
                <w:kern w:val="0"/>
                <w:szCs w:val="21"/>
                <w:lang w:bidi="ar"/>
              </w:rPr>
              <w:t>6、支持再入院病例提示，再入院天数可通过系统设置配置，可查看历次相关住院的DIP分组与诊断/手术信息</w:t>
            </w:r>
          </w:p>
        </w:tc>
      </w:tr>
      <w:tr>
        <w:tblPrEx>
          <w:tblCellMar>
            <w:top w:w="0" w:type="dxa"/>
            <w:left w:w="108" w:type="dxa"/>
            <w:bottom w:w="0" w:type="dxa"/>
            <w:right w:w="108" w:type="dxa"/>
          </w:tblCellMar>
        </w:tblPrEx>
        <w:trPr>
          <w:trHeight w:val="681" w:hRule="atLeast"/>
        </w:trPr>
        <w:tc>
          <w:tcPr>
            <w:tcW w:w="1275"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76" w:lineRule="auto"/>
              <w:jc w:val="center"/>
              <w:textAlignment w:val="center"/>
              <w:rPr>
                <w:szCs w:val="21"/>
              </w:rPr>
            </w:pPr>
            <w:r>
              <w:rPr>
                <w:kern w:val="0"/>
                <w:szCs w:val="21"/>
                <w:lang w:bidi="ar"/>
              </w:rPr>
              <w:t>事中监测分析</w:t>
            </w: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76" w:lineRule="auto"/>
              <w:jc w:val="left"/>
              <w:textAlignment w:val="center"/>
              <w:rPr>
                <w:szCs w:val="21"/>
              </w:rPr>
            </w:pPr>
            <w:r>
              <w:rPr>
                <w:kern w:val="0"/>
                <w:szCs w:val="21"/>
                <w:lang w:bidi="ar"/>
              </w:rPr>
              <w:t>在院监测</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kern w:val="0"/>
                <w:szCs w:val="21"/>
                <w:lang w:bidi="ar"/>
              </w:rPr>
            </w:pPr>
            <w:r>
              <w:rPr>
                <w:kern w:val="0"/>
                <w:szCs w:val="21"/>
                <w:lang w:bidi="ar"/>
              </w:rPr>
              <w:t>[病例范围：当前在院患者]</w:t>
            </w:r>
          </w:p>
          <w:p>
            <w:pPr>
              <w:widowControl/>
              <w:spacing w:line="276" w:lineRule="auto"/>
              <w:jc w:val="left"/>
              <w:textAlignment w:val="center"/>
              <w:rPr>
                <w:kern w:val="0"/>
                <w:szCs w:val="21"/>
                <w:lang w:bidi="ar"/>
              </w:rPr>
            </w:pPr>
            <w:r>
              <w:rPr>
                <w:kern w:val="0"/>
                <w:szCs w:val="21"/>
                <w:lang w:bidi="ar"/>
              </w:rPr>
              <w:t>1、支持查看在院病例的DIP预测分组、辅助矫正目录、二级目录，当有入院诊断时即进行DIP预分组，并根据诊断/手术更新实时更新分组</w:t>
            </w:r>
          </w:p>
          <w:p>
            <w:pPr>
              <w:widowControl/>
              <w:spacing w:line="276" w:lineRule="auto"/>
              <w:jc w:val="left"/>
              <w:textAlignment w:val="center"/>
              <w:rPr>
                <w:kern w:val="0"/>
                <w:szCs w:val="21"/>
                <w:lang w:bidi="ar"/>
              </w:rPr>
            </w:pPr>
            <w:r>
              <w:rPr>
                <w:kern w:val="0"/>
                <w:szCs w:val="21"/>
                <w:lang w:bidi="ar"/>
              </w:rPr>
              <w:t>2、支持查看预警病例，包括费用预警、病历首页质控预警、不合理入院预警等，预警条件支持自定义</w:t>
            </w:r>
          </w:p>
          <w:p>
            <w:pPr>
              <w:widowControl/>
              <w:spacing w:line="276" w:lineRule="auto"/>
              <w:jc w:val="left"/>
              <w:textAlignment w:val="center"/>
              <w:rPr>
                <w:kern w:val="0"/>
                <w:szCs w:val="21"/>
                <w:lang w:bidi="ar"/>
              </w:rPr>
            </w:pPr>
            <w:r>
              <w:rPr>
                <w:rFonts w:hint="eastAsia" w:ascii="宋体" w:hAnsi="宋体"/>
                <w:kern w:val="0"/>
                <w:szCs w:val="21"/>
                <w:lang w:bidi="ar"/>
              </w:rPr>
              <w:t>▲</w:t>
            </w:r>
            <w:r>
              <w:rPr>
                <w:kern w:val="0"/>
                <w:szCs w:val="21"/>
                <w:lang w:bidi="ar"/>
              </w:rPr>
              <w:t>3、大数据重要手术缺漏质控，直接定位影响DIP分组的缺漏手术，并可对比查看补充缺漏手术前后DIP分组及费用情况</w:t>
            </w:r>
          </w:p>
          <w:p>
            <w:pPr>
              <w:widowControl/>
              <w:spacing w:line="276" w:lineRule="auto"/>
              <w:jc w:val="left"/>
              <w:textAlignment w:val="center"/>
              <w:rPr>
                <w:kern w:val="0"/>
                <w:szCs w:val="21"/>
                <w:lang w:bidi="ar"/>
              </w:rPr>
            </w:pPr>
            <w:r>
              <w:rPr>
                <w:kern w:val="0"/>
                <w:szCs w:val="21"/>
                <w:lang w:bidi="ar"/>
              </w:rPr>
              <w:t>4、支持查看病例详情，包括诊断、手术、三四级手术标记、费用明细等</w:t>
            </w:r>
          </w:p>
          <w:p>
            <w:pPr>
              <w:widowControl/>
              <w:spacing w:line="276" w:lineRule="auto"/>
              <w:jc w:val="left"/>
              <w:textAlignment w:val="center"/>
              <w:rPr>
                <w:kern w:val="0"/>
                <w:szCs w:val="21"/>
                <w:lang w:bidi="ar"/>
              </w:rPr>
            </w:pPr>
            <w:r>
              <w:rPr>
                <w:kern w:val="0"/>
                <w:szCs w:val="21"/>
                <w:lang w:bidi="ar"/>
              </w:rPr>
              <w:t>5、支持筛选15天再入院病例，并可查看*历次相关住院的DIP分组与诊断/手术信息</w:t>
            </w:r>
          </w:p>
          <w:p>
            <w:pPr>
              <w:widowControl/>
              <w:spacing w:line="276" w:lineRule="auto"/>
              <w:jc w:val="left"/>
              <w:textAlignment w:val="center"/>
              <w:rPr>
                <w:kern w:val="0"/>
                <w:szCs w:val="21"/>
                <w:lang w:bidi="ar"/>
              </w:rPr>
            </w:pPr>
            <w:r>
              <w:rPr>
                <w:kern w:val="0"/>
                <w:szCs w:val="21"/>
                <w:lang w:bidi="ar"/>
              </w:rPr>
              <w:t>6、支持按医保类型、病例类型等多种条件筛选，支持查看自费病例；支持按姓名、住院号等模糊搜索病例</w:t>
            </w:r>
          </w:p>
          <w:p>
            <w:pPr>
              <w:widowControl/>
              <w:spacing w:line="276" w:lineRule="auto"/>
              <w:jc w:val="left"/>
              <w:textAlignment w:val="center"/>
              <w:rPr>
                <w:kern w:val="0"/>
                <w:szCs w:val="21"/>
                <w:lang w:bidi="ar"/>
              </w:rPr>
            </w:pPr>
            <w:r>
              <w:rPr>
                <w:rFonts w:hint="eastAsia" w:ascii="宋体" w:hAnsi="宋体"/>
                <w:kern w:val="0"/>
                <w:szCs w:val="21"/>
                <w:lang w:bidi="ar"/>
              </w:rPr>
              <w:t>▲</w:t>
            </w:r>
            <w:r>
              <w:rPr>
                <w:kern w:val="0"/>
                <w:szCs w:val="21"/>
                <w:lang w:bidi="ar"/>
              </w:rPr>
              <w:t>7、列表指标支持自定义，包含指标字段是否显示和排序的设置</w:t>
            </w:r>
          </w:p>
          <w:p>
            <w:pPr>
              <w:widowControl/>
              <w:spacing w:line="276" w:lineRule="auto"/>
              <w:jc w:val="left"/>
              <w:textAlignment w:val="center"/>
              <w:rPr>
                <w:kern w:val="0"/>
                <w:szCs w:val="21"/>
                <w:lang w:bidi="ar"/>
              </w:rPr>
            </w:pPr>
            <w:r>
              <w:rPr>
                <w:rFonts w:hint="eastAsia" w:ascii="宋体" w:hAnsi="宋体"/>
                <w:kern w:val="0"/>
                <w:szCs w:val="21"/>
                <w:lang w:bidi="ar"/>
              </w:rPr>
              <w:t>▲</w:t>
            </w:r>
            <w:r>
              <w:rPr>
                <w:kern w:val="0"/>
                <w:szCs w:val="21"/>
                <w:lang w:bidi="ar"/>
              </w:rPr>
              <w:t>8、支持查看各科室、医疗组的预警病例查看情况，监控医生控费行为</w:t>
            </w:r>
          </w:p>
          <w:p>
            <w:pPr>
              <w:widowControl/>
              <w:spacing w:line="276" w:lineRule="auto"/>
              <w:jc w:val="left"/>
              <w:textAlignment w:val="center"/>
              <w:rPr>
                <w:rFonts w:hint="eastAsia" w:eastAsia="宋体"/>
                <w:szCs w:val="21"/>
                <w:lang w:eastAsia="zh-CN"/>
              </w:rPr>
            </w:pPr>
            <w:r>
              <w:rPr>
                <w:rFonts w:hint="eastAsia" w:ascii="宋体" w:hAnsi="宋体"/>
                <w:kern w:val="0"/>
                <w:szCs w:val="21"/>
                <w:lang w:bidi="ar"/>
              </w:rPr>
              <w:t>▲</w:t>
            </w:r>
            <w:r>
              <w:rPr>
                <w:kern w:val="0"/>
                <w:szCs w:val="21"/>
                <w:lang w:bidi="ar"/>
              </w:rPr>
              <w:t>9、支持自由拖动诊断手术调整顺序，增加、修改或减少诊断手术，模拟DIP分组及预警，可与原分组对比查看；支持诊断手术模糊联想输入</w:t>
            </w:r>
            <w:r>
              <w:rPr>
                <w:rFonts w:hint="eastAsia"/>
                <w:kern w:val="0"/>
                <w:szCs w:val="21"/>
                <w:lang w:eastAsia="zh-CN" w:bidi="ar"/>
              </w:rPr>
              <w:t>。</w:t>
            </w:r>
          </w:p>
        </w:tc>
      </w:tr>
      <w:tr>
        <w:tblPrEx>
          <w:tblCellMar>
            <w:top w:w="0" w:type="dxa"/>
            <w:left w:w="108" w:type="dxa"/>
            <w:bottom w:w="0" w:type="dxa"/>
            <w:right w:w="108" w:type="dxa"/>
          </w:tblCellMar>
        </w:tblPrEx>
        <w:trPr>
          <w:trHeight w:val="90" w:hRule="atLeast"/>
        </w:trPr>
        <w:tc>
          <w:tcPr>
            <w:tcW w:w="1275"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76" w:lineRule="auto"/>
              <w:jc w:val="center"/>
              <w:rPr>
                <w:szCs w:val="21"/>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76" w:lineRule="auto"/>
              <w:jc w:val="left"/>
              <w:textAlignment w:val="center"/>
              <w:rPr>
                <w:szCs w:val="21"/>
              </w:rPr>
            </w:pPr>
            <w:r>
              <w:rPr>
                <w:kern w:val="0"/>
                <w:szCs w:val="21"/>
                <w:lang w:bidi="ar"/>
              </w:rPr>
              <w:t>提交前病例监测</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kern w:val="0"/>
                <w:szCs w:val="21"/>
                <w:lang w:bidi="ar"/>
              </w:rPr>
            </w:pPr>
            <w:r>
              <w:rPr>
                <w:kern w:val="0"/>
                <w:szCs w:val="21"/>
                <w:lang w:bidi="ar"/>
              </w:rPr>
              <w:t>[病例范围：出院但未将病历提交病案室归档的病例]</w:t>
            </w:r>
          </w:p>
          <w:p>
            <w:pPr>
              <w:widowControl/>
              <w:spacing w:line="276" w:lineRule="auto"/>
              <w:jc w:val="left"/>
              <w:textAlignment w:val="center"/>
              <w:rPr>
                <w:kern w:val="0"/>
                <w:szCs w:val="21"/>
                <w:lang w:bidi="ar"/>
              </w:rPr>
            </w:pPr>
            <w:r>
              <w:rPr>
                <w:kern w:val="0"/>
                <w:szCs w:val="21"/>
                <w:lang w:bidi="ar"/>
              </w:rPr>
              <w:t>1、支持查看病例的DIP预测分组、辅助矫正目录、*二级目录，当有入院诊断时即进行DIP预分组，并根据诊断/手术更新实时更新分组</w:t>
            </w:r>
          </w:p>
          <w:p>
            <w:pPr>
              <w:widowControl/>
              <w:spacing w:line="276" w:lineRule="auto"/>
              <w:jc w:val="left"/>
              <w:textAlignment w:val="center"/>
              <w:rPr>
                <w:kern w:val="0"/>
                <w:szCs w:val="21"/>
                <w:lang w:bidi="ar"/>
              </w:rPr>
            </w:pPr>
            <w:r>
              <w:rPr>
                <w:kern w:val="0"/>
                <w:szCs w:val="21"/>
                <w:lang w:bidi="ar"/>
              </w:rPr>
              <w:t>2、支持查看预警病例，包括费用预警、病历首页质控预警、不合理入院预警等，预警条件支持自定义</w:t>
            </w:r>
          </w:p>
          <w:p>
            <w:pPr>
              <w:widowControl/>
              <w:spacing w:line="276" w:lineRule="auto"/>
              <w:jc w:val="left"/>
              <w:textAlignment w:val="center"/>
              <w:rPr>
                <w:kern w:val="0"/>
                <w:szCs w:val="21"/>
                <w:lang w:bidi="ar"/>
              </w:rPr>
            </w:pPr>
            <w:r>
              <w:rPr>
                <w:kern w:val="0"/>
                <w:szCs w:val="21"/>
                <w:lang w:bidi="ar"/>
              </w:rPr>
              <w:t>3、大数据重要手术缺漏质控，直接定位影响DIP分组的缺漏手术，并可对比查看补充缺漏手术前后DIP分组及费用情况</w:t>
            </w:r>
          </w:p>
          <w:p>
            <w:pPr>
              <w:widowControl/>
              <w:spacing w:line="276" w:lineRule="auto"/>
              <w:jc w:val="left"/>
              <w:textAlignment w:val="center"/>
              <w:rPr>
                <w:kern w:val="0"/>
                <w:szCs w:val="21"/>
                <w:lang w:bidi="ar"/>
              </w:rPr>
            </w:pPr>
            <w:r>
              <w:rPr>
                <w:kern w:val="0"/>
                <w:szCs w:val="21"/>
                <w:lang w:bidi="ar"/>
              </w:rPr>
              <w:t>4、支持查看病例详情，包括诊断、手术、三四级手术标记、费用明细等</w:t>
            </w:r>
          </w:p>
          <w:p>
            <w:pPr>
              <w:widowControl/>
              <w:spacing w:line="276" w:lineRule="auto"/>
              <w:jc w:val="left"/>
              <w:textAlignment w:val="center"/>
              <w:rPr>
                <w:kern w:val="0"/>
                <w:szCs w:val="21"/>
                <w:lang w:bidi="ar"/>
              </w:rPr>
            </w:pPr>
            <w:r>
              <w:rPr>
                <w:kern w:val="0"/>
                <w:szCs w:val="21"/>
                <w:lang w:bidi="ar"/>
              </w:rPr>
              <w:t>5、支持筛选15天再入院病例，并可查看*历次相关住院的DIP分组与诊断/手术信息</w:t>
            </w:r>
          </w:p>
          <w:p>
            <w:pPr>
              <w:widowControl/>
              <w:spacing w:line="276" w:lineRule="auto"/>
              <w:jc w:val="left"/>
              <w:textAlignment w:val="center"/>
              <w:rPr>
                <w:kern w:val="0"/>
                <w:szCs w:val="21"/>
                <w:lang w:bidi="ar"/>
              </w:rPr>
            </w:pPr>
            <w:r>
              <w:rPr>
                <w:kern w:val="0"/>
                <w:szCs w:val="21"/>
                <w:lang w:bidi="ar"/>
              </w:rPr>
              <w:t>6、支持按医保类型、病例类型等多种条件筛选，支持查看自费病例；支持按姓名、住院号等模糊搜索病例</w:t>
            </w:r>
          </w:p>
          <w:p>
            <w:pPr>
              <w:widowControl/>
              <w:spacing w:line="276" w:lineRule="auto"/>
              <w:jc w:val="left"/>
              <w:textAlignment w:val="center"/>
              <w:rPr>
                <w:kern w:val="0"/>
                <w:szCs w:val="21"/>
                <w:lang w:bidi="ar"/>
              </w:rPr>
            </w:pPr>
            <w:r>
              <w:rPr>
                <w:kern w:val="0"/>
                <w:szCs w:val="21"/>
                <w:lang w:bidi="ar"/>
              </w:rPr>
              <w:t>7、列表指标支持自定义，包含指标字段是否显示、是否固定和排序的设置</w:t>
            </w:r>
          </w:p>
          <w:p>
            <w:pPr>
              <w:widowControl/>
              <w:spacing w:line="276" w:lineRule="auto"/>
              <w:jc w:val="left"/>
              <w:textAlignment w:val="center"/>
              <w:rPr>
                <w:kern w:val="0"/>
                <w:szCs w:val="21"/>
                <w:lang w:bidi="ar"/>
              </w:rPr>
            </w:pPr>
            <w:r>
              <w:rPr>
                <w:kern w:val="0"/>
                <w:szCs w:val="21"/>
                <w:lang w:bidi="ar"/>
              </w:rPr>
              <w:t>8、支持查看各科室、医疗组的预警病例查看情况，监控医生控费行为</w:t>
            </w:r>
          </w:p>
          <w:p>
            <w:pPr>
              <w:widowControl/>
              <w:spacing w:line="276" w:lineRule="auto"/>
              <w:jc w:val="left"/>
              <w:textAlignment w:val="center"/>
              <w:rPr>
                <w:szCs w:val="21"/>
              </w:rPr>
            </w:pPr>
            <w:r>
              <w:rPr>
                <w:kern w:val="0"/>
                <w:szCs w:val="21"/>
                <w:lang w:bidi="ar"/>
              </w:rPr>
              <w:t>9、支持自由拖动诊断手术调整顺序，增加、修改或减少诊断手术，模拟DIP分组及预警，可与原分组对比查看；支持诊断手术模糊联想输入</w:t>
            </w:r>
          </w:p>
        </w:tc>
      </w:tr>
      <w:tr>
        <w:tblPrEx>
          <w:tblCellMar>
            <w:top w:w="0" w:type="dxa"/>
            <w:left w:w="108" w:type="dxa"/>
            <w:bottom w:w="0" w:type="dxa"/>
            <w:right w:w="108" w:type="dxa"/>
          </w:tblCellMar>
        </w:tblPrEx>
        <w:trPr>
          <w:trHeight w:val="861" w:hRule="atLeast"/>
        </w:trPr>
        <w:tc>
          <w:tcPr>
            <w:tcW w:w="1275" w:type="dxa"/>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szCs w:val="21"/>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76" w:lineRule="auto"/>
              <w:jc w:val="left"/>
              <w:textAlignment w:val="center"/>
              <w:rPr>
                <w:szCs w:val="21"/>
              </w:rPr>
            </w:pPr>
            <w:r>
              <w:rPr>
                <w:kern w:val="0"/>
                <w:szCs w:val="21"/>
                <w:lang w:bidi="ar"/>
              </w:rPr>
              <w:t>已提交病例分析</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kern w:val="0"/>
                <w:szCs w:val="21"/>
                <w:lang w:bidi="ar"/>
              </w:rPr>
            </w:pPr>
            <w:r>
              <w:rPr>
                <w:kern w:val="0"/>
                <w:szCs w:val="21"/>
                <w:lang w:bidi="ar"/>
              </w:rPr>
              <w:t>[病例范围：出院已提交病案归档，但未与医保局结算的病例]</w:t>
            </w:r>
          </w:p>
          <w:p>
            <w:pPr>
              <w:widowControl/>
              <w:spacing w:line="276" w:lineRule="auto"/>
              <w:jc w:val="left"/>
              <w:textAlignment w:val="center"/>
              <w:rPr>
                <w:kern w:val="0"/>
                <w:szCs w:val="21"/>
                <w:lang w:bidi="ar"/>
              </w:rPr>
            </w:pPr>
            <w:r>
              <w:rPr>
                <w:kern w:val="0"/>
                <w:szCs w:val="21"/>
                <w:lang w:bidi="ar"/>
              </w:rPr>
              <w:t>1、支持对比查看编码前与编码后，病例的DIP分组数据及诊断手术信息</w:t>
            </w:r>
          </w:p>
          <w:p>
            <w:pPr>
              <w:widowControl/>
              <w:spacing w:line="276" w:lineRule="auto"/>
              <w:jc w:val="left"/>
              <w:textAlignment w:val="center"/>
              <w:rPr>
                <w:kern w:val="0"/>
                <w:szCs w:val="21"/>
                <w:lang w:bidi="ar"/>
              </w:rPr>
            </w:pPr>
            <w:r>
              <w:rPr>
                <w:kern w:val="0"/>
                <w:szCs w:val="21"/>
                <w:lang w:bidi="ar"/>
              </w:rPr>
              <w:t>2、支持查看病例详情，调整诊断/手术进行模拟分组</w:t>
            </w:r>
          </w:p>
          <w:p>
            <w:pPr>
              <w:widowControl/>
              <w:spacing w:line="276" w:lineRule="auto"/>
              <w:jc w:val="left"/>
              <w:textAlignment w:val="center"/>
              <w:rPr>
                <w:kern w:val="0"/>
                <w:szCs w:val="21"/>
                <w:lang w:bidi="ar"/>
              </w:rPr>
            </w:pPr>
            <w:r>
              <w:rPr>
                <w:kern w:val="0"/>
                <w:szCs w:val="21"/>
                <w:lang w:bidi="ar"/>
              </w:rPr>
              <w:t>3、支持按出院时间、病例类型、住院天数等筛选；支持按姓名、住院号等模糊搜索病例</w:t>
            </w:r>
          </w:p>
          <w:p>
            <w:pPr>
              <w:widowControl/>
              <w:spacing w:line="276" w:lineRule="auto"/>
              <w:jc w:val="left"/>
              <w:textAlignment w:val="center"/>
              <w:rPr>
                <w:szCs w:val="21"/>
              </w:rPr>
            </w:pPr>
            <w:r>
              <w:rPr>
                <w:kern w:val="0"/>
                <w:szCs w:val="21"/>
                <w:lang w:bidi="ar"/>
              </w:rPr>
              <w:t>4、列表指标支持自定义，包含指标字段是否显示和排序的设置</w:t>
            </w:r>
          </w:p>
        </w:tc>
      </w:tr>
    </w:tbl>
    <w:p/>
    <w:p>
      <w:pPr>
        <w:pStyle w:val="5"/>
        <w:numPr>
          <w:ilvl w:val="1"/>
          <w:numId w:val="7"/>
        </w:numPr>
        <w:rPr>
          <w:sz w:val="24"/>
          <w:szCs w:val="24"/>
        </w:rPr>
      </w:pPr>
      <w:bookmarkStart w:id="16" w:name="_Toc31492"/>
      <w:r>
        <w:rPr>
          <w:rFonts w:hint="eastAsia"/>
          <w:sz w:val="24"/>
          <w:szCs w:val="24"/>
          <w:lang w:val="en-US" w:eastAsia="zh-CN"/>
        </w:rPr>
        <w:t xml:space="preserve"> </w:t>
      </w:r>
      <w:r>
        <w:rPr>
          <w:sz w:val="24"/>
          <w:szCs w:val="24"/>
        </w:rPr>
        <w:t>DIP运营分析系统</w:t>
      </w:r>
      <w:bookmarkEnd w:id="16"/>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268"/>
        <w:gridCol w:w="5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trPr>
        <w:tc>
          <w:tcPr>
            <w:tcW w:w="782" w:type="pct"/>
            <w:shd w:val="clear" w:color="auto" w:fill="auto"/>
            <w:vAlign w:val="center"/>
          </w:tcPr>
          <w:p>
            <w:pPr>
              <w:widowControl/>
              <w:spacing w:line="276" w:lineRule="auto"/>
              <w:jc w:val="center"/>
              <w:textAlignment w:val="center"/>
              <w:rPr>
                <w:kern w:val="0"/>
                <w:szCs w:val="21"/>
                <w:lang w:bidi="ar"/>
              </w:rPr>
            </w:pPr>
            <w:r>
              <w:rPr>
                <w:b/>
                <w:bCs/>
                <w:szCs w:val="21"/>
              </w:rPr>
              <w:t>功能模块</w:t>
            </w:r>
          </w:p>
        </w:tc>
        <w:tc>
          <w:tcPr>
            <w:tcW w:w="744" w:type="pct"/>
            <w:shd w:val="clear" w:color="auto" w:fill="auto"/>
            <w:vAlign w:val="center"/>
          </w:tcPr>
          <w:p>
            <w:pPr>
              <w:widowControl/>
              <w:spacing w:line="276" w:lineRule="auto"/>
              <w:jc w:val="left"/>
              <w:textAlignment w:val="center"/>
              <w:rPr>
                <w:kern w:val="0"/>
                <w:szCs w:val="21"/>
                <w:lang w:bidi="ar"/>
              </w:rPr>
            </w:pPr>
            <w:r>
              <w:rPr>
                <w:b/>
                <w:bCs/>
                <w:szCs w:val="21"/>
              </w:rPr>
              <w:t>模块描述</w:t>
            </w:r>
          </w:p>
        </w:tc>
        <w:tc>
          <w:tcPr>
            <w:tcW w:w="3474" w:type="pct"/>
            <w:shd w:val="clear" w:color="auto" w:fill="auto"/>
            <w:vAlign w:val="center"/>
          </w:tcPr>
          <w:p>
            <w:pPr>
              <w:widowControl/>
              <w:spacing w:line="276" w:lineRule="auto"/>
              <w:jc w:val="center"/>
              <w:textAlignment w:val="center"/>
              <w:rPr>
                <w:kern w:val="0"/>
                <w:szCs w:val="21"/>
                <w:lang w:bidi="ar"/>
              </w:rPr>
            </w:pPr>
            <w:r>
              <w:rPr>
                <w:b/>
                <w:bCs/>
                <w:kern w:val="0"/>
                <w:szCs w:val="21"/>
                <w:lang w:bidi="ar"/>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782" w:type="pct"/>
            <w:vMerge w:val="restart"/>
            <w:shd w:val="clear" w:color="auto" w:fill="auto"/>
            <w:vAlign w:val="center"/>
          </w:tcPr>
          <w:p>
            <w:pPr>
              <w:widowControl/>
              <w:spacing w:line="276" w:lineRule="auto"/>
              <w:jc w:val="center"/>
              <w:textAlignment w:val="center"/>
              <w:rPr>
                <w:szCs w:val="21"/>
              </w:rPr>
            </w:pPr>
            <w:r>
              <w:rPr>
                <w:kern w:val="0"/>
                <w:szCs w:val="21"/>
                <w:lang w:bidi="ar"/>
              </w:rPr>
              <w:t>DIP驾驶舱</w:t>
            </w:r>
          </w:p>
        </w:tc>
        <w:tc>
          <w:tcPr>
            <w:tcW w:w="744" w:type="pct"/>
            <w:shd w:val="clear" w:color="auto" w:fill="auto"/>
            <w:vAlign w:val="center"/>
          </w:tcPr>
          <w:p>
            <w:pPr>
              <w:widowControl/>
              <w:spacing w:line="276" w:lineRule="auto"/>
              <w:jc w:val="left"/>
              <w:textAlignment w:val="center"/>
              <w:rPr>
                <w:szCs w:val="21"/>
              </w:rPr>
            </w:pPr>
            <w:r>
              <w:rPr>
                <w:kern w:val="0"/>
                <w:szCs w:val="21"/>
                <w:lang w:bidi="ar"/>
              </w:rPr>
              <w:t>医院DIP整体情况</w:t>
            </w:r>
          </w:p>
        </w:tc>
        <w:tc>
          <w:tcPr>
            <w:tcW w:w="3474" w:type="pct"/>
            <w:shd w:val="clear" w:color="auto" w:fill="auto"/>
            <w:vAlign w:val="center"/>
          </w:tcPr>
          <w:p>
            <w:pPr>
              <w:widowControl/>
              <w:spacing w:line="276" w:lineRule="auto"/>
              <w:jc w:val="left"/>
              <w:textAlignment w:val="center"/>
              <w:rPr>
                <w:kern w:val="0"/>
                <w:szCs w:val="21"/>
                <w:lang w:bidi="ar"/>
              </w:rPr>
            </w:pPr>
            <w:r>
              <w:rPr>
                <w:kern w:val="0"/>
                <w:szCs w:val="21"/>
                <w:lang w:bidi="ar"/>
              </w:rPr>
              <w:t>展示筛选时间段内全院病例数、结余、入组率、CMI、病种数、时间消耗指数、费用消耗指数等DIP核心数据：</w:t>
            </w:r>
          </w:p>
          <w:p>
            <w:pPr>
              <w:widowControl/>
              <w:spacing w:line="276" w:lineRule="auto"/>
              <w:jc w:val="left"/>
              <w:textAlignment w:val="center"/>
              <w:rPr>
                <w:kern w:val="0"/>
                <w:szCs w:val="21"/>
                <w:lang w:bidi="ar"/>
              </w:rPr>
            </w:pPr>
            <w:r>
              <w:rPr>
                <w:kern w:val="0"/>
                <w:szCs w:val="21"/>
                <w:lang w:bidi="ar"/>
              </w:rPr>
              <w:t>1、支持查看核心指标的同比，支持查看核心病种、综合病种占比分布</w:t>
            </w:r>
          </w:p>
          <w:p>
            <w:pPr>
              <w:widowControl/>
              <w:spacing w:line="276" w:lineRule="auto"/>
              <w:jc w:val="left"/>
              <w:textAlignment w:val="center"/>
              <w:rPr>
                <w:kern w:val="0"/>
                <w:szCs w:val="21"/>
                <w:lang w:bidi="ar"/>
              </w:rPr>
            </w:pPr>
            <w:r>
              <w:rPr>
                <w:kern w:val="0"/>
                <w:szCs w:val="21"/>
                <w:lang w:bidi="ar"/>
              </w:rPr>
              <w:t>2、全院出院病例支持查看DIP与非DIP病例分布占比，并可下钻进一步针对病例性质分析</w:t>
            </w:r>
          </w:p>
          <w:p>
            <w:pPr>
              <w:widowControl/>
              <w:spacing w:line="276" w:lineRule="auto"/>
              <w:jc w:val="left"/>
              <w:textAlignment w:val="center"/>
              <w:rPr>
                <w:szCs w:val="21"/>
              </w:rPr>
            </w:pPr>
            <w:r>
              <w:rPr>
                <w:rFonts w:hint="eastAsia" w:ascii="宋体" w:hAnsi="宋体"/>
                <w:kern w:val="0"/>
                <w:szCs w:val="21"/>
                <w:lang w:bidi="ar"/>
              </w:rPr>
              <w:t>▲</w:t>
            </w:r>
            <w:r>
              <w:rPr>
                <w:kern w:val="0"/>
                <w:szCs w:val="21"/>
                <w:lang w:bidi="ar"/>
              </w:rPr>
              <w:t>3、支持查看非DIP病例按DIP进行分组模拟后的核心指标情况，帮助医院预知非DIP病例划入DIP管理后医院的预运营情况</w:t>
            </w:r>
            <w:r>
              <w:rPr>
                <w:rFonts w:hint="eastAsia"/>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82" w:type="pct"/>
            <w:vMerge w:val="continue"/>
            <w:shd w:val="clear" w:color="auto" w:fill="auto"/>
            <w:vAlign w:val="center"/>
          </w:tcPr>
          <w:p>
            <w:pPr>
              <w:widowControl/>
              <w:spacing w:line="276" w:lineRule="auto"/>
              <w:jc w:val="center"/>
              <w:rPr>
                <w:szCs w:val="21"/>
              </w:rPr>
            </w:pPr>
          </w:p>
        </w:tc>
        <w:tc>
          <w:tcPr>
            <w:tcW w:w="744" w:type="pct"/>
            <w:shd w:val="clear" w:color="auto" w:fill="auto"/>
            <w:vAlign w:val="center"/>
          </w:tcPr>
          <w:p>
            <w:pPr>
              <w:widowControl/>
              <w:spacing w:line="276" w:lineRule="auto"/>
              <w:jc w:val="left"/>
              <w:textAlignment w:val="center"/>
              <w:rPr>
                <w:szCs w:val="21"/>
              </w:rPr>
            </w:pPr>
            <w:r>
              <w:rPr>
                <w:kern w:val="0"/>
                <w:szCs w:val="21"/>
                <w:lang w:bidi="ar"/>
              </w:rPr>
              <w:t>全院超支结余分析</w:t>
            </w:r>
          </w:p>
        </w:tc>
        <w:tc>
          <w:tcPr>
            <w:tcW w:w="3474" w:type="pct"/>
            <w:shd w:val="clear" w:color="auto" w:fill="auto"/>
            <w:vAlign w:val="center"/>
          </w:tcPr>
          <w:p>
            <w:pPr>
              <w:widowControl/>
              <w:spacing w:line="276" w:lineRule="auto"/>
              <w:jc w:val="left"/>
              <w:textAlignment w:val="center"/>
              <w:rPr>
                <w:szCs w:val="21"/>
              </w:rPr>
            </w:pPr>
            <w:r>
              <w:rPr>
                <w:kern w:val="0"/>
                <w:szCs w:val="21"/>
                <w:lang w:bidi="ar"/>
              </w:rPr>
              <w:t>展示筛选时间段内的超支结余趋势、超支结余科室分布、病例类型分布、费用偏差病例占比趋势，支持下钻。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82" w:type="pct"/>
            <w:vMerge w:val="continue"/>
            <w:shd w:val="clear" w:color="auto" w:fill="auto"/>
            <w:vAlign w:val="center"/>
          </w:tcPr>
          <w:p>
            <w:pPr>
              <w:widowControl/>
              <w:spacing w:line="276" w:lineRule="auto"/>
              <w:jc w:val="center"/>
              <w:rPr>
                <w:szCs w:val="21"/>
              </w:rPr>
            </w:pPr>
          </w:p>
        </w:tc>
        <w:tc>
          <w:tcPr>
            <w:tcW w:w="744" w:type="pct"/>
            <w:shd w:val="clear" w:color="auto" w:fill="auto"/>
            <w:vAlign w:val="center"/>
          </w:tcPr>
          <w:p>
            <w:pPr>
              <w:widowControl/>
              <w:spacing w:line="276" w:lineRule="auto"/>
              <w:jc w:val="left"/>
              <w:textAlignment w:val="center"/>
              <w:rPr>
                <w:szCs w:val="21"/>
              </w:rPr>
            </w:pPr>
            <w:r>
              <w:rPr>
                <w:kern w:val="0"/>
                <w:szCs w:val="21"/>
                <w:lang w:bidi="ar"/>
              </w:rPr>
              <w:t>全院费用构成分析</w:t>
            </w:r>
          </w:p>
        </w:tc>
        <w:tc>
          <w:tcPr>
            <w:tcW w:w="3474" w:type="pct"/>
            <w:shd w:val="clear" w:color="auto" w:fill="auto"/>
            <w:vAlign w:val="center"/>
          </w:tcPr>
          <w:p>
            <w:pPr>
              <w:widowControl/>
              <w:spacing w:line="276" w:lineRule="auto"/>
              <w:jc w:val="left"/>
              <w:textAlignment w:val="center"/>
              <w:rPr>
                <w:kern w:val="0"/>
                <w:szCs w:val="21"/>
                <w:lang w:bidi="ar"/>
              </w:rPr>
            </w:pPr>
            <w:r>
              <w:rPr>
                <w:kern w:val="0"/>
                <w:szCs w:val="21"/>
                <w:lang w:bidi="ar"/>
              </w:rPr>
              <w:t>1、展示筛选时间段内各费用类型的金额及占比分布</w:t>
            </w:r>
          </w:p>
          <w:p>
            <w:pPr>
              <w:widowControl/>
              <w:spacing w:line="276" w:lineRule="auto"/>
              <w:jc w:val="left"/>
              <w:textAlignment w:val="center"/>
              <w:rPr>
                <w:kern w:val="0"/>
                <w:szCs w:val="21"/>
                <w:lang w:bidi="ar"/>
              </w:rPr>
            </w:pPr>
            <w:r>
              <w:rPr>
                <w:kern w:val="0"/>
                <w:szCs w:val="21"/>
                <w:lang w:bidi="ar"/>
              </w:rPr>
              <w:t>2、展示药占比、耗占比、医技费用占比时间序列趋势</w:t>
            </w:r>
          </w:p>
          <w:p>
            <w:pPr>
              <w:widowControl/>
              <w:spacing w:line="276" w:lineRule="auto"/>
              <w:jc w:val="left"/>
              <w:textAlignment w:val="center"/>
              <w:rPr>
                <w:szCs w:val="21"/>
              </w:rPr>
            </w:pPr>
            <w:r>
              <w:rPr>
                <w:rFonts w:hint="eastAsia" w:ascii="宋体" w:hAnsi="宋体"/>
                <w:kern w:val="0"/>
                <w:szCs w:val="21"/>
                <w:lang w:bidi="ar"/>
              </w:rPr>
              <w:t>▲</w:t>
            </w:r>
            <w:r>
              <w:rPr>
                <w:kern w:val="0"/>
                <w:szCs w:val="21"/>
                <w:lang w:bidi="ar"/>
              </w:rPr>
              <w:t>3、支持重点查看费用偏差病例的费用构成和趋势情况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82" w:type="pct"/>
            <w:vMerge w:val="continue"/>
            <w:shd w:val="clear" w:color="auto" w:fill="auto"/>
            <w:vAlign w:val="center"/>
          </w:tcPr>
          <w:p>
            <w:pPr>
              <w:widowControl/>
              <w:spacing w:line="276" w:lineRule="auto"/>
              <w:jc w:val="center"/>
              <w:rPr>
                <w:szCs w:val="21"/>
              </w:rPr>
            </w:pPr>
          </w:p>
        </w:tc>
        <w:tc>
          <w:tcPr>
            <w:tcW w:w="744" w:type="pct"/>
            <w:shd w:val="clear" w:color="auto" w:fill="auto"/>
            <w:vAlign w:val="center"/>
          </w:tcPr>
          <w:p>
            <w:pPr>
              <w:widowControl/>
              <w:spacing w:line="276" w:lineRule="auto"/>
              <w:jc w:val="left"/>
              <w:textAlignment w:val="center"/>
              <w:rPr>
                <w:szCs w:val="21"/>
              </w:rPr>
            </w:pPr>
            <w:r>
              <w:rPr>
                <w:kern w:val="0"/>
                <w:szCs w:val="21"/>
                <w:lang w:bidi="ar"/>
              </w:rPr>
              <w:t>全院资源使用效率分析</w:t>
            </w:r>
          </w:p>
        </w:tc>
        <w:tc>
          <w:tcPr>
            <w:tcW w:w="3474" w:type="pct"/>
            <w:shd w:val="clear" w:color="auto" w:fill="auto"/>
            <w:vAlign w:val="center"/>
          </w:tcPr>
          <w:p>
            <w:pPr>
              <w:widowControl/>
              <w:spacing w:line="276" w:lineRule="auto"/>
              <w:jc w:val="left"/>
              <w:textAlignment w:val="center"/>
              <w:rPr>
                <w:szCs w:val="21"/>
              </w:rPr>
            </w:pPr>
            <w:r>
              <w:rPr>
                <w:kern w:val="0"/>
                <w:szCs w:val="21"/>
                <w:lang w:bidi="ar"/>
              </w:rPr>
              <w:t>展示筛选时间段内次均费用与平均住院日趋势，支持与去年同期比较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82" w:type="pct"/>
            <w:vMerge w:val="continue"/>
            <w:shd w:val="clear" w:color="auto" w:fill="auto"/>
            <w:vAlign w:val="center"/>
          </w:tcPr>
          <w:p>
            <w:pPr>
              <w:widowControl/>
              <w:spacing w:line="276" w:lineRule="auto"/>
              <w:jc w:val="center"/>
              <w:rPr>
                <w:szCs w:val="21"/>
              </w:rPr>
            </w:pPr>
          </w:p>
        </w:tc>
        <w:tc>
          <w:tcPr>
            <w:tcW w:w="744" w:type="pct"/>
            <w:shd w:val="clear" w:color="auto" w:fill="auto"/>
            <w:vAlign w:val="center"/>
          </w:tcPr>
          <w:p>
            <w:pPr>
              <w:widowControl/>
              <w:spacing w:line="276" w:lineRule="auto"/>
              <w:jc w:val="left"/>
              <w:textAlignment w:val="center"/>
              <w:rPr>
                <w:szCs w:val="21"/>
              </w:rPr>
            </w:pPr>
            <w:r>
              <w:rPr>
                <w:kern w:val="0"/>
                <w:szCs w:val="21"/>
                <w:lang w:bidi="ar"/>
              </w:rPr>
              <w:t>全院病组构成分析</w:t>
            </w:r>
          </w:p>
        </w:tc>
        <w:tc>
          <w:tcPr>
            <w:tcW w:w="3474" w:type="pct"/>
            <w:shd w:val="clear" w:color="auto" w:fill="auto"/>
            <w:vAlign w:val="center"/>
          </w:tcPr>
          <w:p>
            <w:pPr>
              <w:widowControl/>
              <w:spacing w:line="276" w:lineRule="auto"/>
              <w:jc w:val="left"/>
              <w:textAlignment w:val="center"/>
              <w:rPr>
                <w:kern w:val="0"/>
                <w:szCs w:val="21"/>
                <w:lang w:bidi="ar"/>
              </w:rPr>
            </w:pPr>
            <w:r>
              <w:rPr>
                <w:kern w:val="0"/>
                <w:szCs w:val="21"/>
                <w:lang w:bidi="ar"/>
              </w:rPr>
              <w:t>1、支持展示筛选时间段内CMI趋势</w:t>
            </w:r>
          </w:p>
          <w:p>
            <w:pPr>
              <w:widowControl/>
              <w:spacing w:line="276" w:lineRule="auto"/>
              <w:jc w:val="left"/>
              <w:textAlignment w:val="center"/>
              <w:rPr>
                <w:szCs w:val="21"/>
              </w:rPr>
            </w:pPr>
            <w:r>
              <w:rPr>
                <w:rFonts w:hint="eastAsia" w:ascii="宋体" w:hAnsi="宋体"/>
                <w:kern w:val="0"/>
                <w:szCs w:val="21"/>
                <w:lang w:bidi="ar"/>
              </w:rPr>
              <w:t>▲</w:t>
            </w:r>
            <w:r>
              <w:rPr>
                <w:kern w:val="0"/>
                <w:szCs w:val="21"/>
                <w:lang w:bidi="ar"/>
              </w:rPr>
              <w:t>2、病种分值区间分布分析，查看各分值区间病例数/病种数占比及结余，分值区间支持根据医院情况自定义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1" w:hRule="atLeast"/>
        </w:trPr>
        <w:tc>
          <w:tcPr>
            <w:tcW w:w="782" w:type="pct"/>
            <w:vMerge w:val="restart"/>
            <w:shd w:val="clear" w:color="auto" w:fill="auto"/>
            <w:vAlign w:val="center"/>
          </w:tcPr>
          <w:p>
            <w:pPr>
              <w:widowControl/>
              <w:spacing w:line="276" w:lineRule="auto"/>
              <w:jc w:val="center"/>
              <w:textAlignment w:val="center"/>
              <w:rPr>
                <w:szCs w:val="21"/>
              </w:rPr>
            </w:pPr>
            <w:r>
              <w:rPr>
                <w:kern w:val="0"/>
                <w:szCs w:val="21"/>
                <w:lang w:bidi="ar"/>
              </w:rPr>
              <w:t>科室综合分析</w:t>
            </w:r>
          </w:p>
        </w:tc>
        <w:tc>
          <w:tcPr>
            <w:tcW w:w="744" w:type="pct"/>
            <w:shd w:val="clear" w:color="auto" w:fill="auto"/>
            <w:vAlign w:val="center"/>
          </w:tcPr>
          <w:p>
            <w:pPr>
              <w:widowControl/>
              <w:spacing w:line="276" w:lineRule="auto"/>
              <w:jc w:val="left"/>
              <w:textAlignment w:val="center"/>
              <w:rPr>
                <w:szCs w:val="21"/>
              </w:rPr>
            </w:pPr>
            <w:r>
              <w:rPr>
                <w:kern w:val="0"/>
                <w:szCs w:val="21"/>
                <w:lang w:bidi="ar"/>
              </w:rPr>
              <w:t>科室对比分析</w:t>
            </w:r>
          </w:p>
        </w:tc>
        <w:tc>
          <w:tcPr>
            <w:tcW w:w="3474" w:type="pct"/>
            <w:shd w:val="clear" w:color="auto" w:fill="auto"/>
            <w:vAlign w:val="center"/>
          </w:tcPr>
          <w:p>
            <w:pPr>
              <w:widowControl/>
              <w:spacing w:line="276" w:lineRule="auto"/>
              <w:jc w:val="left"/>
              <w:textAlignment w:val="center"/>
              <w:rPr>
                <w:kern w:val="0"/>
                <w:szCs w:val="21"/>
                <w:lang w:bidi="ar"/>
              </w:rPr>
            </w:pPr>
            <w:r>
              <w:rPr>
                <w:kern w:val="0"/>
                <w:szCs w:val="21"/>
                <w:lang w:bidi="ar"/>
              </w:rPr>
              <w:t>1、按出院科室分析，展示科室病例数、结余、CMI、各病例类型占比、X天再入院病例数、时间消耗指数、费用消耗指数等DIP相关指标数据对比，支持下钻</w:t>
            </w:r>
          </w:p>
          <w:p>
            <w:pPr>
              <w:widowControl/>
              <w:spacing w:line="276" w:lineRule="auto"/>
              <w:jc w:val="left"/>
              <w:textAlignment w:val="center"/>
              <w:rPr>
                <w:kern w:val="0"/>
                <w:szCs w:val="21"/>
                <w:lang w:bidi="ar"/>
              </w:rPr>
            </w:pPr>
            <w:r>
              <w:rPr>
                <w:rFonts w:hint="eastAsia" w:ascii="宋体" w:hAnsi="宋体"/>
                <w:kern w:val="0"/>
                <w:szCs w:val="21"/>
                <w:lang w:bidi="ar"/>
              </w:rPr>
              <w:t>▲</w:t>
            </w:r>
            <w:r>
              <w:rPr>
                <w:kern w:val="0"/>
                <w:szCs w:val="21"/>
                <w:lang w:bidi="ar"/>
              </w:rPr>
              <w:t>2、按管理科室分析，支持自定义组合多院区科室、同类型科室（如内科）为管理科室，查看科室汇总数据及各科室的对比数据，用于多院区科室管理、同类科室绩效分配。</w:t>
            </w:r>
          </w:p>
          <w:p>
            <w:pPr>
              <w:widowControl/>
              <w:spacing w:line="276" w:lineRule="auto"/>
              <w:jc w:val="left"/>
              <w:textAlignment w:val="center"/>
              <w:rPr>
                <w:kern w:val="0"/>
                <w:szCs w:val="21"/>
                <w:lang w:bidi="ar"/>
              </w:rPr>
            </w:pPr>
            <w:r>
              <w:rPr>
                <w:kern w:val="0"/>
                <w:szCs w:val="21"/>
                <w:lang w:bidi="ar"/>
              </w:rPr>
              <w:t>3、场景主题分析，包括科室超支结余分析、科室费用结构分析、出院带药分析、不合理入院分析、目标分析，支持根据账号选择场景的显示与否</w:t>
            </w:r>
          </w:p>
          <w:p>
            <w:pPr>
              <w:widowControl/>
              <w:spacing w:line="276" w:lineRule="auto"/>
              <w:jc w:val="left"/>
              <w:textAlignment w:val="center"/>
              <w:rPr>
                <w:kern w:val="0"/>
                <w:szCs w:val="21"/>
                <w:lang w:bidi="ar"/>
              </w:rPr>
            </w:pPr>
            <w:r>
              <w:rPr>
                <w:kern w:val="0"/>
                <w:szCs w:val="21"/>
                <w:lang w:bidi="ar"/>
              </w:rPr>
              <w:t>3.1 超支结余分析：超支结余科室排名及各科室超支结余对比分析</w:t>
            </w:r>
          </w:p>
          <w:p>
            <w:pPr>
              <w:widowControl/>
              <w:spacing w:line="276" w:lineRule="auto"/>
              <w:jc w:val="left"/>
              <w:textAlignment w:val="center"/>
              <w:rPr>
                <w:kern w:val="0"/>
                <w:szCs w:val="21"/>
                <w:lang w:bidi="ar"/>
              </w:rPr>
            </w:pPr>
            <w:r>
              <w:rPr>
                <w:kern w:val="0"/>
                <w:szCs w:val="21"/>
                <w:lang w:bidi="ar"/>
              </w:rPr>
              <w:t>3.2 费用结构分析：各科室各费用项对比分析，支持按超支或结余科室分别查看</w:t>
            </w:r>
          </w:p>
          <w:p>
            <w:pPr>
              <w:widowControl/>
              <w:spacing w:line="276" w:lineRule="auto"/>
              <w:jc w:val="left"/>
              <w:textAlignment w:val="center"/>
              <w:rPr>
                <w:kern w:val="0"/>
                <w:szCs w:val="21"/>
                <w:lang w:bidi="ar"/>
              </w:rPr>
            </w:pPr>
            <w:r>
              <w:rPr>
                <w:rFonts w:hint="eastAsia" w:ascii="宋体" w:hAnsi="宋体"/>
                <w:kern w:val="0"/>
                <w:szCs w:val="21"/>
                <w:lang w:bidi="ar"/>
              </w:rPr>
              <w:t>▲</w:t>
            </w:r>
            <w:r>
              <w:rPr>
                <w:kern w:val="0"/>
                <w:szCs w:val="21"/>
                <w:lang w:bidi="ar"/>
              </w:rPr>
              <w:t>3.3 出院带药分析：各科室出院带药情况对比分析，支持按超支或结余科室分别查看</w:t>
            </w:r>
          </w:p>
          <w:p>
            <w:pPr>
              <w:widowControl/>
              <w:spacing w:line="276" w:lineRule="auto"/>
              <w:jc w:val="left"/>
              <w:textAlignment w:val="center"/>
              <w:rPr>
                <w:kern w:val="0"/>
                <w:szCs w:val="21"/>
                <w:lang w:bidi="ar"/>
              </w:rPr>
            </w:pPr>
            <w:r>
              <w:rPr>
                <w:rFonts w:hint="eastAsia" w:ascii="宋体" w:hAnsi="宋体"/>
                <w:kern w:val="0"/>
                <w:szCs w:val="21"/>
                <w:lang w:bidi="ar"/>
              </w:rPr>
              <w:t>▲</w:t>
            </w:r>
            <w:r>
              <w:rPr>
                <w:kern w:val="0"/>
                <w:szCs w:val="21"/>
                <w:lang w:bidi="ar"/>
              </w:rPr>
              <w:t>3.4 不合理入院分析：各科室轻症入院、体检入院病例对比分析，支持按超支或结余科室分别查看</w:t>
            </w:r>
          </w:p>
          <w:p>
            <w:pPr>
              <w:widowControl/>
              <w:spacing w:line="276" w:lineRule="auto"/>
              <w:jc w:val="left"/>
              <w:textAlignment w:val="center"/>
              <w:rPr>
                <w:kern w:val="0"/>
                <w:szCs w:val="21"/>
                <w:lang w:bidi="ar"/>
              </w:rPr>
            </w:pPr>
            <w:r>
              <w:rPr>
                <w:rFonts w:hint="eastAsia" w:ascii="宋体" w:hAnsi="宋体"/>
                <w:kern w:val="0"/>
                <w:szCs w:val="21"/>
                <w:lang w:bidi="ar"/>
              </w:rPr>
              <w:t>▲</w:t>
            </w:r>
            <w:r>
              <w:rPr>
                <w:kern w:val="0"/>
                <w:szCs w:val="21"/>
                <w:lang w:bidi="ar"/>
              </w:rPr>
              <w:t>3.5 运行目标分析：各科室药耗/医技占比、平均住院日等指标的标杆达成情况对比分析，支持自定义设置各科室标杆值，支持按超支或结余科室分别查看</w:t>
            </w:r>
          </w:p>
          <w:p>
            <w:pPr>
              <w:widowControl/>
              <w:spacing w:line="276" w:lineRule="auto"/>
              <w:jc w:val="left"/>
              <w:textAlignment w:val="center"/>
              <w:rPr>
                <w:kern w:val="0"/>
                <w:szCs w:val="21"/>
                <w:lang w:bidi="ar"/>
              </w:rPr>
            </w:pPr>
            <w:r>
              <w:rPr>
                <w:kern w:val="0"/>
                <w:szCs w:val="21"/>
                <w:lang w:bidi="ar"/>
              </w:rPr>
              <w:t>4、支持年/季/月时间区间、病例范围筛选；支持模糊搜索科室</w:t>
            </w:r>
          </w:p>
          <w:p>
            <w:pPr>
              <w:widowControl/>
              <w:spacing w:line="276" w:lineRule="auto"/>
              <w:jc w:val="left"/>
              <w:textAlignment w:val="center"/>
              <w:rPr>
                <w:kern w:val="0"/>
                <w:szCs w:val="21"/>
                <w:lang w:bidi="ar"/>
              </w:rPr>
            </w:pPr>
            <w:r>
              <w:rPr>
                <w:rFonts w:hint="eastAsia" w:ascii="宋体" w:hAnsi="宋体"/>
                <w:kern w:val="0"/>
                <w:szCs w:val="21"/>
                <w:lang w:bidi="ar"/>
              </w:rPr>
              <w:t>▲</w:t>
            </w:r>
            <w:r>
              <w:rPr>
                <w:kern w:val="0"/>
                <w:szCs w:val="21"/>
                <w:lang w:bidi="ar"/>
              </w:rPr>
              <w:t>5、支持对场景主题分析提炼分析总结，辅助管理者决策</w:t>
            </w:r>
          </w:p>
          <w:p>
            <w:pPr>
              <w:widowControl/>
              <w:spacing w:line="276" w:lineRule="auto"/>
              <w:jc w:val="left"/>
              <w:textAlignment w:val="center"/>
              <w:rPr>
                <w:kern w:val="0"/>
                <w:szCs w:val="21"/>
                <w:lang w:bidi="ar"/>
              </w:rPr>
            </w:pPr>
            <w:r>
              <w:rPr>
                <w:rFonts w:hint="eastAsia" w:ascii="宋体" w:hAnsi="宋体"/>
                <w:kern w:val="0"/>
                <w:szCs w:val="21"/>
                <w:lang w:bidi="ar"/>
              </w:rPr>
              <w:t>▲</w:t>
            </w:r>
            <w:r>
              <w:rPr>
                <w:kern w:val="0"/>
                <w:szCs w:val="21"/>
                <w:lang w:bidi="ar"/>
              </w:rPr>
              <w:t>6、列表指标支持自定义，包含指标字段是否显示和排序的设置</w:t>
            </w:r>
          </w:p>
          <w:p>
            <w:pPr>
              <w:widowControl/>
              <w:spacing w:line="276" w:lineRule="auto"/>
              <w:jc w:val="left"/>
              <w:textAlignment w:val="center"/>
              <w:rPr>
                <w:szCs w:val="21"/>
              </w:rPr>
            </w:pPr>
            <w:r>
              <w:rPr>
                <w:kern w:val="0"/>
                <w:szCs w:val="21"/>
                <w:lang w:bidi="ar"/>
              </w:rPr>
              <w:t>7、支持多维度指标报表下载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82" w:type="pct"/>
            <w:vMerge w:val="continue"/>
            <w:shd w:val="clear" w:color="auto" w:fill="auto"/>
            <w:vAlign w:val="center"/>
          </w:tcPr>
          <w:p>
            <w:pPr>
              <w:widowControl/>
              <w:spacing w:line="276" w:lineRule="auto"/>
              <w:jc w:val="center"/>
              <w:rPr>
                <w:szCs w:val="21"/>
              </w:rPr>
            </w:pPr>
          </w:p>
        </w:tc>
        <w:tc>
          <w:tcPr>
            <w:tcW w:w="744" w:type="pct"/>
            <w:shd w:val="clear" w:color="auto" w:fill="auto"/>
            <w:vAlign w:val="center"/>
          </w:tcPr>
          <w:p>
            <w:pPr>
              <w:widowControl/>
              <w:spacing w:line="276" w:lineRule="auto"/>
              <w:jc w:val="left"/>
              <w:textAlignment w:val="center"/>
              <w:rPr>
                <w:szCs w:val="21"/>
              </w:rPr>
            </w:pPr>
            <w:r>
              <w:rPr>
                <w:kern w:val="0"/>
                <w:szCs w:val="21"/>
                <w:lang w:bidi="ar"/>
              </w:rPr>
              <w:t>科室主页（科室下钻分析）</w:t>
            </w:r>
          </w:p>
        </w:tc>
        <w:tc>
          <w:tcPr>
            <w:tcW w:w="3474" w:type="pct"/>
            <w:shd w:val="clear" w:color="auto" w:fill="auto"/>
            <w:vAlign w:val="center"/>
          </w:tcPr>
          <w:p>
            <w:pPr>
              <w:widowControl/>
              <w:spacing w:line="276" w:lineRule="auto"/>
              <w:jc w:val="left"/>
              <w:textAlignment w:val="center"/>
              <w:rPr>
                <w:kern w:val="0"/>
                <w:szCs w:val="21"/>
                <w:lang w:bidi="ar"/>
              </w:rPr>
            </w:pPr>
            <w:r>
              <w:rPr>
                <w:kern w:val="0"/>
                <w:szCs w:val="21"/>
                <w:lang w:bidi="ar"/>
              </w:rPr>
              <w:t>[单科室下DIP运营数据统计分析]</w:t>
            </w:r>
          </w:p>
          <w:p>
            <w:pPr>
              <w:widowControl/>
              <w:spacing w:line="276" w:lineRule="auto"/>
              <w:jc w:val="left"/>
              <w:textAlignment w:val="center"/>
              <w:rPr>
                <w:kern w:val="0"/>
                <w:szCs w:val="21"/>
                <w:lang w:bidi="ar"/>
              </w:rPr>
            </w:pPr>
            <w:r>
              <w:rPr>
                <w:kern w:val="0"/>
                <w:szCs w:val="21"/>
                <w:lang w:bidi="ar"/>
              </w:rPr>
              <w:t>1、总览：所选科室在所选时间段内DIP核心数据，包含病例数、CMI、结余、药耗占比、病种构成、平均住院日等，其中病例数支持下钻</w:t>
            </w:r>
          </w:p>
          <w:p>
            <w:pPr>
              <w:widowControl/>
              <w:spacing w:line="276" w:lineRule="auto"/>
              <w:jc w:val="left"/>
              <w:textAlignment w:val="center"/>
              <w:rPr>
                <w:kern w:val="0"/>
                <w:szCs w:val="21"/>
                <w:lang w:bidi="ar"/>
              </w:rPr>
            </w:pPr>
            <w:r>
              <w:rPr>
                <w:kern w:val="0"/>
                <w:szCs w:val="21"/>
                <w:lang w:bidi="ar"/>
              </w:rPr>
              <w:t>2、超支结余分析：所选科室在所选时间段内超支结余/次均结余趋势、超支结余病种分布及趋势、超支结余病例分布及趋势、病例类型分布及趋势；支持下钻；支持针对分析结果进行总结，辅助决策</w:t>
            </w:r>
          </w:p>
          <w:p>
            <w:pPr>
              <w:widowControl/>
              <w:spacing w:line="276" w:lineRule="auto"/>
              <w:jc w:val="left"/>
              <w:textAlignment w:val="center"/>
              <w:rPr>
                <w:kern w:val="0"/>
                <w:szCs w:val="21"/>
                <w:lang w:bidi="ar"/>
              </w:rPr>
            </w:pPr>
            <w:r>
              <w:rPr>
                <w:kern w:val="0"/>
                <w:szCs w:val="21"/>
                <w:lang w:bidi="ar"/>
              </w:rPr>
              <w:t>3、费用构成分析：所选科室在所选时间段内各位费用类型的金额及占比，药耗占比、医技占比趋势，支持按病例类型选择统计范围</w:t>
            </w:r>
          </w:p>
          <w:p>
            <w:pPr>
              <w:widowControl/>
              <w:spacing w:line="276" w:lineRule="auto"/>
              <w:jc w:val="left"/>
              <w:textAlignment w:val="center"/>
              <w:rPr>
                <w:kern w:val="0"/>
                <w:szCs w:val="21"/>
                <w:lang w:bidi="ar"/>
              </w:rPr>
            </w:pPr>
            <w:r>
              <w:rPr>
                <w:kern w:val="0"/>
                <w:szCs w:val="21"/>
                <w:lang w:bidi="ar"/>
              </w:rPr>
              <w:t>4、病种构成分析：支持矩阵分析，分析所选科室优势病种、劣势病种；支持数据对比与下钻；病种分值区间分布分析，查看各分值区间病例数/病种数占比及结余，分值区间支持根据医院情况自定义</w:t>
            </w:r>
          </w:p>
          <w:p>
            <w:pPr>
              <w:widowControl/>
              <w:spacing w:line="276" w:lineRule="auto"/>
              <w:jc w:val="left"/>
              <w:textAlignment w:val="center"/>
              <w:rPr>
                <w:kern w:val="0"/>
                <w:szCs w:val="21"/>
                <w:lang w:bidi="ar"/>
              </w:rPr>
            </w:pPr>
            <w:r>
              <w:rPr>
                <w:kern w:val="0"/>
                <w:szCs w:val="21"/>
                <w:lang w:bidi="ar"/>
              </w:rPr>
              <w:t>5、资源使用效率分析：所选科室所在时间段内平均住院日趋势、次均费用趋势，支持与标杆值对比，标杆值支持自定义</w:t>
            </w:r>
          </w:p>
          <w:p>
            <w:pPr>
              <w:widowControl/>
              <w:spacing w:line="276" w:lineRule="auto"/>
              <w:jc w:val="left"/>
              <w:textAlignment w:val="center"/>
              <w:rPr>
                <w:kern w:val="0"/>
                <w:szCs w:val="21"/>
                <w:lang w:bidi="ar"/>
              </w:rPr>
            </w:pPr>
            <w:r>
              <w:rPr>
                <w:kern w:val="0"/>
                <w:szCs w:val="21"/>
                <w:lang w:bidi="ar"/>
              </w:rPr>
              <w:t>6、病历质量分析：所选科室在所选时间段内影响分组的质控问题病例数趋势、分值变化趋势、结余变化趋势，支持下钻查看具体问题和病例</w:t>
            </w:r>
          </w:p>
          <w:p>
            <w:pPr>
              <w:widowControl/>
              <w:spacing w:line="276" w:lineRule="auto"/>
              <w:jc w:val="left"/>
              <w:textAlignment w:val="center"/>
              <w:rPr>
                <w:kern w:val="0"/>
                <w:szCs w:val="21"/>
                <w:lang w:bidi="ar"/>
              </w:rPr>
            </w:pPr>
            <w:r>
              <w:rPr>
                <w:kern w:val="0"/>
                <w:szCs w:val="21"/>
                <w:lang w:bidi="ar"/>
              </w:rPr>
              <w:t>7、病种列表：同科室下不同病种DIP运营数据对比，支持下载</w:t>
            </w:r>
          </w:p>
          <w:p>
            <w:pPr>
              <w:widowControl/>
              <w:spacing w:line="276" w:lineRule="auto"/>
              <w:jc w:val="left"/>
              <w:textAlignment w:val="center"/>
              <w:rPr>
                <w:kern w:val="0"/>
                <w:szCs w:val="21"/>
                <w:lang w:bidi="ar"/>
              </w:rPr>
            </w:pPr>
            <w:r>
              <w:rPr>
                <w:kern w:val="0"/>
                <w:szCs w:val="21"/>
                <w:lang w:bidi="ar"/>
              </w:rPr>
              <w:t>8、医疗组列表：同科室下不同医疗组DIP运营数据对比，支持下载</w:t>
            </w:r>
          </w:p>
          <w:p>
            <w:pPr>
              <w:widowControl/>
              <w:spacing w:line="276" w:lineRule="auto"/>
              <w:jc w:val="left"/>
              <w:textAlignment w:val="center"/>
              <w:rPr>
                <w:kern w:val="0"/>
                <w:szCs w:val="21"/>
                <w:lang w:bidi="ar"/>
              </w:rPr>
            </w:pPr>
            <w:r>
              <w:rPr>
                <w:kern w:val="0"/>
                <w:szCs w:val="21"/>
                <w:lang w:bidi="ar"/>
              </w:rPr>
              <w:t>9、医生列表：同科室下不同医生DIP运营数据对比，支持下载</w:t>
            </w:r>
          </w:p>
          <w:p>
            <w:pPr>
              <w:widowControl/>
              <w:spacing w:line="276" w:lineRule="auto"/>
              <w:jc w:val="left"/>
              <w:textAlignment w:val="center"/>
              <w:rPr>
                <w:szCs w:val="21"/>
              </w:rPr>
            </w:pPr>
            <w:r>
              <w:rPr>
                <w:kern w:val="0"/>
                <w:szCs w:val="21"/>
                <w:lang w:bidi="ar"/>
              </w:rPr>
              <w:t>10、病例列表：所选科室所选时间段内所有病例数据，支持多维度筛选、查看详情、下载；支持针对筛选结果进行总结分析；支持快速定位死亡病例、四级手术病例、微创手术病例、开放式手术病例等病例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5" w:hRule="atLeast"/>
        </w:trPr>
        <w:tc>
          <w:tcPr>
            <w:tcW w:w="782" w:type="pct"/>
            <w:vMerge w:val="restart"/>
            <w:shd w:val="clear" w:color="auto" w:fill="auto"/>
            <w:vAlign w:val="center"/>
          </w:tcPr>
          <w:p>
            <w:pPr>
              <w:widowControl/>
              <w:spacing w:line="276" w:lineRule="auto"/>
              <w:jc w:val="center"/>
              <w:textAlignment w:val="center"/>
              <w:rPr>
                <w:szCs w:val="21"/>
              </w:rPr>
            </w:pPr>
            <w:r>
              <w:rPr>
                <w:kern w:val="0"/>
                <w:szCs w:val="21"/>
                <w:lang w:bidi="ar"/>
              </w:rPr>
              <w:t>病种综合分析</w:t>
            </w:r>
          </w:p>
        </w:tc>
        <w:tc>
          <w:tcPr>
            <w:tcW w:w="744" w:type="pct"/>
            <w:shd w:val="clear" w:color="auto" w:fill="auto"/>
            <w:vAlign w:val="center"/>
          </w:tcPr>
          <w:p>
            <w:pPr>
              <w:widowControl/>
              <w:spacing w:line="276" w:lineRule="auto"/>
              <w:jc w:val="left"/>
              <w:textAlignment w:val="center"/>
              <w:rPr>
                <w:szCs w:val="21"/>
              </w:rPr>
            </w:pPr>
            <w:r>
              <w:rPr>
                <w:kern w:val="0"/>
                <w:szCs w:val="21"/>
                <w:lang w:bidi="ar"/>
              </w:rPr>
              <w:t>病种对比分析</w:t>
            </w:r>
          </w:p>
        </w:tc>
        <w:tc>
          <w:tcPr>
            <w:tcW w:w="3474" w:type="pct"/>
            <w:shd w:val="clear" w:color="auto" w:fill="auto"/>
            <w:vAlign w:val="center"/>
          </w:tcPr>
          <w:p>
            <w:pPr>
              <w:widowControl/>
              <w:spacing w:line="276" w:lineRule="auto"/>
              <w:jc w:val="left"/>
              <w:textAlignment w:val="center"/>
              <w:rPr>
                <w:kern w:val="0"/>
                <w:szCs w:val="21"/>
                <w:lang w:bidi="ar"/>
              </w:rPr>
            </w:pPr>
            <w:r>
              <w:rPr>
                <w:kern w:val="0"/>
                <w:szCs w:val="21"/>
                <w:lang w:bidi="ar"/>
              </w:rPr>
              <w:t>1、展示病种病例数、结余、病种分值、时间消耗指数、费用消耗指数等医保DIP相关指标数据对比，支持下钻</w:t>
            </w:r>
          </w:p>
          <w:p>
            <w:pPr>
              <w:widowControl/>
              <w:spacing w:line="276" w:lineRule="auto"/>
              <w:jc w:val="left"/>
              <w:textAlignment w:val="center"/>
              <w:rPr>
                <w:kern w:val="0"/>
                <w:szCs w:val="21"/>
                <w:lang w:bidi="ar"/>
              </w:rPr>
            </w:pPr>
            <w:r>
              <w:rPr>
                <w:kern w:val="0"/>
                <w:szCs w:val="21"/>
                <w:lang w:bidi="ar"/>
              </w:rPr>
              <w:t>2、场景主题分析，包括病种超支结余分析、病种费用结构分析、病种分值区间分布分析、目标分析，支持根据账号选择场景的显示与否</w:t>
            </w:r>
          </w:p>
          <w:p>
            <w:pPr>
              <w:widowControl/>
              <w:spacing w:line="276" w:lineRule="auto"/>
              <w:jc w:val="left"/>
              <w:textAlignment w:val="center"/>
              <w:rPr>
                <w:kern w:val="0"/>
                <w:szCs w:val="21"/>
                <w:lang w:bidi="ar"/>
              </w:rPr>
            </w:pPr>
            <w:r>
              <w:rPr>
                <w:kern w:val="0"/>
                <w:szCs w:val="21"/>
                <w:lang w:bidi="ar"/>
              </w:rPr>
              <w:t>2.1 超支结余分析：超支结余病种排名及各病种超支结余对比分析</w:t>
            </w:r>
          </w:p>
          <w:p>
            <w:pPr>
              <w:widowControl/>
              <w:spacing w:line="276" w:lineRule="auto"/>
              <w:jc w:val="left"/>
              <w:textAlignment w:val="center"/>
              <w:rPr>
                <w:kern w:val="0"/>
                <w:szCs w:val="21"/>
                <w:lang w:bidi="ar"/>
              </w:rPr>
            </w:pPr>
            <w:r>
              <w:rPr>
                <w:kern w:val="0"/>
                <w:szCs w:val="21"/>
                <w:lang w:bidi="ar"/>
              </w:rPr>
              <w:t>2.2 费用结构分析：各病种各费用项对比分析，支持按超支或结余病种分别查看</w:t>
            </w:r>
          </w:p>
          <w:p>
            <w:pPr>
              <w:widowControl/>
              <w:spacing w:line="276" w:lineRule="auto"/>
              <w:jc w:val="left"/>
              <w:textAlignment w:val="center"/>
              <w:rPr>
                <w:kern w:val="0"/>
                <w:szCs w:val="21"/>
                <w:lang w:bidi="ar"/>
              </w:rPr>
            </w:pPr>
            <w:r>
              <w:rPr>
                <w:rFonts w:hint="eastAsia" w:ascii="宋体" w:hAnsi="宋体"/>
                <w:kern w:val="0"/>
                <w:szCs w:val="21"/>
                <w:lang w:bidi="ar"/>
              </w:rPr>
              <w:t>▲</w:t>
            </w:r>
            <w:r>
              <w:rPr>
                <w:kern w:val="0"/>
                <w:szCs w:val="21"/>
                <w:lang w:bidi="ar"/>
              </w:rPr>
              <w:t>2.3 病种分值区间分布分析：查看各分值区间病例数/病种数占比及结余，分值区间支持根据医院情况自定义</w:t>
            </w:r>
          </w:p>
          <w:p>
            <w:pPr>
              <w:widowControl/>
              <w:spacing w:line="276" w:lineRule="auto"/>
              <w:jc w:val="left"/>
              <w:textAlignment w:val="center"/>
              <w:rPr>
                <w:kern w:val="0"/>
                <w:szCs w:val="21"/>
                <w:lang w:bidi="ar"/>
              </w:rPr>
            </w:pPr>
            <w:r>
              <w:rPr>
                <w:rFonts w:hint="eastAsia" w:ascii="宋体" w:hAnsi="宋体"/>
                <w:kern w:val="0"/>
                <w:szCs w:val="21"/>
                <w:lang w:bidi="ar"/>
              </w:rPr>
              <w:t>▲</w:t>
            </w:r>
            <w:r>
              <w:rPr>
                <w:kern w:val="0"/>
                <w:szCs w:val="21"/>
                <w:lang w:bidi="ar"/>
              </w:rPr>
              <w:t>2.4 运行目标分析：各病种药耗/医技占比、平均住院日等指标的标杆达成情况对比分析，支持自定义设置各病种标杆值，支持按超支或结余病种分别查看</w:t>
            </w:r>
          </w:p>
          <w:p>
            <w:pPr>
              <w:widowControl/>
              <w:spacing w:line="276" w:lineRule="auto"/>
              <w:jc w:val="left"/>
              <w:textAlignment w:val="center"/>
              <w:rPr>
                <w:kern w:val="0"/>
                <w:szCs w:val="21"/>
                <w:lang w:bidi="ar"/>
              </w:rPr>
            </w:pPr>
            <w:r>
              <w:rPr>
                <w:kern w:val="0"/>
                <w:szCs w:val="21"/>
                <w:lang w:bidi="ar"/>
              </w:rPr>
              <w:t>3、支持年/季/月时间区间、病例范围筛选；支持模糊搜索病种</w:t>
            </w:r>
          </w:p>
          <w:p>
            <w:pPr>
              <w:widowControl/>
              <w:spacing w:line="276" w:lineRule="auto"/>
              <w:jc w:val="left"/>
              <w:textAlignment w:val="center"/>
              <w:rPr>
                <w:kern w:val="0"/>
                <w:szCs w:val="21"/>
                <w:lang w:bidi="ar"/>
              </w:rPr>
            </w:pPr>
            <w:r>
              <w:rPr>
                <w:kern w:val="0"/>
                <w:szCs w:val="21"/>
                <w:lang w:bidi="ar"/>
              </w:rPr>
              <w:t>4、支持对场景主题分析提炼分析总结，辅助管理者决策</w:t>
            </w:r>
          </w:p>
          <w:p>
            <w:pPr>
              <w:widowControl/>
              <w:spacing w:line="276" w:lineRule="auto"/>
              <w:jc w:val="left"/>
              <w:textAlignment w:val="center"/>
              <w:rPr>
                <w:kern w:val="0"/>
                <w:szCs w:val="21"/>
                <w:lang w:bidi="ar"/>
              </w:rPr>
            </w:pPr>
            <w:r>
              <w:rPr>
                <w:kern w:val="0"/>
                <w:szCs w:val="21"/>
                <w:lang w:bidi="ar"/>
              </w:rPr>
              <w:t>5、列表指标支持自定义，包含指标字段是否显示和排序的设置</w:t>
            </w:r>
          </w:p>
          <w:p>
            <w:pPr>
              <w:widowControl/>
              <w:spacing w:line="276" w:lineRule="auto"/>
              <w:jc w:val="left"/>
              <w:textAlignment w:val="center"/>
              <w:rPr>
                <w:kern w:val="0"/>
                <w:szCs w:val="21"/>
                <w:lang w:bidi="ar"/>
              </w:rPr>
            </w:pPr>
            <w:r>
              <w:rPr>
                <w:kern w:val="0"/>
                <w:szCs w:val="21"/>
                <w:lang w:bidi="ar"/>
              </w:rPr>
              <w:t>6、支持多维度指标报表下载</w:t>
            </w:r>
          </w:p>
          <w:p>
            <w:pPr>
              <w:widowControl/>
              <w:spacing w:line="276" w:lineRule="auto"/>
              <w:jc w:val="left"/>
              <w:textAlignment w:val="center"/>
              <w:rPr>
                <w:szCs w:val="21"/>
              </w:rPr>
            </w:pPr>
            <w:r>
              <w:rPr>
                <w:kern w:val="0"/>
                <w:szCs w:val="21"/>
                <w:lang w:bidi="ar"/>
              </w:rPr>
              <w:t>7、支持重点监控病种管理，并对重点监控病种进行筛选与设置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82" w:type="pct"/>
            <w:vMerge w:val="continue"/>
            <w:shd w:val="clear" w:color="auto" w:fill="auto"/>
            <w:vAlign w:val="center"/>
          </w:tcPr>
          <w:p>
            <w:pPr>
              <w:widowControl/>
              <w:spacing w:line="276" w:lineRule="auto"/>
              <w:jc w:val="center"/>
              <w:rPr>
                <w:szCs w:val="21"/>
              </w:rPr>
            </w:pPr>
          </w:p>
        </w:tc>
        <w:tc>
          <w:tcPr>
            <w:tcW w:w="744" w:type="pct"/>
            <w:shd w:val="clear" w:color="auto" w:fill="auto"/>
            <w:vAlign w:val="center"/>
          </w:tcPr>
          <w:p>
            <w:pPr>
              <w:widowControl/>
              <w:spacing w:line="276" w:lineRule="auto"/>
              <w:jc w:val="left"/>
              <w:textAlignment w:val="center"/>
              <w:rPr>
                <w:szCs w:val="21"/>
              </w:rPr>
            </w:pPr>
            <w:r>
              <w:rPr>
                <w:kern w:val="0"/>
                <w:szCs w:val="21"/>
                <w:lang w:bidi="ar"/>
              </w:rPr>
              <w:t>病种主页（病种下钻分析）</w:t>
            </w:r>
          </w:p>
        </w:tc>
        <w:tc>
          <w:tcPr>
            <w:tcW w:w="3474" w:type="pct"/>
            <w:shd w:val="clear" w:color="auto" w:fill="auto"/>
            <w:vAlign w:val="center"/>
          </w:tcPr>
          <w:p>
            <w:pPr>
              <w:widowControl/>
              <w:spacing w:line="276" w:lineRule="auto"/>
              <w:jc w:val="left"/>
              <w:textAlignment w:val="center"/>
              <w:rPr>
                <w:kern w:val="0"/>
                <w:szCs w:val="21"/>
                <w:lang w:bidi="ar"/>
              </w:rPr>
            </w:pPr>
            <w:r>
              <w:rPr>
                <w:kern w:val="0"/>
                <w:szCs w:val="21"/>
                <w:lang w:bidi="ar"/>
              </w:rPr>
              <w:t>[单病种下DIP运营数据统计分析]</w:t>
            </w:r>
          </w:p>
          <w:p>
            <w:pPr>
              <w:widowControl/>
              <w:spacing w:line="276" w:lineRule="auto"/>
              <w:jc w:val="left"/>
              <w:textAlignment w:val="center"/>
              <w:rPr>
                <w:kern w:val="0"/>
                <w:szCs w:val="21"/>
                <w:lang w:bidi="ar"/>
              </w:rPr>
            </w:pPr>
            <w:r>
              <w:rPr>
                <w:kern w:val="0"/>
                <w:szCs w:val="21"/>
                <w:lang w:bidi="ar"/>
              </w:rPr>
              <w:t>1、总览：所选病种在所选时间段内DIP核心数据，包含病例数、病种分值、结余、药耗占比、病种构成、平均住院日等，并可查看核心病种、综合病种分布情况</w:t>
            </w:r>
          </w:p>
          <w:p>
            <w:pPr>
              <w:widowControl/>
              <w:spacing w:line="276" w:lineRule="auto"/>
              <w:jc w:val="left"/>
              <w:textAlignment w:val="center"/>
              <w:rPr>
                <w:kern w:val="0"/>
                <w:szCs w:val="21"/>
                <w:lang w:bidi="ar"/>
              </w:rPr>
            </w:pPr>
            <w:r>
              <w:rPr>
                <w:kern w:val="0"/>
                <w:szCs w:val="21"/>
                <w:lang w:bidi="ar"/>
              </w:rPr>
              <w:t>2、超支结余分析：所选病种在所选时间段内超支结余/次均结余趋势、超支结余病例分布及趋势、病例类型分布及趋势；支持下钻；支持针对分析结果进行总结，辅助决策</w:t>
            </w:r>
          </w:p>
          <w:p>
            <w:pPr>
              <w:widowControl/>
              <w:spacing w:line="276" w:lineRule="auto"/>
              <w:jc w:val="left"/>
              <w:textAlignment w:val="center"/>
              <w:rPr>
                <w:kern w:val="0"/>
                <w:szCs w:val="21"/>
                <w:lang w:bidi="ar"/>
              </w:rPr>
            </w:pPr>
            <w:r>
              <w:rPr>
                <w:kern w:val="0"/>
                <w:szCs w:val="21"/>
                <w:lang w:bidi="ar"/>
              </w:rPr>
              <w:t>3、费用构成分析：所选病种在所选时间段内各位费用类型的金额、占比及超支影响率，药耗占比趋势，新增医技占比趋势、检验占比/化验占比趋势，支持按病例类型选择统计范围</w:t>
            </w:r>
          </w:p>
          <w:p>
            <w:pPr>
              <w:widowControl/>
              <w:spacing w:line="276" w:lineRule="auto"/>
              <w:jc w:val="left"/>
              <w:textAlignment w:val="center"/>
              <w:rPr>
                <w:kern w:val="0"/>
                <w:szCs w:val="21"/>
                <w:lang w:bidi="ar"/>
              </w:rPr>
            </w:pPr>
            <w:r>
              <w:rPr>
                <w:kern w:val="0"/>
                <w:szCs w:val="21"/>
                <w:lang w:bidi="ar"/>
              </w:rPr>
              <w:t>4、资源使用效率分析：所选科室所在时间段内平均住院日趋势、次均费用趋势，支持与标杆对比。</w:t>
            </w:r>
          </w:p>
          <w:p>
            <w:pPr>
              <w:widowControl/>
              <w:spacing w:line="276" w:lineRule="auto"/>
              <w:jc w:val="left"/>
              <w:textAlignment w:val="center"/>
              <w:rPr>
                <w:kern w:val="0"/>
                <w:szCs w:val="21"/>
                <w:lang w:bidi="ar"/>
              </w:rPr>
            </w:pPr>
            <w:r>
              <w:rPr>
                <w:kern w:val="0"/>
                <w:szCs w:val="21"/>
                <w:lang w:bidi="ar"/>
              </w:rPr>
              <w:t>5、科室列表：同病种下不同科室DIP运营数据对比，支持查看费用对比，支持下载</w:t>
            </w:r>
          </w:p>
          <w:p>
            <w:pPr>
              <w:widowControl/>
              <w:spacing w:line="276" w:lineRule="auto"/>
              <w:jc w:val="left"/>
              <w:textAlignment w:val="center"/>
              <w:rPr>
                <w:kern w:val="0"/>
                <w:szCs w:val="21"/>
                <w:lang w:bidi="ar"/>
              </w:rPr>
            </w:pPr>
            <w:r>
              <w:rPr>
                <w:kern w:val="0"/>
                <w:szCs w:val="21"/>
                <w:lang w:bidi="ar"/>
              </w:rPr>
              <w:t>6、医疗组列表：同病种下不同医疗组DIP运营数据对比，支持下载</w:t>
            </w:r>
          </w:p>
          <w:p>
            <w:pPr>
              <w:widowControl/>
              <w:spacing w:line="276" w:lineRule="auto"/>
              <w:jc w:val="left"/>
              <w:textAlignment w:val="center"/>
              <w:rPr>
                <w:kern w:val="0"/>
                <w:szCs w:val="21"/>
                <w:lang w:bidi="ar"/>
              </w:rPr>
            </w:pPr>
            <w:r>
              <w:rPr>
                <w:kern w:val="0"/>
                <w:szCs w:val="21"/>
                <w:lang w:bidi="ar"/>
              </w:rPr>
              <w:t>7、病例列表：所选病种所选时间段内所有病例数据，支持筛选、查看详情、下载，支持针对筛选结果进行总结分析；支持快速定位死亡病例、四级手术病例、微创手术病例、开放式手术病例等病例进行管理</w:t>
            </w:r>
          </w:p>
          <w:p>
            <w:pPr>
              <w:widowControl/>
              <w:spacing w:line="276" w:lineRule="auto"/>
              <w:jc w:val="left"/>
              <w:textAlignment w:val="center"/>
              <w:rPr>
                <w:szCs w:val="21"/>
              </w:rPr>
            </w:pPr>
            <w:r>
              <w:rPr>
                <w:rFonts w:hint="eastAsia" w:ascii="宋体" w:hAnsi="宋体"/>
                <w:kern w:val="0"/>
                <w:szCs w:val="21"/>
                <w:lang w:bidi="ar"/>
              </w:rPr>
              <w:t>▲</w:t>
            </w:r>
            <w:r>
              <w:rPr>
                <w:kern w:val="0"/>
                <w:szCs w:val="21"/>
                <w:lang w:bidi="ar"/>
              </w:rPr>
              <w:t>8、病种二级目录管理分析：分析同疾病不同治疗方式病种DIP数据情况，辅助医院选择消耗资源更低、效益更高的治疗方式，促进医院高质量发展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2" w:type="pct"/>
            <w:vMerge w:val="restart"/>
            <w:shd w:val="clear" w:color="auto" w:fill="auto"/>
            <w:vAlign w:val="center"/>
          </w:tcPr>
          <w:p>
            <w:pPr>
              <w:widowControl/>
              <w:spacing w:line="276" w:lineRule="auto"/>
              <w:jc w:val="center"/>
              <w:textAlignment w:val="center"/>
              <w:rPr>
                <w:szCs w:val="21"/>
              </w:rPr>
            </w:pPr>
            <w:r>
              <w:rPr>
                <w:kern w:val="0"/>
                <w:szCs w:val="21"/>
                <w:lang w:bidi="ar"/>
              </w:rPr>
              <w:t>医疗组综合分析</w:t>
            </w:r>
          </w:p>
        </w:tc>
        <w:tc>
          <w:tcPr>
            <w:tcW w:w="744" w:type="pct"/>
            <w:shd w:val="clear" w:color="auto" w:fill="auto"/>
            <w:vAlign w:val="center"/>
          </w:tcPr>
          <w:p>
            <w:pPr>
              <w:widowControl/>
              <w:spacing w:line="276" w:lineRule="auto"/>
              <w:jc w:val="left"/>
              <w:textAlignment w:val="center"/>
              <w:rPr>
                <w:szCs w:val="21"/>
              </w:rPr>
            </w:pPr>
            <w:r>
              <w:rPr>
                <w:kern w:val="0"/>
                <w:szCs w:val="21"/>
                <w:lang w:bidi="ar"/>
              </w:rPr>
              <w:t>医疗组对比分析</w:t>
            </w:r>
          </w:p>
        </w:tc>
        <w:tc>
          <w:tcPr>
            <w:tcW w:w="3474" w:type="pct"/>
            <w:shd w:val="clear" w:color="auto" w:fill="auto"/>
            <w:vAlign w:val="center"/>
          </w:tcPr>
          <w:p>
            <w:pPr>
              <w:widowControl/>
              <w:spacing w:line="276" w:lineRule="auto"/>
              <w:jc w:val="left"/>
              <w:textAlignment w:val="center"/>
              <w:rPr>
                <w:kern w:val="0"/>
                <w:szCs w:val="21"/>
                <w:lang w:bidi="ar"/>
              </w:rPr>
            </w:pPr>
            <w:r>
              <w:rPr>
                <w:kern w:val="0"/>
                <w:szCs w:val="21"/>
                <w:lang w:bidi="ar"/>
              </w:rPr>
              <w:t>1、展示医疗组病例数、结余、CMI、各病例类型占比、X天再入院病例数、时间消耗指数、费用消耗指数等DIP相关指标数据对比，支持下钻</w:t>
            </w:r>
          </w:p>
          <w:p>
            <w:pPr>
              <w:widowControl/>
              <w:spacing w:line="276" w:lineRule="auto"/>
              <w:jc w:val="left"/>
              <w:textAlignment w:val="center"/>
              <w:rPr>
                <w:kern w:val="0"/>
                <w:szCs w:val="21"/>
                <w:lang w:bidi="ar"/>
              </w:rPr>
            </w:pPr>
            <w:r>
              <w:rPr>
                <w:kern w:val="0"/>
                <w:szCs w:val="21"/>
                <w:lang w:bidi="ar"/>
              </w:rPr>
              <w:t>2、支持快捷筛选，包括超支医疗组、结余医疗组、环比结余减少等；支持年/季/月时间区间、病例范围筛选；支持模糊搜索医疗组</w:t>
            </w:r>
          </w:p>
          <w:p>
            <w:pPr>
              <w:widowControl/>
              <w:spacing w:line="276" w:lineRule="auto"/>
              <w:jc w:val="left"/>
              <w:textAlignment w:val="center"/>
              <w:rPr>
                <w:kern w:val="0"/>
                <w:szCs w:val="21"/>
                <w:lang w:bidi="ar"/>
              </w:rPr>
            </w:pPr>
            <w:r>
              <w:rPr>
                <w:kern w:val="0"/>
                <w:szCs w:val="21"/>
                <w:lang w:bidi="ar"/>
              </w:rPr>
              <w:t>3、列表指标支持自定义，包含指标字段是否显示和排序的设置</w:t>
            </w:r>
          </w:p>
          <w:p>
            <w:pPr>
              <w:widowControl/>
              <w:spacing w:line="276" w:lineRule="auto"/>
              <w:jc w:val="left"/>
              <w:textAlignment w:val="center"/>
              <w:rPr>
                <w:szCs w:val="21"/>
              </w:rPr>
            </w:pPr>
            <w:r>
              <w:rPr>
                <w:kern w:val="0"/>
                <w:szCs w:val="21"/>
                <w:lang w:bidi="ar"/>
              </w:rPr>
              <w:t>4、支持多维度指标报表下载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82" w:type="pct"/>
            <w:vMerge w:val="continue"/>
            <w:shd w:val="clear" w:color="auto" w:fill="auto"/>
            <w:vAlign w:val="center"/>
          </w:tcPr>
          <w:p>
            <w:pPr>
              <w:widowControl/>
              <w:spacing w:line="276" w:lineRule="auto"/>
              <w:jc w:val="center"/>
              <w:rPr>
                <w:szCs w:val="21"/>
              </w:rPr>
            </w:pPr>
          </w:p>
        </w:tc>
        <w:tc>
          <w:tcPr>
            <w:tcW w:w="744" w:type="pct"/>
            <w:shd w:val="clear" w:color="auto" w:fill="auto"/>
            <w:vAlign w:val="center"/>
          </w:tcPr>
          <w:p>
            <w:pPr>
              <w:widowControl/>
              <w:spacing w:line="276" w:lineRule="auto"/>
              <w:jc w:val="left"/>
              <w:textAlignment w:val="center"/>
              <w:rPr>
                <w:szCs w:val="21"/>
              </w:rPr>
            </w:pPr>
            <w:r>
              <w:rPr>
                <w:kern w:val="0"/>
                <w:szCs w:val="21"/>
                <w:lang w:bidi="ar"/>
              </w:rPr>
              <w:t>医疗组主页（医疗组下钻分析）</w:t>
            </w:r>
          </w:p>
        </w:tc>
        <w:tc>
          <w:tcPr>
            <w:tcW w:w="3474" w:type="pct"/>
            <w:shd w:val="clear" w:color="auto" w:fill="auto"/>
            <w:vAlign w:val="center"/>
          </w:tcPr>
          <w:p>
            <w:pPr>
              <w:widowControl/>
              <w:spacing w:line="276" w:lineRule="auto"/>
              <w:jc w:val="left"/>
              <w:textAlignment w:val="center"/>
              <w:rPr>
                <w:kern w:val="0"/>
                <w:szCs w:val="21"/>
                <w:lang w:bidi="ar"/>
              </w:rPr>
            </w:pPr>
            <w:r>
              <w:rPr>
                <w:kern w:val="0"/>
                <w:szCs w:val="21"/>
                <w:lang w:bidi="ar"/>
              </w:rPr>
              <w:t>[单医疗组下DIP运营数据统计分析]</w:t>
            </w:r>
          </w:p>
          <w:p>
            <w:pPr>
              <w:widowControl/>
              <w:spacing w:line="276" w:lineRule="auto"/>
              <w:jc w:val="left"/>
              <w:textAlignment w:val="center"/>
              <w:rPr>
                <w:kern w:val="0"/>
                <w:szCs w:val="21"/>
                <w:lang w:bidi="ar"/>
              </w:rPr>
            </w:pPr>
            <w:r>
              <w:rPr>
                <w:kern w:val="0"/>
                <w:szCs w:val="21"/>
                <w:lang w:bidi="ar"/>
              </w:rPr>
              <w:t>1、总览：所选医疗组在所选时间段内DIP核心数据，包含病例数、CMI、结余、药耗占比、病种构成、平均住院日等，其中病例数支持下钻</w:t>
            </w:r>
          </w:p>
          <w:p>
            <w:pPr>
              <w:widowControl/>
              <w:spacing w:line="276" w:lineRule="auto"/>
              <w:jc w:val="left"/>
              <w:textAlignment w:val="center"/>
              <w:rPr>
                <w:kern w:val="0"/>
                <w:szCs w:val="21"/>
                <w:lang w:bidi="ar"/>
              </w:rPr>
            </w:pPr>
            <w:r>
              <w:rPr>
                <w:kern w:val="0"/>
                <w:szCs w:val="21"/>
                <w:lang w:bidi="ar"/>
              </w:rPr>
              <w:t>2、超支结余分析：所选医疗组在所选时间段内超支结余/次均结余趋势、超支结余病种分布及趋势、超支结余病例分布及趋势、病例类型分布及趋势；支持下钻；支持针对分析结果进行总结，辅助决策</w:t>
            </w:r>
          </w:p>
          <w:p>
            <w:pPr>
              <w:widowControl/>
              <w:spacing w:line="276" w:lineRule="auto"/>
              <w:jc w:val="left"/>
              <w:textAlignment w:val="center"/>
              <w:rPr>
                <w:kern w:val="0"/>
                <w:szCs w:val="21"/>
                <w:lang w:bidi="ar"/>
              </w:rPr>
            </w:pPr>
            <w:r>
              <w:rPr>
                <w:kern w:val="0"/>
                <w:szCs w:val="21"/>
                <w:lang w:bidi="ar"/>
              </w:rPr>
              <w:t>3、费用构成分析：所选医疗组在所选时间段内各位费用类型的金额及占比，药耗占比、医技占比趋势，支持按病例类型选择统计范围</w:t>
            </w:r>
          </w:p>
          <w:p>
            <w:pPr>
              <w:widowControl/>
              <w:spacing w:line="276" w:lineRule="auto"/>
              <w:jc w:val="left"/>
              <w:textAlignment w:val="center"/>
              <w:rPr>
                <w:kern w:val="0"/>
                <w:szCs w:val="21"/>
                <w:lang w:bidi="ar"/>
              </w:rPr>
            </w:pPr>
            <w:r>
              <w:rPr>
                <w:kern w:val="0"/>
                <w:szCs w:val="21"/>
                <w:lang w:bidi="ar"/>
              </w:rPr>
              <w:t>4、病种构成分析：支持矩阵分析，分析所选医疗组优势病种、劣势病种；支持数据对比与下钻；*病种分值区间分布分析，查看各分值区间病例数/病种数占比及结余，分值区间支持根据医院情况自定义</w:t>
            </w:r>
          </w:p>
          <w:p>
            <w:pPr>
              <w:widowControl/>
              <w:spacing w:line="276" w:lineRule="auto"/>
              <w:jc w:val="left"/>
              <w:textAlignment w:val="center"/>
              <w:rPr>
                <w:kern w:val="0"/>
                <w:szCs w:val="21"/>
                <w:lang w:bidi="ar"/>
              </w:rPr>
            </w:pPr>
            <w:r>
              <w:rPr>
                <w:kern w:val="0"/>
                <w:szCs w:val="21"/>
                <w:lang w:bidi="ar"/>
              </w:rPr>
              <w:t>5、资源使用效率分析：所选医疗组所在时间段内平均住院日趋势、次均费用趋势，支持与标杆值对比，标杆值支持自定义</w:t>
            </w:r>
          </w:p>
          <w:p>
            <w:pPr>
              <w:widowControl/>
              <w:spacing w:line="276" w:lineRule="auto"/>
              <w:jc w:val="left"/>
              <w:textAlignment w:val="center"/>
              <w:rPr>
                <w:kern w:val="0"/>
                <w:szCs w:val="21"/>
                <w:lang w:bidi="ar"/>
              </w:rPr>
            </w:pPr>
            <w:r>
              <w:rPr>
                <w:kern w:val="0"/>
                <w:szCs w:val="21"/>
                <w:lang w:bidi="ar"/>
              </w:rPr>
              <w:t>7、病种列表：同医疗组下不同病种DIP运营数据对比，支持下载</w:t>
            </w:r>
          </w:p>
          <w:p>
            <w:pPr>
              <w:widowControl/>
              <w:spacing w:line="276" w:lineRule="auto"/>
              <w:jc w:val="left"/>
              <w:textAlignment w:val="center"/>
              <w:rPr>
                <w:kern w:val="0"/>
                <w:szCs w:val="21"/>
                <w:lang w:bidi="ar"/>
              </w:rPr>
            </w:pPr>
            <w:r>
              <w:rPr>
                <w:kern w:val="0"/>
                <w:szCs w:val="21"/>
                <w:lang w:bidi="ar"/>
              </w:rPr>
              <w:t>8、医疗组列表：同医疗组下不同医疗组DIP运营数据对比，支持下载</w:t>
            </w:r>
          </w:p>
          <w:p>
            <w:pPr>
              <w:widowControl/>
              <w:spacing w:line="276" w:lineRule="auto"/>
              <w:jc w:val="left"/>
              <w:textAlignment w:val="center"/>
              <w:rPr>
                <w:kern w:val="0"/>
                <w:szCs w:val="21"/>
                <w:lang w:bidi="ar"/>
              </w:rPr>
            </w:pPr>
            <w:r>
              <w:rPr>
                <w:kern w:val="0"/>
                <w:szCs w:val="21"/>
                <w:lang w:bidi="ar"/>
              </w:rPr>
              <w:t>9、医生列表：同医疗组下不同医生DIP运营数据对比，支持下载</w:t>
            </w:r>
          </w:p>
          <w:p>
            <w:pPr>
              <w:widowControl/>
              <w:spacing w:line="276" w:lineRule="auto"/>
              <w:jc w:val="left"/>
              <w:textAlignment w:val="center"/>
              <w:rPr>
                <w:szCs w:val="21"/>
              </w:rPr>
            </w:pPr>
            <w:r>
              <w:rPr>
                <w:kern w:val="0"/>
                <w:szCs w:val="21"/>
                <w:lang w:bidi="ar"/>
              </w:rPr>
              <w:t>10、病例列表：所选医疗组室所选时间段内所有病例数据，支持多维度筛选、查看详情、下载；支持针对筛选结果进行总结分析；支持快速定位死亡病例、四级手术病例、微创手术病例、开放式手术病例等病例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782" w:type="pct"/>
            <w:shd w:val="clear" w:color="auto" w:fill="auto"/>
            <w:vAlign w:val="center"/>
          </w:tcPr>
          <w:p>
            <w:pPr>
              <w:widowControl/>
              <w:spacing w:line="276" w:lineRule="auto"/>
              <w:jc w:val="center"/>
              <w:textAlignment w:val="center"/>
              <w:rPr>
                <w:szCs w:val="21"/>
              </w:rPr>
            </w:pPr>
            <w:r>
              <w:rPr>
                <w:kern w:val="0"/>
                <w:szCs w:val="21"/>
                <w:lang w:bidi="ar"/>
              </w:rPr>
              <w:t>医生综合分析</w:t>
            </w:r>
          </w:p>
        </w:tc>
        <w:tc>
          <w:tcPr>
            <w:tcW w:w="744" w:type="pct"/>
            <w:shd w:val="clear" w:color="auto" w:fill="auto"/>
            <w:vAlign w:val="center"/>
          </w:tcPr>
          <w:p>
            <w:pPr>
              <w:widowControl/>
              <w:spacing w:line="276" w:lineRule="auto"/>
              <w:jc w:val="left"/>
              <w:textAlignment w:val="center"/>
              <w:rPr>
                <w:szCs w:val="21"/>
              </w:rPr>
            </w:pPr>
            <w:r>
              <w:rPr>
                <w:kern w:val="0"/>
                <w:szCs w:val="21"/>
                <w:lang w:bidi="ar"/>
              </w:rPr>
              <w:t>医生对比分析</w:t>
            </w:r>
          </w:p>
        </w:tc>
        <w:tc>
          <w:tcPr>
            <w:tcW w:w="3474" w:type="pct"/>
            <w:shd w:val="clear" w:color="auto" w:fill="auto"/>
            <w:vAlign w:val="center"/>
          </w:tcPr>
          <w:p>
            <w:pPr>
              <w:widowControl/>
              <w:spacing w:line="276" w:lineRule="auto"/>
              <w:jc w:val="left"/>
              <w:textAlignment w:val="center"/>
              <w:rPr>
                <w:kern w:val="0"/>
                <w:szCs w:val="21"/>
                <w:lang w:bidi="ar"/>
              </w:rPr>
            </w:pPr>
            <w:r>
              <w:rPr>
                <w:kern w:val="0"/>
                <w:szCs w:val="21"/>
                <w:lang w:bidi="ar"/>
              </w:rPr>
              <w:t>1、展示医生病例数、结余、费用极高极低病例占比等DIP相关指标数据对比，支持下钻</w:t>
            </w:r>
          </w:p>
          <w:p>
            <w:pPr>
              <w:widowControl/>
              <w:spacing w:line="276" w:lineRule="auto"/>
              <w:jc w:val="left"/>
              <w:textAlignment w:val="center"/>
              <w:rPr>
                <w:kern w:val="0"/>
                <w:szCs w:val="21"/>
                <w:lang w:bidi="ar"/>
              </w:rPr>
            </w:pPr>
            <w:r>
              <w:rPr>
                <w:kern w:val="0"/>
                <w:szCs w:val="21"/>
                <w:lang w:bidi="ar"/>
              </w:rPr>
              <w:t>2、支持快捷筛选，包括超支医生、结余医生、环比结余减少、费用极高极低病例占比高于全院平均等；支持年/季/月时间区间、病例范围筛选；支持模糊搜索医生</w:t>
            </w:r>
          </w:p>
          <w:p>
            <w:pPr>
              <w:widowControl/>
              <w:spacing w:line="276" w:lineRule="auto"/>
              <w:jc w:val="left"/>
              <w:textAlignment w:val="center"/>
              <w:rPr>
                <w:kern w:val="0"/>
                <w:szCs w:val="21"/>
                <w:lang w:bidi="ar"/>
              </w:rPr>
            </w:pPr>
            <w:r>
              <w:rPr>
                <w:kern w:val="0"/>
                <w:szCs w:val="21"/>
                <w:lang w:bidi="ar"/>
              </w:rPr>
              <w:t>3、列表指标支持自定义，包含指标字段是否显示和排序的设置</w:t>
            </w:r>
          </w:p>
          <w:p>
            <w:pPr>
              <w:widowControl/>
              <w:spacing w:line="276" w:lineRule="auto"/>
              <w:jc w:val="left"/>
              <w:textAlignment w:val="center"/>
              <w:rPr>
                <w:szCs w:val="21"/>
              </w:rPr>
            </w:pPr>
            <w:r>
              <w:rPr>
                <w:kern w:val="0"/>
                <w:szCs w:val="21"/>
                <w:lang w:bidi="ar"/>
              </w:rPr>
              <w:t>4、支持多维度指标报表下载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pct"/>
            <w:vMerge w:val="restart"/>
            <w:shd w:val="clear" w:color="auto" w:fill="auto"/>
            <w:vAlign w:val="center"/>
          </w:tcPr>
          <w:p>
            <w:pPr>
              <w:widowControl/>
              <w:spacing w:line="276" w:lineRule="auto"/>
              <w:jc w:val="center"/>
              <w:textAlignment w:val="center"/>
              <w:rPr>
                <w:szCs w:val="21"/>
              </w:rPr>
            </w:pPr>
            <w:r>
              <w:rPr>
                <w:rFonts w:hint="eastAsia" w:ascii="宋体" w:hAnsi="宋体"/>
                <w:kern w:val="0"/>
                <w:szCs w:val="21"/>
                <w:lang w:bidi="ar"/>
              </w:rPr>
              <w:t>▲</w:t>
            </w:r>
            <w:r>
              <w:rPr>
                <w:kern w:val="0"/>
                <w:szCs w:val="21"/>
                <w:lang w:bidi="ar"/>
              </w:rPr>
              <w:t>专题分析</w:t>
            </w:r>
          </w:p>
        </w:tc>
        <w:tc>
          <w:tcPr>
            <w:tcW w:w="744" w:type="pct"/>
            <w:shd w:val="clear" w:color="auto" w:fill="auto"/>
            <w:vAlign w:val="center"/>
          </w:tcPr>
          <w:p>
            <w:pPr>
              <w:widowControl/>
              <w:spacing w:line="276" w:lineRule="auto"/>
              <w:jc w:val="left"/>
              <w:textAlignment w:val="center"/>
              <w:rPr>
                <w:szCs w:val="21"/>
              </w:rPr>
            </w:pPr>
            <w:r>
              <w:rPr>
                <w:kern w:val="0"/>
                <w:szCs w:val="21"/>
                <w:lang w:bidi="ar"/>
              </w:rPr>
              <w:t>费用分摊分析</w:t>
            </w:r>
          </w:p>
        </w:tc>
        <w:tc>
          <w:tcPr>
            <w:tcW w:w="3474" w:type="pct"/>
            <w:shd w:val="clear" w:color="auto" w:fill="auto"/>
            <w:vAlign w:val="center"/>
          </w:tcPr>
          <w:p>
            <w:pPr>
              <w:widowControl/>
              <w:spacing w:line="276" w:lineRule="auto"/>
              <w:jc w:val="left"/>
              <w:textAlignment w:val="center"/>
              <w:rPr>
                <w:kern w:val="0"/>
                <w:szCs w:val="21"/>
                <w:lang w:bidi="ar"/>
              </w:rPr>
            </w:pPr>
            <w:r>
              <w:rPr>
                <w:kern w:val="0"/>
                <w:szCs w:val="21"/>
                <w:lang w:bidi="ar"/>
              </w:rPr>
              <w:t>[根据患者在各临床开单科室产生的费用占比，将DIP结余按比例分摊统计分析]</w:t>
            </w:r>
          </w:p>
          <w:p>
            <w:pPr>
              <w:widowControl/>
              <w:spacing w:line="276" w:lineRule="auto"/>
              <w:jc w:val="left"/>
              <w:textAlignment w:val="center"/>
              <w:rPr>
                <w:kern w:val="0"/>
                <w:szCs w:val="21"/>
                <w:lang w:bidi="ar"/>
              </w:rPr>
            </w:pPr>
            <w:r>
              <w:rPr>
                <w:kern w:val="0"/>
                <w:szCs w:val="21"/>
                <w:lang w:bidi="ar"/>
              </w:rPr>
              <w:t>1、展示按出院科室与按费用产生科室结余对比</w:t>
            </w:r>
          </w:p>
          <w:p>
            <w:pPr>
              <w:widowControl/>
              <w:spacing w:line="276" w:lineRule="auto"/>
              <w:jc w:val="left"/>
              <w:textAlignment w:val="center"/>
              <w:rPr>
                <w:kern w:val="0"/>
                <w:szCs w:val="21"/>
                <w:lang w:bidi="ar"/>
              </w:rPr>
            </w:pPr>
            <w:r>
              <w:rPr>
                <w:kern w:val="0"/>
                <w:szCs w:val="21"/>
                <w:lang w:bidi="ar"/>
              </w:rPr>
              <w:t>2、支持查看产生费用分摊的病例明细（即转科病例明细），以及病例在各科室的费用情况，支持下载</w:t>
            </w:r>
          </w:p>
          <w:p>
            <w:pPr>
              <w:widowControl/>
              <w:spacing w:line="276" w:lineRule="auto"/>
              <w:jc w:val="left"/>
              <w:textAlignment w:val="center"/>
              <w:rPr>
                <w:szCs w:val="21"/>
              </w:rPr>
            </w:pPr>
            <w:r>
              <w:rPr>
                <w:kern w:val="0"/>
                <w:szCs w:val="21"/>
                <w:lang w:bidi="ar"/>
              </w:rPr>
              <w:t>3、支持按时间、科室、病例范围等筛选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82" w:type="pct"/>
            <w:vMerge w:val="continue"/>
            <w:shd w:val="clear" w:color="auto" w:fill="auto"/>
            <w:vAlign w:val="center"/>
          </w:tcPr>
          <w:p>
            <w:pPr>
              <w:widowControl/>
              <w:spacing w:line="276" w:lineRule="auto"/>
              <w:jc w:val="center"/>
              <w:rPr>
                <w:szCs w:val="21"/>
              </w:rPr>
            </w:pPr>
          </w:p>
        </w:tc>
        <w:tc>
          <w:tcPr>
            <w:tcW w:w="744" w:type="pct"/>
            <w:shd w:val="clear" w:color="auto" w:fill="auto"/>
            <w:vAlign w:val="center"/>
          </w:tcPr>
          <w:p>
            <w:pPr>
              <w:widowControl/>
              <w:spacing w:line="276" w:lineRule="auto"/>
              <w:jc w:val="left"/>
              <w:textAlignment w:val="center"/>
              <w:rPr>
                <w:szCs w:val="21"/>
              </w:rPr>
            </w:pPr>
            <w:r>
              <w:rPr>
                <w:kern w:val="0"/>
                <w:szCs w:val="21"/>
                <w:lang w:bidi="ar"/>
              </w:rPr>
              <w:t>病例性质分析</w:t>
            </w:r>
          </w:p>
        </w:tc>
        <w:tc>
          <w:tcPr>
            <w:tcW w:w="3474" w:type="pct"/>
            <w:shd w:val="clear" w:color="auto" w:fill="auto"/>
            <w:vAlign w:val="center"/>
          </w:tcPr>
          <w:p>
            <w:pPr>
              <w:widowControl/>
              <w:spacing w:line="276" w:lineRule="auto"/>
              <w:jc w:val="left"/>
              <w:textAlignment w:val="center"/>
              <w:rPr>
                <w:kern w:val="0"/>
                <w:szCs w:val="21"/>
                <w:lang w:bidi="ar"/>
              </w:rPr>
            </w:pPr>
            <w:r>
              <w:rPr>
                <w:kern w:val="0"/>
                <w:szCs w:val="21"/>
                <w:lang w:bidi="ar"/>
              </w:rPr>
              <w:t>1、展示医保病例、其他病例比例分析、医保病例分布、自费与其他保险分布，医保类型支持根据本地自定义配置。从参保角度分析医院DIP运行情况</w:t>
            </w:r>
          </w:p>
          <w:p>
            <w:pPr>
              <w:widowControl/>
              <w:spacing w:line="276" w:lineRule="auto"/>
              <w:jc w:val="left"/>
              <w:textAlignment w:val="center"/>
              <w:rPr>
                <w:kern w:val="0"/>
                <w:szCs w:val="21"/>
                <w:lang w:bidi="ar"/>
              </w:rPr>
            </w:pPr>
            <w:r>
              <w:rPr>
                <w:kern w:val="0"/>
                <w:szCs w:val="21"/>
                <w:lang w:bidi="ar"/>
              </w:rPr>
              <w:t>2、支持查看科室及全院病例分布</w:t>
            </w:r>
          </w:p>
          <w:p>
            <w:pPr>
              <w:widowControl/>
              <w:spacing w:line="276" w:lineRule="auto"/>
              <w:jc w:val="left"/>
              <w:textAlignment w:val="center"/>
              <w:rPr>
                <w:szCs w:val="21"/>
              </w:rPr>
            </w:pPr>
            <w:r>
              <w:rPr>
                <w:kern w:val="0"/>
                <w:szCs w:val="21"/>
                <w:lang w:bidi="ar"/>
              </w:rPr>
              <w:t>3、支持按医疗总费用、次均费用、结余、平均住院日、CMI、药占比、耗占比、医技占比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82" w:type="pct"/>
            <w:vMerge w:val="continue"/>
            <w:shd w:val="clear" w:color="auto" w:fill="auto"/>
            <w:vAlign w:val="center"/>
          </w:tcPr>
          <w:p>
            <w:pPr>
              <w:widowControl/>
              <w:spacing w:line="276" w:lineRule="auto"/>
              <w:jc w:val="center"/>
              <w:rPr>
                <w:szCs w:val="21"/>
              </w:rPr>
            </w:pPr>
          </w:p>
        </w:tc>
        <w:tc>
          <w:tcPr>
            <w:tcW w:w="744" w:type="pct"/>
            <w:shd w:val="clear" w:color="auto" w:fill="auto"/>
            <w:vAlign w:val="center"/>
          </w:tcPr>
          <w:p>
            <w:pPr>
              <w:widowControl/>
              <w:spacing w:line="276" w:lineRule="auto"/>
              <w:jc w:val="left"/>
              <w:textAlignment w:val="center"/>
              <w:rPr>
                <w:szCs w:val="21"/>
              </w:rPr>
            </w:pPr>
            <w:r>
              <w:rPr>
                <w:kern w:val="0"/>
                <w:szCs w:val="21"/>
                <w:lang w:bidi="ar"/>
              </w:rPr>
              <w:t>外科能力分析</w:t>
            </w:r>
          </w:p>
        </w:tc>
        <w:tc>
          <w:tcPr>
            <w:tcW w:w="3474" w:type="pct"/>
            <w:shd w:val="clear" w:color="auto" w:fill="auto"/>
            <w:vAlign w:val="center"/>
          </w:tcPr>
          <w:p>
            <w:pPr>
              <w:widowControl/>
              <w:spacing w:line="276" w:lineRule="auto"/>
              <w:jc w:val="left"/>
              <w:textAlignment w:val="center"/>
              <w:rPr>
                <w:kern w:val="0"/>
                <w:szCs w:val="21"/>
                <w:lang w:bidi="ar"/>
              </w:rPr>
            </w:pPr>
            <w:r>
              <w:rPr>
                <w:kern w:val="0"/>
                <w:szCs w:val="21"/>
                <w:lang w:bidi="ar"/>
              </w:rPr>
              <w:t>1、保守与操作治疗分析，展示各科室操作与保守治疗的病例数及占比，病例数支持下钻</w:t>
            </w:r>
          </w:p>
          <w:p>
            <w:pPr>
              <w:widowControl/>
              <w:spacing w:line="276" w:lineRule="auto"/>
              <w:jc w:val="left"/>
              <w:textAlignment w:val="center"/>
              <w:rPr>
                <w:kern w:val="0"/>
                <w:szCs w:val="21"/>
                <w:lang w:bidi="ar"/>
              </w:rPr>
            </w:pPr>
            <w:r>
              <w:rPr>
                <w:kern w:val="0"/>
                <w:szCs w:val="21"/>
                <w:lang w:bidi="ar"/>
              </w:rPr>
              <w:t>2、四级手术分析，展示各科室四级手术、四级微创手术、四级介入手术占比，病例数支持下钻</w:t>
            </w:r>
          </w:p>
          <w:p>
            <w:pPr>
              <w:widowControl/>
              <w:spacing w:line="276" w:lineRule="auto"/>
              <w:jc w:val="left"/>
              <w:textAlignment w:val="center"/>
              <w:rPr>
                <w:szCs w:val="21"/>
              </w:rPr>
            </w:pPr>
            <w:r>
              <w:rPr>
                <w:kern w:val="0"/>
                <w:szCs w:val="21"/>
                <w:lang w:bidi="ar"/>
              </w:rPr>
              <w:t>3、支持年/季/月时间区间、病例范围筛选；支持模糊搜索科室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782" w:type="pct"/>
            <w:vMerge w:val="continue"/>
            <w:shd w:val="clear" w:color="auto" w:fill="auto"/>
            <w:vAlign w:val="center"/>
          </w:tcPr>
          <w:p>
            <w:pPr>
              <w:widowControl/>
              <w:spacing w:line="276" w:lineRule="auto"/>
              <w:jc w:val="center"/>
              <w:rPr>
                <w:szCs w:val="21"/>
              </w:rPr>
            </w:pPr>
          </w:p>
        </w:tc>
        <w:tc>
          <w:tcPr>
            <w:tcW w:w="744" w:type="pct"/>
            <w:shd w:val="clear" w:color="auto" w:fill="auto"/>
            <w:vAlign w:val="center"/>
          </w:tcPr>
          <w:p>
            <w:pPr>
              <w:widowControl/>
              <w:spacing w:line="276" w:lineRule="auto"/>
              <w:jc w:val="left"/>
              <w:textAlignment w:val="center"/>
              <w:rPr>
                <w:szCs w:val="21"/>
              </w:rPr>
            </w:pPr>
            <w:r>
              <w:rPr>
                <w:kern w:val="0"/>
                <w:szCs w:val="21"/>
                <w:lang w:bidi="ar"/>
              </w:rPr>
              <w:t>学科发展分析</w:t>
            </w:r>
          </w:p>
        </w:tc>
        <w:tc>
          <w:tcPr>
            <w:tcW w:w="3474" w:type="pct"/>
            <w:shd w:val="clear" w:color="auto" w:fill="auto"/>
            <w:vAlign w:val="center"/>
          </w:tcPr>
          <w:p>
            <w:pPr>
              <w:widowControl/>
              <w:spacing w:line="276" w:lineRule="auto"/>
              <w:jc w:val="left"/>
              <w:textAlignment w:val="center"/>
              <w:rPr>
                <w:kern w:val="0"/>
                <w:szCs w:val="21"/>
                <w:lang w:bidi="ar"/>
              </w:rPr>
            </w:pPr>
            <w:r>
              <w:rPr>
                <w:kern w:val="0"/>
                <w:szCs w:val="21"/>
                <w:lang w:bidi="ar"/>
              </w:rPr>
              <w:t>1、科室评价：通过波士顿矩阵，分析在医保DIP下相对优势的科室、劣势的科室；支持指标组合维度切换、原点自定义；支持数据下钻与下载；分析指标维度和原点支持自定义</w:t>
            </w:r>
          </w:p>
          <w:p>
            <w:pPr>
              <w:widowControl/>
              <w:spacing w:line="276" w:lineRule="auto"/>
              <w:jc w:val="left"/>
              <w:textAlignment w:val="center"/>
              <w:rPr>
                <w:kern w:val="0"/>
                <w:szCs w:val="21"/>
                <w:lang w:bidi="ar"/>
              </w:rPr>
            </w:pPr>
            <w:r>
              <w:rPr>
                <w:kern w:val="0"/>
                <w:szCs w:val="21"/>
                <w:lang w:bidi="ar"/>
              </w:rPr>
              <w:t>2、病种评价：通过波士顿矩阵，分析在医保DIP下医院的优势病种、劣势病种；支持指标组合维度切换、原点自定义；支持数据下钻与下载；分析指标维度和原点支持自定义</w:t>
            </w:r>
          </w:p>
          <w:p>
            <w:pPr>
              <w:widowControl/>
              <w:spacing w:line="276" w:lineRule="auto"/>
              <w:jc w:val="left"/>
              <w:textAlignment w:val="center"/>
              <w:rPr>
                <w:szCs w:val="21"/>
              </w:rPr>
            </w:pPr>
            <w:r>
              <w:rPr>
                <w:kern w:val="0"/>
                <w:szCs w:val="21"/>
                <w:lang w:bidi="ar"/>
              </w:rPr>
              <w:t>3、二级目录学科发展分析，结合DIP分组原理和医学知识，聚合病种至二级目录，分析医院学科覆盖度。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82" w:type="pct"/>
            <w:shd w:val="clear" w:color="auto" w:fill="auto"/>
            <w:vAlign w:val="center"/>
          </w:tcPr>
          <w:p>
            <w:pPr>
              <w:widowControl/>
              <w:spacing w:line="276" w:lineRule="auto"/>
              <w:jc w:val="center"/>
              <w:textAlignment w:val="center"/>
              <w:rPr>
                <w:szCs w:val="21"/>
              </w:rPr>
            </w:pPr>
            <w:r>
              <w:rPr>
                <w:kern w:val="0"/>
                <w:szCs w:val="21"/>
                <w:lang w:bidi="ar"/>
              </w:rPr>
              <w:t>病例综合查询</w:t>
            </w:r>
          </w:p>
        </w:tc>
        <w:tc>
          <w:tcPr>
            <w:tcW w:w="744" w:type="pct"/>
            <w:shd w:val="clear" w:color="auto" w:fill="auto"/>
            <w:vAlign w:val="center"/>
          </w:tcPr>
          <w:p>
            <w:pPr>
              <w:widowControl/>
              <w:spacing w:line="276" w:lineRule="auto"/>
              <w:jc w:val="left"/>
              <w:textAlignment w:val="center"/>
              <w:rPr>
                <w:szCs w:val="21"/>
              </w:rPr>
            </w:pPr>
            <w:r>
              <w:rPr>
                <w:kern w:val="0"/>
                <w:szCs w:val="21"/>
                <w:lang w:bidi="ar"/>
              </w:rPr>
              <w:t>病例数据查询与下载</w:t>
            </w:r>
          </w:p>
        </w:tc>
        <w:tc>
          <w:tcPr>
            <w:tcW w:w="3474" w:type="pct"/>
            <w:shd w:val="clear" w:color="auto" w:fill="auto"/>
            <w:vAlign w:val="center"/>
          </w:tcPr>
          <w:p>
            <w:pPr>
              <w:widowControl/>
              <w:spacing w:line="276" w:lineRule="auto"/>
              <w:jc w:val="left"/>
              <w:textAlignment w:val="center"/>
              <w:rPr>
                <w:kern w:val="0"/>
                <w:szCs w:val="21"/>
                <w:lang w:bidi="ar"/>
              </w:rPr>
            </w:pPr>
            <w:r>
              <w:rPr>
                <w:kern w:val="0"/>
                <w:szCs w:val="21"/>
                <w:lang w:bidi="ar"/>
              </w:rPr>
              <w:t>1、展示病例明细数据，支持查看详情，包含DIP分组、诊断/手术、费用占比及明细等信息</w:t>
            </w:r>
          </w:p>
          <w:p>
            <w:pPr>
              <w:widowControl/>
              <w:spacing w:line="276" w:lineRule="auto"/>
              <w:jc w:val="left"/>
              <w:textAlignment w:val="center"/>
              <w:rPr>
                <w:kern w:val="0"/>
                <w:szCs w:val="21"/>
                <w:lang w:bidi="ar"/>
              </w:rPr>
            </w:pPr>
            <w:r>
              <w:rPr>
                <w:kern w:val="0"/>
                <w:szCs w:val="21"/>
                <w:lang w:bidi="ar"/>
              </w:rPr>
              <w:t>2、支持按病例类型、X天再入院病例、科室等条件组合、外科能力病例相关筛选；支持按住院号/患者姓名等模糊搜索病例</w:t>
            </w:r>
          </w:p>
          <w:p>
            <w:pPr>
              <w:widowControl/>
              <w:spacing w:line="276" w:lineRule="auto"/>
              <w:jc w:val="left"/>
              <w:textAlignment w:val="center"/>
              <w:rPr>
                <w:kern w:val="0"/>
                <w:szCs w:val="21"/>
                <w:lang w:bidi="ar"/>
              </w:rPr>
            </w:pPr>
            <w:r>
              <w:rPr>
                <w:kern w:val="0"/>
                <w:szCs w:val="21"/>
                <w:lang w:bidi="ar"/>
              </w:rPr>
              <w:t>3、支持数据下载</w:t>
            </w:r>
          </w:p>
          <w:p>
            <w:pPr>
              <w:widowControl/>
              <w:spacing w:line="276" w:lineRule="auto"/>
              <w:jc w:val="left"/>
              <w:textAlignment w:val="center"/>
              <w:rPr>
                <w:szCs w:val="21"/>
              </w:rPr>
            </w:pPr>
            <w:r>
              <w:rPr>
                <w:kern w:val="0"/>
                <w:szCs w:val="21"/>
                <w:lang w:bidi="ar"/>
              </w:rPr>
              <w:t>4、支持针对筛选结果进行总结分析；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82" w:type="pct"/>
            <w:shd w:val="clear" w:color="auto" w:fill="auto"/>
            <w:vAlign w:val="center"/>
          </w:tcPr>
          <w:p>
            <w:pPr>
              <w:widowControl/>
              <w:spacing w:line="276" w:lineRule="auto"/>
              <w:jc w:val="center"/>
              <w:textAlignment w:val="center"/>
              <w:rPr>
                <w:szCs w:val="21"/>
              </w:rPr>
            </w:pPr>
            <w:r>
              <w:rPr>
                <w:kern w:val="0"/>
                <w:szCs w:val="21"/>
                <w:lang w:bidi="ar"/>
              </w:rPr>
              <w:t>指标综合查询</w:t>
            </w:r>
          </w:p>
        </w:tc>
        <w:tc>
          <w:tcPr>
            <w:tcW w:w="744" w:type="pct"/>
            <w:shd w:val="clear" w:color="auto" w:fill="auto"/>
            <w:vAlign w:val="center"/>
          </w:tcPr>
          <w:p>
            <w:pPr>
              <w:widowControl/>
              <w:spacing w:line="276" w:lineRule="auto"/>
              <w:jc w:val="left"/>
              <w:textAlignment w:val="center"/>
              <w:rPr>
                <w:szCs w:val="21"/>
              </w:rPr>
            </w:pPr>
            <w:r>
              <w:rPr>
                <w:kern w:val="0"/>
                <w:szCs w:val="21"/>
                <w:lang w:bidi="ar"/>
              </w:rPr>
              <w:t>自定义指标报表</w:t>
            </w:r>
          </w:p>
        </w:tc>
        <w:tc>
          <w:tcPr>
            <w:tcW w:w="3474" w:type="pct"/>
            <w:shd w:val="clear" w:color="auto" w:fill="auto"/>
            <w:vAlign w:val="center"/>
          </w:tcPr>
          <w:p>
            <w:pPr>
              <w:widowControl/>
              <w:spacing w:line="276" w:lineRule="auto"/>
              <w:jc w:val="left"/>
              <w:textAlignment w:val="center"/>
              <w:rPr>
                <w:kern w:val="0"/>
                <w:szCs w:val="21"/>
                <w:lang w:bidi="ar"/>
              </w:rPr>
            </w:pPr>
            <w:r>
              <w:rPr>
                <w:kern w:val="0"/>
                <w:szCs w:val="21"/>
                <w:lang w:bidi="ar"/>
              </w:rPr>
              <w:t>1、展示所有DIP相关指标，支持自由选择指标组合、调整指标顺序生成各类报表</w:t>
            </w:r>
          </w:p>
          <w:p>
            <w:pPr>
              <w:widowControl/>
              <w:spacing w:line="276" w:lineRule="auto"/>
              <w:jc w:val="left"/>
              <w:textAlignment w:val="center"/>
              <w:rPr>
                <w:kern w:val="0"/>
                <w:szCs w:val="21"/>
                <w:lang w:bidi="ar"/>
              </w:rPr>
            </w:pPr>
            <w:r>
              <w:rPr>
                <w:kern w:val="0"/>
                <w:szCs w:val="21"/>
                <w:lang w:bidi="ar"/>
              </w:rPr>
              <w:t>2、支持保存指标报表模板，用于重复下载</w:t>
            </w:r>
          </w:p>
          <w:p>
            <w:pPr>
              <w:widowControl/>
              <w:spacing w:line="276" w:lineRule="auto"/>
              <w:jc w:val="left"/>
              <w:textAlignment w:val="center"/>
              <w:rPr>
                <w:szCs w:val="21"/>
              </w:rPr>
            </w:pPr>
            <w:r>
              <w:rPr>
                <w:kern w:val="0"/>
                <w:szCs w:val="21"/>
                <w:lang w:bidi="ar"/>
              </w:rPr>
              <w:t>3、指标导出支持自定义数据范围、时间范围、导出维度（全院/科室/病种等）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82" w:type="pct"/>
            <w:vMerge w:val="restart"/>
            <w:shd w:val="clear" w:color="auto" w:fill="auto"/>
            <w:vAlign w:val="center"/>
          </w:tcPr>
          <w:p>
            <w:pPr>
              <w:widowControl/>
              <w:spacing w:line="276" w:lineRule="auto"/>
              <w:jc w:val="center"/>
              <w:textAlignment w:val="center"/>
              <w:rPr>
                <w:szCs w:val="21"/>
              </w:rPr>
            </w:pPr>
            <w:r>
              <w:rPr>
                <w:kern w:val="0"/>
                <w:szCs w:val="21"/>
                <w:lang w:bidi="ar"/>
              </w:rPr>
              <w:t>系统设置</w:t>
            </w:r>
          </w:p>
        </w:tc>
        <w:tc>
          <w:tcPr>
            <w:tcW w:w="744" w:type="pct"/>
            <w:shd w:val="clear" w:color="auto" w:fill="auto"/>
            <w:vAlign w:val="center"/>
          </w:tcPr>
          <w:p>
            <w:pPr>
              <w:widowControl/>
              <w:spacing w:line="276" w:lineRule="auto"/>
              <w:jc w:val="left"/>
              <w:textAlignment w:val="center"/>
              <w:rPr>
                <w:szCs w:val="21"/>
              </w:rPr>
            </w:pPr>
            <w:r>
              <w:rPr>
                <w:kern w:val="0"/>
                <w:szCs w:val="21"/>
                <w:lang w:bidi="ar"/>
              </w:rPr>
              <w:t>费用构成规则设置</w:t>
            </w:r>
          </w:p>
        </w:tc>
        <w:tc>
          <w:tcPr>
            <w:tcW w:w="3474" w:type="pct"/>
            <w:shd w:val="clear" w:color="auto" w:fill="auto"/>
            <w:vAlign w:val="center"/>
          </w:tcPr>
          <w:p>
            <w:pPr>
              <w:widowControl/>
              <w:spacing w:line="276" w:lineRule="auto"/>
              <w:jc w:val="left"/>
              <w:textAlignment w:val="center"/>
              <w:rPr>
                <w:szCs w:val="21"/>
              </w:rPr>
            </w:pPr>
            <w:r>
              <w:rPr>
                <w:kern w:val="0"/>
                <w:szCs w:val="21"/>
                <w:lang w:bidi="ar"/>
              </w:rPr>
              <w:t>自定义设置费用类型，系统将根据该费用类型统计费用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82" w:type="pct"/>
            <w:vMerge w:val="continue"/>
            <w:shd w:val="clear" w:color="auto" w:fill="auto"/>
            <w:vAlign w:val="center"/>
          </w:tcPr>
          <w:p>
            <w:pPr>
              <w:widowControl/>
              <w:spacing w:line="276" w:lineRule="auto"/>
              <w:jc w:val="center"/>
              <w:rPr>
                <w:szCs w:val="21"/>
              </w:rPr>
            </w:pPr>
          </w:p>
        </w:tc>
        <w:tc>
          <w:tcPr>
            <w:tcW w:w="744" w:type="pct"/>
            <w:shd w:val="clear" w:color="auto" w:fill="auto"/>
            <w:vAlign w:val="center"/>
          </w:tcPr>
          <w:p>
            <w:pPr>
              <w:widowControl/>
              <w:spacing w:line="276" w:lineRule="auto"/>
              <w:jc w:val="left"/>
              <w:textAlignment w:val="center"/>
              <w:rPr>
                <w:szCs w:val="21"/>
              </w:rPr>
            </w:pPr>
            <w:r>
              <w:rPr>
                <w:kern w:val="0"/>
                <w:szCs w:val="21"/>
                <w:lang w:bidi="ar"/>
              </w:rPr>
              <w:t>医保审核规则设置</w:t>
            </w:r>
          </w:p>
        </w:tc>
        <w:tc>
          <w:tcPr>
            <w:tcW w:w="3474" w:type="pct"/>
            <w:shd w:val="clear" w:color="auto" w:fill="auto"/>
            <w:vAlign w:val="center"/>
          </w:tcPr>
          <w:p>
            <w:pPr>
              <w:widowControl/>
              <w:spacing w:line="276" w:lineRule="auto"/>
              <w:jc w:val="left"/>
              <w:textAlignment w:val="center"/>
              <w:rPr>
                <w:szCs w:val="21"/>
              </w:rPr>
            </w:pPr>
            <w:r>
              <w:rPr>
                <w:kern w:val="0"/>
                <w:szCs w:val="21"/>
                <w:lang w:bidi="ar"/>
              </w:rPr>
              <w:t>支持不同地区医保对医院监管审核规则的设置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82" w:type="pct"/>
            <w:vMerge w:val="continue"/>
            <w:shd w:val="clear" w:color="auto" w:fill="auto"/>
            <w:vAlign w:val="center"/>
          </w:tcPr>
          <w:p>
            <w:pPr>
              <w:widowControl/>
              <w:spacing w:line="276" w:lineRule="auto"/>
              <w:jc w:val="center"/>
              <w:rPr>
                <w:szCs w:val="21"/>
              </w:rPr>
            </w:pPr>
          </w:p>
        </w:tc>
        <w:tc>
          <w:tcPr>
            <w:tcW w:w="744" w:type="pct"/>
            <w:shd w:val="clear" w:color="auto" w:fill="auto"/>
            <w:vAlign w:val="center"/>
          </w:tcPr>
          <w:p>
            <w:pPr>
              <w:widowControl/>
              <w:spacing w:line="276" w:lineRule="auto"/>
              <w:jc w:val="left"/>
              <w:textAlignment w:val="center"/>
              <w:rPr>
                <w:szCs w:val="21"/>
              </w:rPr>
            </w:pPr>
            <w:r>
              <w:rPr>
                <w:kern w:val="0"/>
                <w:szCs w:val="21"/>
                <w:lang w:bidi="ar"/>
              </w:rPr>
              <w:t>事中费用预警设置</w:t>
            </w:r>
          </w:p>
        </w:tc>
        <w:tc>
          <w:tcPr>
            <w:tcW w:w="3474" w:type="pct"/>
            <w:shd w:val="clear" w:color="auto" w:fill="auto"/>
            <w:vAlign w:val="center"/>
          </w:tcPr>
          <w:p>
            <w:pPr>
              <w:widowControl/>
              <w:spacing w:line="276" w:lineRule="auto"/>
              <w:jc w:val="left"/>
              <w:textAlignment w:val="center"/>
              <w:rPr>
                <w:szCs w:val="21"/>
              </w:rPr>
            </w:pPr>
            <w:r>
              <w:rPr>
                <w:kern w:val="0"/>
                <w:szCs w:val="21"/>
                <w:lang w:bidi="ar"/>
              </w:rPr>
              <w:t>支持设置费用极高预警、费用极低预警、超支风险三类费用预警的规则与生效范围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82" w:type="pct"/>
            <w:vMerge w:val="continue"/>
            <w:shd w:val="clear" w:color="auto" w:fill="auto"/>
            <w:vAlign w:val="center"/>
          </w:tcPr>
          <w:p>
            <w:pPr>
              <w:widowControl/>
              <w:spacing w:line="276" w:lineRule="auto"/>
              <w:jc w:val="center"/>
              <w:rPr>
                <w:szCs w:val="21"/>
              </w:rPr>
            </w:pPr>
          </w:p>
        </w:tc>
        <w:tc>
          <w:tcPr>
            <w:tcW w:w="744" w:type="pct"/>
            <w:shd w:val="clear" w:color="auto" w:fill="auto"/>
            <w:vAlign w:val="center"/>
          </w:tcPr>
          <w:p>
            <w:pPr>
              <w:widowControl/>
              <w:spacing w:line="276" w:lineRule="auto"/>
              <w:jc w:val="left"/>
              <w:textAlignment w:val="center"/>
              <w:rPr>
                <w:szCs w:val="21"/>
              </w:rPr>
            </w:pPr>
            <w:r>
              <w:rPr>
                <w:kern w:val="0"/>
                <w:szCs w:val="21"/>
                <w:lang w:bidi="ar"/>
              </w:rPr>
              <w:t>结算清单匹配规则</w:t>
            </w:r>
          </w:p>
        </w:tc>
        <w:tc>
          <w:tcPr>
            <w:tcW w:w="3474" w:type="pct"/>
            <w:shd w:val="clear" w:color="auto" w:fill="auto"/>
            <w:vAlign w:val="center"/>
          </w:tcPr>
          <w:p>
            <w:pPr>
              <w:widowControl/>
              <w:spacing w:line="276" w:lineRule="auto"/>
              <w:jc w:val="left"/>
              <w:textAlignment w:val="center"/>
              <w:rPr>
                <w:szCs w:val="21"/>
              </w:rPr>
            </w:pPr>
            <w:r>
              <w:rPr>
                <w:kern w:val="0"/>
                <w:szCs w:val="21"/>
                <w:lang w:bidi="ar"/>
              </w:rPr>
              <w:t>保证【医保结算管理】顺利导入结算单，需要将地区结算单表头、数据与系统标准的表头、数据做匹配，院级管理员可在此页面选择单个或多个字段作为PID（患者唯一号）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82" w:type="pct"/>
            <w:vMerge w:val="restart"/>
            <w:shd w:val="clear" w:color="auto" w:fill="auto"/>
            <w:vAlign w:val="center"/>
          </w:tcPr>
          <w:p>
            <w:pPr>
              <w:widowControl/>
              <w:spacing w:line="276" w:lineRule="auto"/>
              <w:jc w:val="center"/>
              <w:textAlignment w:val="center"/>
              <w:rPr>
                <w:szCs w:val="21"/>
              </w:rPr>
            </w:pPr>
            <w:r>
              <w:rPr>
                <w:kern w:val="0"/>
                <w:szCs w:val="21"/>
                <w:lang w:bidi="ar"/>
              </w:rPr>
              <w:t>其它</w:t>
            </w:r>
          </w:p>
        </w:tc>
        <w:tc>
          <w:tcPr>
            <w:tcW w:w="4218" w:type="pct"/>
            <w:gridSpan w:val="2"/>
            <w:shd w:val="clear" w:color="auto" w:fill="auto"/>
            <w:vAlign w:val="center"/>
          </w:tcPr>
          <w:p>
            <w:pPr>
              <w:widowControl/>
              <w:spacing w:line="276" w:lineRule="auto"/>
              <w:jc w:val="left"/>
              <w:textAlignment w:val="center"/>
              <w:rPr>
                <w:szCs w:val="21"/>
              </w:rPr>
            </w:pPr>
            <w:r>
              <w:rPr>
                <w:kern w:val="0"/>
                <w:szCs w:val="21"/>
                <w:lang w:bidi="ar"/>
              </w:rPr>
              <w:t>病案首页质控规则知识库提供院内本地化部署。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82" w:type="pct"/>
            <w:vMerge w:val="continue"/>
            <w:shd w:val="clear" w:color="auto" w:fill="auto"/>
            <w:vAlign w:val="center"/>
          </w:tcPr>
          <w:p>
            <w:pPr>
              <w:widowControl/>
              <w:spacing w:line="276" w:lineRule="auto"/>
              <w:jc w:val="center"/>
              <w:rPr>
                <w:szCs w:val="21"/>
              </w:rPr>
            </w:pPr>
          </w:p>
        </w:tc>
        <w:tc>
          <w:tcPr>
            <w:tcW w:w="4218" w:type="pct"/>
            <w:gridSpan w:val="2"/>
            <w:shd w:val="clear" w:color="auto" w:fill="auto"/>
            <w:vAlign w:val="center"/>
          </w:tcPr>
          <w:p>
            <w:pPr>
              <w:widowControl/>
              <w:spacing w:line="276" w:lineRule="auto"/>
              <w:jc w:val="left"/>
              <w:textAlignment w:val="center"/>
              <w:rPr>
                <w:szCs w:val="21"/>
              </w:rPr>
            </w:pPr>
            <w:r>
              <w:rPr>
                <w:kern w:val="0"/>
                <w:szCs w:val="21"/>
                <w:lang w:bidi="ar"/>
              </w:rPr>
              <w:t>系统新版本保持更新。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82" w:type="pct"/>
            <w:vMerge w:val="continue"/>
            <w:shd w:val="clear" w:color="auto" w:fill="auto"/>
            <w:vAlign w:val="center"/>
          </w:tcPr>
          <w:p>
            <w:pPr>
              <w:widowControl/>
              <w:spacing w:line="276" w:lineRule="auto"/>
              <w:jc w:val="center"/>
              <w:rPr>
                <w:szCs w:val="21"/>
              </w:rPr>
            </w:pPr>
          </w:p>
        </w:tc>
        <w:tc>
          <w:tcPr>
            <w:tcW w:w="4218" w:type="pct"/>
            <w:gridSpan w:val="2"/>
            <w:shd w:val="clear" w:color="auto" w:fill="auto"/>
            <w:vAlign w:val="center"/>
          </w:tcPr>
          <w:p>
            <w:pPr>
              <w:widowControl/>
              <w:spacing w:line="276" w:lineRule="auto"/>
              <w:jc w:val="left"/>
              <w:textAlignment w:val="center"/>
              <w:rPr>
                <w:szCs w:val="21"/>
              </w:rPr>
            </w:pPr>
            <w:r>
              <w:rPr>
                <w:kern w:val="0"/>
                <w:szCs w:val="21"/>
                <w:lang w:bidi="ar"/>
              </w:rPr>
              <w:t>DIP的分组器保持与区域端同步更新。</w:t>
            </w:r>
          </w:p>
        </w:tc>
      </w:tr>
    </w:tbl>
    <w:p/>
    <w:p>
      <w:pPr>
        <w:pStyle w:val="5"/>
        <w:numPr>
          <w:ilvl w:val="1"/>
          <w:numId w:val="7"/>
        </w:numPr>
        <w:rPr>
          <w:sz w:val="24"/>
          <w:szCs w:val="24"/>
        </w:rPr>
      </w:pPr>
      <w:r>
        <w:rPr>
          <w:sz w:val="24"/>
          <w:szCs w:val="24"/>
        </w:rPr>
        <w:t xml:space="preserve"> </w:t>
      </w:r>
      <w:bookmarkStart w:id="17" w:name="_Toc14448"/>
      <w:r>
        <w:rPr>
          <w:sz w:val="24"/>
          <w:szCs w:val="24"/>
        </w:rPr>
        <w:t>DIP结算管理系统</w:t>
      </w:r>
      <w:bookmarkEnd w:id="17"/>
    </w:p>
    <w:tbl>
      <w:tblPr>
        <w:tblStyle w:val="43"/>
        <w:tblW w:w="4998" w:type="pct"/>
        <w:tblInd w:w="0" w:type="dxa"/>
        <w:tblLayout w:type="autofit"/>
        <w:tblCellMar>
          <w:top w:w="0" w:type="dxa"/>
          <w:left w:w="108" w:type="dxa"/>
          <w:bottom w:w="0" w:type="dxa"/>
          <w:right w:w="108" w:type="dxa"/>
        </w:tblCellMar>
      </w:tblPr>
      <w:tblGrid>
        <w:gridCol w:w="1480"/>
        <w:gridCol w:w="1435"/>
        <w:gridCol w:w="5604"/>
      </w:tblGrid>
      <w:tr>
        <w:tblPrEx>
          <w:tblCellMar>
            <w:top w:w="0" w:type="dxa"/>
            <w:left w:w="108" w:type="dxa"/>
            <w:bottom w:w="0" w:type="dxa"/>
            <w:right w:w="108" w:type="dxa"/>
          </w:tblCellMar>
        </w:tblPrEx>
        <w:trPr>
          <w:trHeight w:val="624" w:hRule="atLeast"/>
          <w:tblHeader/>
        </w:trPr>
        <w:tc>
          <w:tcPr>
            <w:tcW w:w="869"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76" w:lineRule="auto"/>
              <w:jc w:val="center"/>
              <w:textAlignment w:val="center"/>
              <w:rPr>
                <w:kern w:val="0"/>
                <w:szCs w:val="21"/>
                <w:lang w:bidi="ar"/>
              </w:rPr>
            </w:pPr>
            <w:r>
              <w:rPr>
                <w:b/>
                <w:bCs/>
                <w:kern w:val="0"/>
                <w:szCs w:val="21"/>
                <w:lang w:bidi="ar"/>
              </w:rPr>
              <w:t>功能模块</w:t>
            </w:r>
          </w:p>
        </w:tc>
        <w:tc>
          <w:tcPr>
            <w:tcW w:w="842"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76" w:lineRule="auto"/>
              <w:jc w:val="center"/>
              <w:textAlignment w:val="center"/>
              <w:rPr>
                <w:kern w:val="0"/>
                <w:szCs w:val="21"/>
                <w:lang w:bidi="ar"/>
              </w:rPr>
            </w:pPr>
            <w:r>
              <w:rPr>
                <w:b/>
                <w:bCs/>
                <w:kern w:val="0"/>
                <w:szCs w:val="21"/>
                <w:lang w:bidi="ar"/>
              </w:rPr>
              <w:t>模块描述</w:t>
            </w:r>
          </w:p>
        </w:tc>
        <w:tc>
          <w:tcPr>
            <w:tcW w:w="3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kern w:val="0"/>
                <w:szCs w:val="21"/>
                <w:lang w:bidi="ar"/>
              </w:rPr>
            </w:pPr>
            <w:r>
              <w:rPr>
                <w:b/>
                <w:bCs/>
                <w:kern w:val="0"/>
                <w:szCs w:val="21"/>
                <w:lang w:bidi="ar"/>
              </w:rPr>
              <w:t>功能说明</w:t>
            </w:r>
          </w:p>
        </w:tc>
      </w:tr>
      <w:tr>
        <w:tblPrEx>
          <w:tblCellMar>
            <w:top w:w="0" w:type="dxa"/>
            <w:left w:w="108" w:type="dxa"/>
            <w:bottom w:w="0" w:type="dxa"/>
            <w:right w:w="108" w:type="dxa"/>
          </w:tblCellMar>
        </w:tblPrEx>
        <w:trPr>
          <w:trHeight w:val="1524" w:hRule="atLeast"/>
        </w:trPr>
        <w:tc>
          <w:tcPr>
            <w:tcW w:w="869" w:type="pct"/>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76" w:lineRule="auto"/>
              <w:jc w:val="center"/>
              <w:textAlignment w:val="center"/>
              <w:rPr>
                <w:szCs w:val="21"/>
              </w:rPr>
            </w:pPr>
            <w:r>
              <w:rPr>
                <w:rFonts w:hint="eastAsia"/>
                <w:kern w:val="0"/>
                <w:szCs w:val="21"/>
                <w:lang w:bidi="ar"/>
              </w:rPr>
              <w:t>清单首页管理</w:t>
            </w:r>
          </w:p>
        </w:tc>
        <w:tc>
          <w:tcPr>
            <w:tcW w:w="842"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76" w:lineRule="auto"/>
              <w:jc w:val="left"/>
              <w:textAlignment w:val="center"/>
              <w:rPr>
                <w:szCs w:val="21"/>
              </w:rPr>
            </w:pPr>
            <w:r>
              <w:rPr>
                <w:kern w:val="0"/>
                <w:szCs w:val="21"/>
                <w:lang w:bidi="ar"/>
              </w:rPr>
              <w:t>风险病例审查</w:t>
            </w:r>
          </w:p>
        </w:tc>
        <w:tc>
          <w:tcPr>
            <w:tcW w:w="3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kern w:val="0"/>
                <w:szCs w:val="21"/>
                <w:lang w:bidi="ar"/>
              </w:rPr>
            </w:pPr>
            <w:r>
              <w:rPr>
                <w:kern w:val="0"/>
                <w:szCs w:val="21"/>
                <w:lang w:bidi="ar"/>
              </w:rPr>
              <w:t>1、支持按病例类型、质控异常、再入院等条件筛选风险病例</w:t>
            </w:r>
          </w:p>
          <w:p>
            <w:pPr>
              <w:widowControl/>
              <w:spacing w:line="276" w:lineRule="auto"/>
              <w:jc w:val="left"/>
              <w:textAlignment w:val="center"/>
              <w:rPr>
                <w:kern w:val="0"/>
                <w:szCs w:val="21"/>
                <w:lang w:bidi="ar"/>
              </w:rPr>
            </w:pPr>
            <w:r>
              <w:rPr>
                <w:kern w:val="0"/>
                <w:szCs w:val="21"/>
                <w:lang w:bidi="ar"/>
              </w:rPr>
              <w:t>2、支持查看病例DIP分组、诊断/手术、费用明细等数据，用于病例数据合规性审查</w:t>
            </w:r>
          </w:p>
          <w:p>
            <w:pPr>
              <w:widowControl/>
              <w:spacing w:line="276" w:lineRule="auto"/>
              <w:jc w:val="left"/>
              <w:textAlignment w:val="center"/>
              <w:rPr>
                <w:kern w:val="0"/>
                <w:szCs w:val="21"/>
                <w:lang w:bidi="ar"/>
              </w:rPr>
            </w:pPr>
            <w:r>
              <w:rPr>
                <w:kern w:val="0"/>
                <w:szCs w:val="21"/>
                <w:lang w:bidi="ar"/>
              </w:rPr>
              <w:t>3、支持数据下载</w:t>
            </w:r>
          </w:p>
          <w:p>
            <w:pPr>
              <w:widowControl/>
              <w:spacing w:line="276" w:lineRule="auto"/>
              <w:jc w:val="left"/>
              <w:textAlignment w:val="center"/>
              <w:rPr>
                <w:szCs w:val="21"/>
              </w:rPr>
            </w:pPr>
            <w:r>
              <w:rPr>
                <w:rFonts w:hint="eastAsia" w:ascii="宋体" w:hAnsi="宋体"/>
                <w:kern w:val="0"/>
                <w:szCs w:val="21"/>
                <w:lang w:bidi="ar"/>
              </w:rPr>
              <w:t>▲</w:t>
            </w:r>
            <w:r>
              <w:rPr>
                <w:kern w:val="0"/>
                <w:szCs w:val="21"/>
                <w:lang w:bidi="ar"/>
              </w:rPr>
              <w:t>4、支持自由拖动诊断手术调整顺序，增加、修改或减少诊断手术，模拟DIP分组及预警，可与原分组对比查看；支持诊断手术模糊联想输入</w:t>
            </w:r>
          </w:p>
        </w:tc>
      </w:tr>
      <w:tr>
        <w:tblPrEx>
          <w:tblCellMar>
            <w:top w:w="0" w:type="dxa"/>
            <w:left w:w="108" w:type="dxa"/>
            <w:bottom w:w="0" w:type="dxa"/>
            <w:right w:w="108" w:type="dxa"/>
          </w:tblCellMar>
        </w:tblPrEx>
        <w:trPr>
          <w:trHeight w:val="313" w:hRule="atLeast"/>
        </w:trPr>
        <w:tc>
          <w:tcPr>
            <w:tcW w:w="869"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76" w:lineRule="auto"/>
              <w:jc w:val="center"/>
              <w:rPr>
                <w:szCs w:val="21"/>
              </w:rPr>
            </w:pPr>
          </w:p>
        </w:tc>
        <w:tc>
          <w:tcPr>
            <w:tcW w:w="842"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76" w:lineRule="auto"/>
              <w:jc w:val="left"/>
              <w:textAlignment w:val="center"/>
              <w:rPr>
                <w:szCs w:val="21"/>
              </w:rPr>
            </w:pPr>
            <w:r>
              <w:rPr>
                <w:kern w:val="0"/>
                <w:szCs w:val="21"/>
                <w:lang w:bidi="ar"/>
              </w:rPr>
              <w:t>结算清单质控</w:t>
            </w:r>
          </w:p>
        </w:tc>
        <w:tc>
          <w:tcPr>
            <w:tcW w:w="3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szCs w:val="21"/>
              </w:rPr>
            </w:pPr>
            <w:r>
              <w:rPr>
                <w:kern w:val="0"/>
                <w:szCs w:val="21"/>
                <w:lang w:bidi="ar"/>
              </w:rPr>
              <w:t>根据病案首页规则质控结算清单，支持查看结算清单内容及质控问题</w:t>
            </w:r>
          </w:p>
        </w:tc>
      </w:tr>
      <w:tr>
        <w:tblPrEx>
          <w:tblCellMar>
            <w:top w:w="0" w:type="dxa"/>
            <w:left w:w="108" w:type="dxa"/>
            <w:bottom w:w="0" w:type="dxa"/>
            <w:right w:w="108" w:type="dxa"/>
          </w:tblCellMar>
        </w:tblPrEx>
        <w:trPr>
          <w:trHeight w:val="313" w:hRule="atLeast"/>
        </w:trPr>
        <w:tc>
          <w:tcPr>
            <w:tcW w:w="869"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76" w:lineRule="auto"/>
              <w:jc w:val="center"/>
              <w:rPr>
                <w:szCs w:val="21"/>
              </w:rPr>
            </w:pPr>
          </w:p>
        </w:tc>
        <w:tc>
          <w:tcPr>
            <w:tcW w:w="842"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76" w:lineRule="auto"/>
              <w:jc w:val="left"/>
              <w:textAlignment w:val="center"/>
              <w:rPr>
                <w:szCs w:val="21"/>
              </w:rPr>
            </w:pPr>
            <w:r>
              <w:rPr>
                <w:kern w:val="0"/>
                <w:szCs w:val="21"/>
                <w:lang w:bidi="ar"/>
              </w:rPr>
              <w:t>病案首页质控</w:t>
            </w:r>
          </w:p>
        </w:tc>
        <w:tc>
          <w:tcPr>
            <w:tcW w:w="3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szCs w:val="21"/>
              </w:rPr>
            </w:pPr>
            <w:r>
              <w:rPr>
                <w:kern w:val="0"/>
                <w:szCs w:val="21"/>
                <w:lang w:bidi="ar"/>
              </w:rPr>
              <w:t>根据病案首页规则质控病案首页，支持查看病案首页内容及质控问题</w:t>
            </w:r>
          </w:p>
        </w:tc>
      </w:tr>
      <w:tr>
        <w:tblPrEx>
          <w:tblCellMar>
            <w:top w:w="0" w:type="dxa"/>
            <w:left w:w="108" w:type="dxa"/>
            <w:bottom w:w="0" w:type="dxa"/>
            <w:right w:w="108" w:type="dxa"/>
          </w:tblCellMar>
        </w:tblPrEx>
        <w:trPr>
          <w:trHeight w:val="616" w:hRule="atLeast"/>
        </w:trPr>
        <w:tc>
          <w:tcPr>
            <w:tcW w:w="869" w:type="pct"/>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76" w:lineRule="auto"/>
              <w:jc w:val="center"/>
              <w:textAlignment w:val="center"/>
              <w:rPr>
                <w:szCs w:val="21"/>
              </w:rPr>
            </w:pPr>
            <w:r>
              <w:rPr>
                <w:kern w:val="0"/>
                <w:szCs w:val="21"/>
                <w:lang w:bidi="ar"/>
              </w:rPr>
              <w:t>结算导入管理</w:t>
            </w:r>
          </w:p>
        </w:tc>
        <w:tc>
          <w:tcPr>
            <w:tcW w:w="842"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76" w:lineRule="auto"/>
              <w:jc w:val="left"/>
              <w:textAlignment w:val="center"/>
              <w:rPr>
                <w:szCs w:val="21"/>
              </w:rPr>
            </w:pPr>
            <w:r>
              <w:rPr>
                <w:kern w:val="0"/>
                <w:szCs w:val="21"/>
                <w:lang w:bidi="ar"/>
              </w:rPr>
              <w:t>月度结算单导入</w:t>
            </w:r>
          </w:p>
        </w:tc>
        <w:tc>
          <w:tcPr>
            <w:tcW w:w="3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szCs w:val="21"/>
              </w:rPr>
            </w:pPr>
            <w:r>
              <w:rPr>
                <w:kern w:val="0"/>
                <w:szCs w:val="21"/>
                <w:lang w:bidi="ar"/>
              </w:rPr>
              <w:t>用于导入医保局下发的月度实际结算单，导入后系统中将以实际数据做统计分析；支持导入异常数据的手动处理机制</w:t>
            </w:r>
          </w:p>
        </w:tc>
      </w:tr>
      <w:tr>
        <w:tblPrEx>
          <w:tblCellMar>
            <w:top w:w="0" w:type="dxa"/>
            <w:left w:w="108" w:type="dxa"/>
            <w:bottom w:w="0" w:type="dxa"/>
            <w:right w:w="108" w:type="dxa"/>
          </w:tblCellMar>
        </w:tblPrEx>
        <w:trPr>
          <w:trHeight w:val="313" w:hRule="atLeast"/>
        </w:trPr>
        <w:tc>
          <w:tcPr>
            <w:tcW w:w="869"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76" w:lineRule="auto"/>
              <w:jc w:val="center"/>
              <w:rPr>
                <w:szCs w:val="21"/>
              </w:rPr>
            </w:pPr>
          </w:p>
        </w:tc>
        <w:tc>
          <w:tcPr>
            <w:tcW w:w="842"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76" w:lineRule="auto"/>
              <w:jc w:val="left"/>
              <w:textAlignment w:val="center"/>
              <w:rPr>
                <w:szCs w:val="21"/>
              </w:rPr>
            </w:pPr>
            <w:r>
              <w:rPr>
                <w:kern w:val="0"/>
                <w:szCs w:val="21"/>
                <w:lang w:bidi="ar"/>
              </w:rPr>
              <w:t>分值点值管理</w:t>
            </w:r>
          </w:p>
        </w:tc>
        <w:tc>
          <w:tcPr>
            <w:tcW w:w="3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szCs w:val="21"/>
              </w:rPr>
            </w:pPr>
            <w:r>
              <w:rPr>
                <w:kern w:val="0"/>
                <w:szCs w:val="21"/>
                <w:lang w:bidi="ar"/>
              </w:rPr>
              <w:t>设置医院统一分值点值，同时支持区分按职工、居民分开录入</w:t>
            </w:r>
          </w:p>
        </w:tc>
      </w:tr>
      <w:tr>
        <w:tblPrEx>
          <w:tblCellMar>
            <w:top w:w="0" w:type="dxa"/>
            <w:left w:w="108" w:type="dxa"/>
            <w:bottom w:w="0" w:type="dxa"/>
            <w:right w:w="108" w:type="dxa"/>
          </w:tblCellMar>
        </w:tblPrEx>
        <w:trPr>
          <w:trHeight w:val="313" w:hRule="atLeast"/>
        </w:trPr>
        <w:tc>
          <w:tcPr>
            <w:tcW w:w="869" w:type="pct"/>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76" w:lineRule="auto"/>
              <w:jc w:val="center"/>
              <w:textAlignment w:val="center"/>
              <w:rPr>
                <w:szCs w:val="21"/>
              </w:rPr>
            </w:pPr>
            <w:r>
              <w:rPr>
                <w:kern w:val="0"/>
                <w:szCs w:val="21"/>
                <w:lang w:bidi="ar"/>
              </w:rPr>
              <w:t>结算核对</w:t>
            </w:r>
          </w:p>
        </w:tc>
        <w:tc>
          <w:tcPr>
            <w:tcW w:w="842"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76" w:lineRule="auto"/>
              <w:jc w:val="left"/>
              <w:textAlignment w:val="center"/>
              <w:rPr>
                <w:szCs w:val="21"/>
              </w:rPr>
            </w:pPr>
            <w:r>
              <w:rPr>
                <w:kern w:val="0"/>
                <w:szCs w:val="21"/>
                <w:lang w:bidi="ar"/>
              </w:rPr>
              <w:t>结算数据核对</w:t>
            </w:r>
          </w:p>
        </w:tc>
        <w:tc>
          <w:tcPr>
            <w:tcW w:w="3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szCs w:val="21"/>
              </w:rPr>
            </w:pPr>
            <w:r>
              <w:rPr>
                <w:rFonts w:hint="eastAsia" w:ascii="宋体" w:hAnsi="宋体"/>
                <w:kern w:val="0"/>
                <w:szCs w:val="21"/>
                <w:lang w:bidi="ar"/>
              </w:rPr>
              <w:t>▲</w:t>
            </w:r>
            <w:r>
              <w:rPr>
                <w:kern w:val="0"/>
                <w:szCs w:val="21"/>
                <w:lang w:bidi="ar"/>
              </w:rPr>
              <w:t>用于医保办/病案质控相关人员，在医保结算单下发之后，核对结算单数据</w:t>
            </w:r>
          </w:p>
        </w:tc>
      </w:tr>
      <w:tr>
        <w:tblPrEx>
          <w:tblCellMar>
            <w:top w:w="0" w:type="dxa"/>
            <w:left w:w="108" w:type="dxa"/>
            <w:bottom w:w="0" w:type="dxa"/>
            <w:right w:w="108" w:type="dxa"/>
          </w:tblCellMar>
        </w:tblPrEx>
        <w:trPr>
          <w:trHeight w:val="323" w:hRule="atLeast"/>
        </w:trPr>
        <w:tc>
          <w:tcPr>
            <w:tcW w:w="869" w:type="pct"/>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szCs w:val="21"/>
              </w:rPr>
            </w:pPr>
          </w:p>
        </w:tc>
        <w:tc>
          <w:tcPr>
            <w:tcW w:w="842"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76" w:lineRule="auto"/>
              <w:jc w:val="left"/>
              <w:textAlignment w:val="center"/>
              <w:rPr>
                <w:szCs w:val="21"/>
              </w:rPr>
            </w:pPr>
            <w:r>
              <w:rPr>
                <w:kern w:val="0"/>
                <w:szCs w:val="21"/>
                <w:lang w:bidi="ar"/>
              </w:rPr>
              <w:t>申诉</w:t>
            </w:r>
          </w:p>
        </w:tc>
        <w:tc>
          <w:tcPr>
            <w:tcW w:w="3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szCs w:val="21"/>
              </w:rPr>
            </w:pPr>
            <w:r>
              <w:rPr>
                <w:rFonts w:hint="eastAsia" w:ascii="宋体" w:hAnsi="宋体"/>
                <w:kern w:val="0"/>
                <w:szCs w:val="21"/>
                <w:lang w:bidi="ar"/>
              </w:rPr>
              <w:t>▲</w:t>
            </w:r>
            <w:r>
              <w:rPr>
                <w:kern w:val="0"/>
                <w:szCs w:val="21"/>
                <w:lang w:bidi="ar"/>
              </w:rPr>
              <w:t>在核对后，对结算单中不合理的结算病例进行申诉</w:t>
            </w:r>
          </w:p>
        </w:tc>
      </w:tr>
    </w:tbl>
    <w:p>
      <w:pPr>
        <w:rPr>
          <w:sz w:val="24"/>
          <w:szCs w:val="24"/>
        </w:rPr>
      </w:pPr>
    </w:p>
    <w:p>
      <w:pPr>
        <w:pStyle w:val="5"/>
        <w:numPr>
          <w:ilvl w:val="1"/>
          <w:numId w:val="7"/>
        </w:numPr>
        <w:rPr>
          <w:sz w:val="24"/>
          <w:szCs w:val="24"/>
        </w:rPr>
      </w:pPr>
      <w:r>
        <w:rPr>
          <w:sz w:val="24"/>
          <w:szCs w:val="24"/>
        </w:rPr>
        <w:t xml:space="preserve"> </w:t>
      </w:r>
      <w:bookmarkStart w:id="18" w:name="_Toc18794"/>
      <w:r>
        <w:rPr>
          <w:sz w:val="24"/>
          <w:szCs w:val="24"/>
        </w:rPr>
        <w:t>病案首页质控系统</w:t>
      </w:r>
      <w:bookmarkEnd w:id="18"/>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1403"/>
        <w:gridCol w:w="5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trPr>
        <w:tc>
          <w:tcPr>
            <w:tcW w:w="914" w:type="pct"/>
            <w:shd w:val="clear" w:color="auto" w:fill="auto"/>
            <w:vAlign w:val="center"/>
          </w:tcPr>
          <w:p>
            <w:pPr>
              <w:widowControl/>
              <w:spacing w:line="276" w:lineRule="auto"/>
              <w:jc w:val="center"/>
              <w:textAlignment w:val="center"/>
              <w:rPr>
                <w:b/>
                <w:bCs/>
                <w:szCs w:val="21"/>
              </w:rPr>
            </w:pPr>
            <w:r>
              <w:rPr>
                <w:b/>
                <w:bCs/>
                <w:kern w:val="0"/>
                <w:szCs w:val="21"/>
                <w:lang w:bidi="ar"/>
              </w:rPr>
              <w:t>功能模块</w:t>
            </w:r>
          </w:p>
        </w:tc>
        <w:tc>
          <w:tcPr>
            <w:tcW w:w="823" w:type="pct"/>
            <w:shd w:val="clear" w:color="auto" w:fill="auto"/>
            <w:vAlign w:val="center"/>
          </w:tcPr>
          <w:p>
            <w:pPr>
              <w:widowControl/>
              <w:spacing w:line="276" w:lineRule="auto"/>
              <w:jc w:val="center"/>
              <w:textAlignment w:val="center"/>
              <w:rPr>
                <w:b/>
                <w:bCs/>
                <w:szCs w:val="21"/>
              </w:rPr>
            </w:pPr>
            <w:r>
              <w:rPr>
                <w:b/>
                <w:bCs/>
                <w:szCs w:val="21"/>
              </w:rPr>
              <w:t>模块描述</w:t>
            </w:r>
          </w:p>
        </w:tc>
        <w:tc>
          <w:tcPr>
            <w:tcW w:w="3261" w:type="pct"/>
            <w:shd w:val="clear" w:color="auto" w:fill="auto"/>
            <w:vAlign w:val="center"/>
          </w:tcPr>
          <w:p>
            <w:pPr>
              <w:widowControl/>
              <w:spacing w:line="276" w:lineRule="auto"/>
              <w:jc w:val="center"/>
              <w:textAlignment w:val="center"/>
              <w:rPr>
                <w:b/>
                <w:bCs/>
                <w:szCs w:val="21"/>
              </w:rPr>
            </w:pPr>
            <w:r>
              <w:rPr>
                <w:b/>
                <w:bCs/>
                <w:kern w:val="0"/>
                <w:szCs w:val="21"/>
                <w:lang w:bidi="ar"/>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914" w:type="pct"/>
            <w:shd w:val="clear" w:color="auto" w:fill="auto"/>
            <w:vAlign w:val="center"/>
          </w:tcPr>
          <w:p>
            <w:pPr>
              <w:widowControl/>
              <w:spacing w:line="276" w:lineRule="auto"/>
              <w:jc w:val="left"/>
              <w:textAlignment w:val="center"/>
              <w:rPr>
                <w:szCs w:val="21"/>
              </w:rPr>
            </w:pPr>
            <w:r>
              <w:rPr>
                <w:kern w:val="0"/>
                <w:szCs w:val="21"/>
                <w:lang w:bidi="ar"/>
              </w:rPr>
              <w:t>医生端质控</w:t>
            </w:r>
          </w:p>
        </w:tc>
        <w:tc>
          <w:tcPr>
            <w:tcW w:w="823" w:type="pct"/>
            <w:shd w:val="clear" w:color="auto" w:fill="auto"/>
            <w:vAlign w:val="center"/>
          </w:tcPr>
          <w:p>
            <w:pPr>
              <w:widowControl/>
              <w:spacing w:line="276" w:lineRule="auto"/>
              <w:jc w:val="left"/>
              <w:textAlignment w:val="center"/>
              <w:rPr>
                <w:szCs w:val="21"/>
              </w:rPr>
            </w:pPr>
            <w:r>
              <w:rPr>
                <w:kern w:val="0"/>
                <w:szCs w:val="21"/>
                <w:lang w:bidi="ar"/>
              </w:rPr>
              <w:t>医生端实时质控</w:t>
            </w:r>
          </w:p>
        </w:tc>
        <w:tc>
          <w:tcPr>
            <w:tcW w:w="3261" w:type="pct"/>
            <w:shd w:val="clear" w:color="auto" w:fill="auto"/>
            <w:vAlign w:val="center"/>
          </w:tcPr>
          <w:p>
            <w:pPr>
              <w:widowControl/>
              <w:spacing w:line="276" w:lineRule="auto"/>
              <w:jc w:val="left"/>
              <w:textAlignment w:val="center"/>
              <w:rPr>
                <w:kern w:val="0"/>
                <w:szCs w:val="21"/>
                <w:lang w:bidi="ar"/>
              </w:rPr>
            </w:pPr>
            <w:r>
              <w:rPr>
                <w:kern w:val="0"/>
                <w:szCs w:val="21"/>
                <w:lang w:bidi="ar"/>
              </w:rPr>
              <w:t>1.提供可嵌入院内EMR系统的质控页面（需第三方配合）</w:t>
            </w:r>
          </w:p>
          <w:p>
            <w:pPr>
              <w:widowControl/>
              <w:spacing w:line="276" w:lineRule="auto"/>
              <w:jc w:val="left"/>
              <w:textAlignment w:val="center"/>
              <w:rPr>
                <w:kern w:val="0"/>
                <w:szCs w:val="21"/>
                <w:lang w:bidi="ar"/>
              </w:rPr>
            </w:pPr>
            <w:r>
              <w:rPr>
                <w:kern w:val="0"/>
                <w:szCs w:val="21"/>
                <w:lang w:bidi="ar"/>
              </w:rPr>
              <w:t>2.支持实时查看单份病例的DIP预测分组信息、质控结果信息、质控评分信息</w:t>
            </w:r>
          </w:p>
          <w:p>
            <w:pPr>
              <w:widowControl/>
              <w:spacing w:line="276" w:lineRule="auto"/>
              <w:jc w:val="left"/>
              <w:textAlignment w:val="center"/>
              <w:rPr>
                <w:szCs w:val="21"/>
              </w:rPr>
            </w:pPr>
            <w:r>
              <w:rPr>
                <w:kern w:val="0"/>
                <w:szCs w:val="21"/>
                <w:lang w:bidi="ar"/>
              </w:rPr>
              <w:t>3.支持查看并回复批注信息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914" w:type="pct"/>
            <w:vMerge w:val="restart"/>
            <w:shd w:val="clear" w:color="auto" w:fill="auto"/>
            <w:vAlign w:val="center"/>
          </w:tcPr>
          <w:p>
            <w:pPr>
              <w:widowControl/>
              <w:spacing w:line="276" w:lineRule="auto"/>
              <w:jc w:val="left"/>
              <w:textAlignment w:val="center"/>
              <w:rPr>
                <w:szCs w:val="21"/>
              </w:rPr>
            </w:pPr>
            <w:r>
              <w:rPr>
                <w:kern w:val="0"/>
                <w:szCs w:val="21"/>
                <w:lang w:bidi="ar"/>
              </w:rPr>
              <w:t>病案端质控</w:t>
            </w:r>
          </w:p>
        </w:tc>
        <w:tc>
          <w:tcPr>
            <w:tcW w:w="823" w:type="pct"/>
            <w:shd w:val="clear" w:color="auto" w:fill="auto"/>
            <w:vAlign w:val="center"/>
          </w:tcPr>
          <w:p>
            <w:pPr>
              <w:widowControl/>
              <w:spacing w:line="276" w:lineRule="auto"/>
              <w:jc w:val="left"/>
              <w:textAlignment w:val="center"/>
              <w:rPr>
                <w:szCs w:val="21"/>
              </w:rPr>
            </w:pPr>
            <w:r>
              <w:rPr>
                <w:kern w:val="0"/>
                <w:szCs w:val="21"/>
                <w:lang w:bidi="ar"/>
              </w:rPr>
              <w:t>病案端实时质控</w:t>
            </w:r>
          </w:p>
        </w:tc>
        <w:tc>
          <w:tcPr>
            <w:tcW w:w="3261" w:type="pct"/>
            <w:shd w:val="clear" w:color="auto" w:fill="auto"/>
            <w:vAlign w:val="center"/>
          </w:tcPr>
          <w:p>
            <w:pPr>
              <w:widowControl/>
              <w:spacing w:line="276" w:lineRule="auto"/>
              <w:jc w:val="left"/>
              <w:textAlignment w:val="center"/>
              <w:rPr>
                <w:kern w:val="0"/>
                <w:szCs w:val="21"/>
                <w:lang w:bidi="ar"/>
              </w:rPr>
            </w:pPr>
            <w:r>
              <w:rPr>
                <w:kern w:val="0"/>
                <w:szCs w:val="21"/>
                <w:lang w:bidi="ar"/>
              </w:rPr>
              <w:t>1.提供可嵌入院内病案编码系统的质控页面（需第三方配合）</w:t>
            </w:r>
          </w:p>
          <w:p>
            <w:pPr>
              <w:widowControl/>
              <w:spacing w:line="276" w:lineRule="auto"/>
              <w:jc w:val="left"/>
              <w:textAlignment w:val="center"/>
              <w:rPr>
                <w:kern w:val="0"/>
                <w:szCs w:val="21"/>
                <w:lang w:bidi="ar"/>
              </w:rPr>
            </w:pPr>
            <w:r>
              <w:rPr>
                <w:kern w:val="0"/>
                <w:szCs w:val="21"/>
                <w:lang w:bidi="ar"/>
              </w:rPr>
              <w:t>2.支持实时查看单份病例的DIP预测分组信息、质控结果信息、质控评分信息、查看费用明细</w:t>
            </w:r>
          </w:p>
          <w:p>
            <w:pPr>
              <w:widowControl/>
              <w:spacing w:line="276" w:lineRule="auto"/>
              <w:jc w:val="left"/>
              <w:textAlignment w:val="center"/>
              <w:rPr>
                <w:kern w:val="0"/>
                <w:szCs w:val="21"/>
                <w:lang w:bidi="ar"/>
              </w:rPr>
            </w:pPr>
            <w:r>
              <w:rPr>
                <w:kern w:val="0"/>
                <w:szCs w:val="21"/>
                <w:lang w:bidi="ar"/>
              </w:rPr>
              <w:t>3.支持批注信息的填写、查看、回复功能，批注信息支持回传系统，进行系统与第三方之间事中事后的多场景互动和统计分析</w:t>
            </w:r>
          </w:p>
          <w:p>
            <w:pPr>
              <w:widowControl/>
              <w:spacing w:line="276" w:lineRule="auto"/>
              <w:jc w:val="left"/>
              <w:textAlignment w:val="center"/>
              <w:rPr>
                <w:kern w:val="0"/>
                <w:szCs w:val="21"/>
                <w:lang w:bidi="ar"/>
              </w:rPr>
            </w:pPr>
            <w:r>
              <w:rPr>
                <w:kern w:val="0"/>
                <w:szCs w:val="21"/>
                <w:lang w:bidi="ar"/>
              </w:rPr>
              <w:t>4.支持与临床诊断不一致提示，可查看EMR与MR的对比信息</w:t>
            </w:r>
          </w:p>
          <w:p>
            <w:pPr>
              <w:widowControl/>
              <w:spacing w:line="276" w:lineRule="auto"/>
              <w:jc w:val="left"/>
              <w:textAlignment w:val="center"/>
              <w:rPr>
                <w:kern w:val="0"/>
                <w:szCs w:val="21"/>
                <w:lang w:bidi="ar"/>
              </w:rPr>
            </w:pPr>
            <w:r>
              <w:rPr>
                <w:kern w:val="0"/>
                <w:szCs w:val="21"/>
                <w:lang w:bidi="ar"/>
              </w:rPr>
              <w:t>5.支持调整主诊断/主手术进行模拟分组</w:t>
            </w:r>
          </w:p>
          <w:p>
            <w:pPr>
              <w:widowControl/>
              <w:spacing w:line="276" w:lineRule="auto"/>
              <w:jc w:val="left"/>
              <w:textAlignment w:val="center"/>
              <w:rPr>
                <w:szCs w:val="21"/>
              </w:rPr>
            </w:pPr>
            <w:r>
              <w:rPr>
                <w:kern w:val="0"/>
                <w:szCs w:val="21"/>
                <w:lang w:bidi="ar"/>
              </w:rPr>
              <w:t>6.支持打开结算清单详情页，进行查看、编辑、保存（需第三方配合），实现满足对于单个病例的两份文书同时管理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14" w:type="pct"/>
            <w:vMerge w:val="continue"/>
            <w:shd w:val="clear" w:color="auto" w:fill="auto"/>
            <w:vAlign w:val="center"/>
          </w:tcPr>
          <w:p>
            <w:pPr>
              <w:widowControl/>
              <w:spacing w:line="276" w:lineRule="auto"/>
              <w:jc w:val="left"/>
              <w:rPr>
                <w:szCs w:val="21"/>
              </w:rPr>
            </w:pPr>
          </w:p>
        </w:tc>
        <w:tc>
          <w:tcPr>
            <w:tcW w:w="823" w:type="pct"/>
            <w:shd w:val="clear" w:color="auto" w:fill="auto"/>
            <w:vAlign w:val="center"/>
          </w:tcPr>
          <w:p>
            <w:pPr>
              <w:widowControl/>
              <w:spacing w:line="276" w:lineRule="auto"/>
              <w:jc w:val="left"/>
              <w:textAlignment w:val="center"/>
              <w:rPr>
                <w:szCs w:val="21"/>
              </w:rPr>
            </w:pPr>
            <w:r>
              <w:rPr>
                <w:kern w:val="0"/>
                <w:szCs w:val="21"/>
                <w:lang w:bidi="ar"/>
              </w:rPr>
              <w:t>首页问题检测</w:t>
            </w:r>
          </w:p>
        </w:tc>
        <w:tc>
          <w:tcPr>
            <w:tcW w:w="3261" w:type="pct"/>
            <w:shd w:val="clear" w:color="auto" w:fill="auto"/>
            <w:vAlign w:val="center"/>
          </w:tcPr>
          <w:p>
            <w:pPr>
              <w:widowControl/>
              <w:spacing w:line="276" w:lineRule="auto"/>
              <w:jc w:val="left"/>
              <w:textAlignment w:val="center"/>
              <w:rPr>
                <w:kern w:val="0"/>
                <w:szCs w:val="21"/>
                <w:lang w:bidi="ar"/>
              </w:rPr>
            </w:pPr>
            <w:r>
              <w:rPr>
                <w:kern w:val="0"/>
                <w:szCs w:val="21"/>
                <w:lang w:bidi="ar"/>
              </w:rPr>
              <w:t>1.非实时质控，病案编码员在编码后集中查看质控结果；</w:t>
            </w:r>
          </w:p>
          <w:p>
            <w:pPr>
              <w:widowControl/>
              <w:spacing w:line="276" w:lineRule="auto"/>
              <w:jc w:val="left"/>
              <w:textAlignment w:val="center"/>
              <w:rPr>
                <w:kern w:val="0"/>
                <w:szCs w:val="21"/>
                <w:lang w:bidi="ar"/>
              </w:rPr>
            </w:pPr>
            <w:r>
              <w:rPr>
                <w:kern w:val="0"/>
                <w:szCs w:val="21"/>
                <w:lang w:bidi="ar"/>
              </w:rPr>
              <w:t>2.支持按重点问题病例、一般问题病例分级查看问题病例，包含每份病例的DIP预测分组信息、质控结果信息、相关费用信息；</w:t>
            </w:r>
          </w:p>
          <w:p>
            <w:pPr>
              <w:widowControl/>
              <w:spacing w:line="276" w:lineRule="auto"/>
              <w:jc w:val="left"/>
              <w:textAlignment w:val="center"/>
              <w:rPr>
                <w:kern w:val="0"/>
                <w:szCs w:val="21"/>
                <w:lang w:bidi="ar"/>
              </w:rPr>
            </w:pPr>
            <w:r>
              <w:rPr>
                <w:kern w:val="0"/>
                <w:szCs w:val="21"/>
                <w:lang w:bidi="ar"/>
              </w:rPr>
              <w:t>3.支持专家知识库质控规则、大数据机器学习质控规则、费用与编码关联算法规则；</w:t>
            </w:r>
          </w:p>
          <w:p>
            <w:pPr>
              <w:widowControl/>
              <w:spacing w:line="276" w:lineRule="auto"/>
              <w:jc w:val="left"/>
              <w:textAlignment w:val="center"/>
              <w:rPr>
                <w:kern w:val="0"/>
                <w:szCs w:val="21"/>
                <w:lang w:bidi="ar"/>
              </w:rPr>
            </w:pPr>
            <w:r>
              <w:rPr>
                <w:kern w:val="0"/>
                <w:szCs w:val="21"/>
                <w:lang w:bidi="ar"/>
              </w:rPr>
              <w:t>4.支持模拟分组，即调整首页诊断、手术内容后重新查看分组；</w:t>
            </w:r>
          </w:p>
          <w:p>
            <w:pPr>
              <w:widowControl/>
              <w:spacing w:line="276" w:lineRule="auto"/>
              <w:jc w:val="left"/>
              <w:textAlignment w:val="center"/>
              <w:rPr>
                <w:kern w:val="0"/>
                <w:szCs w:val="21"/>
                <w:lang w:bidi="ar"/>
              </w:rPr>
            </w:pPr>
            <w:r>
              <w:rPr>
                <w:kern w:val="0"/>
                <w:szCs w:val="21"/>
                <w:lang w:bidi="ar"/>
              </w:rPr>
              <w:t>5.支持整改批注，对问题病案输入批注内容后，批注内容可发送指定人员，对于问题归属进行分类统计，批注具体内容支持下载导出，为科室培训提供参考</w:t>
            </w:r>
          </w:p>
          <w:p>
            <w:pPr>
              <w:widowControl/>
              <w:spacing w:line="276" w:lineRule="auto"/>
              <w:jc w:val="left"/>
              <w:textAlignment w:val="center"/>
              <w:rPr>
                <w:kern w:val="0"/>
                <w:szCs w:val="21"/>
                <w:lang w:bidi="ar"/>
              </w:rPr>
            </w:pPr>
            <w:r>
              <w:rPr>
                <w:kern w:val="0"/>
                <w:szCs w:val="21"/>
                <w:lang w:bidi="ar"/>
              </w:rPr>
              <w:t>6.支持DIP医疗总费用查看，包含患者所有发生费用，以及地区病组均费、本院病组标准均费等标杆费用；</w:t>
            </w:r>
          </w:p>
          <w:p>
            <w:pPr>
              <w:widowControl/>
              <w:spacing w:line="276" w:lineRule="auto"/>
              <w:jc w:val="left"/>
              <w:textAlignment w:val="center"/>
              <w:rPr>
                <w:kern w:val="0"/>
                <w:szCs w:val="21"/>
                <w:lang w:bidi="ar"/>
              </w:rPr>
            </w:pPr>
            <w:r>
              <w:rPr>
                <w:kern w:val="0"/>
                <w:szCs w:val="21"/>
                <w:lang w:bidi="ar"/>
              </w:rPr>
              <w:t>7.支持查看与临床诊断不一致比较，包括编码前后分组信息、诊断手术信息查看；</w:t>
            </w:r>
          </w:p>
          <w:p>
            <w:pPr>
              <w:widowControl/>
              <w:spacing w:line="276" w:lineRule="auto"/>
              <w:jc w:val="left"/>
              <w:textAlignment w:val="center"/>
              <w:rPr>
                <w:kern w:val="0"/>
                <w:szCs w:val="21"/>
                <w:lang w:bidi="ar"/>
              </w:rPr>
            </w:pPr>
            <w:r>
              <w:rPr>
                <w:kern w:val="0"/>
                <w:szCs w:val="21"/>
                <w:lang w:bidi="ar"/>
              </w:rPr>
              <w:t>8.支持查看X天内再入院病例，可查看历次相关住院的分组与诊断/手术信息。再入院判断可自定义维护，如同一分组再入院，同一诊断再入院；</w:t>
            </w:r>
          </w:p>
          <w:p>
            <w:pPr>
              <w:widowControl/>
              <w:spacing w:line="276" w:lineRule="auto"/>
              <w:jc w:val="left"/>
              <w:textAlignment w:val="center"/>
              <w:rPr>
                <w:kern w:val="0"/>
                <w:szCs w:val="21"/>
                <w:lang w:bidi="ar"/>
              </w:rPr>
            </w:pPr>
            <w:r>
              <w:rPr>
                <w:kern w:val="0"/>
                <w:szCs w:val="21"/>
                <w:lang w:bidi="ar"/>
              </w:rPr>
              <w:t>9.列表表头支持自定义，包含表头字段是否显示设置和排序设置；</w:t>
            </w:r>
          </w:p>
          <w:p>
            <w:pPr>
              <w:widowControl/>
              <w:spacing w:line="276" w:lineRule="auto"/>
              <w:jc w:val="left"/>
              <w:textAlignment w:val="center"/>
              <w:rPr>
                <w:kern w:val="0"/>
                <w:szCs w:val="21"/>
                <w:lang w:bidi="ar"/>
              </w:rPr>
            </w:pPr>
            <w:r>
              <w:rPr>
                <w:kern w:val="0"/>
                <w:szCs w:val="21"/>
                <w:lang w:bidi="ar"/>
              </w:rPr>
              <w:t>10.支持对质检结果进行自定义操作，包括忽略当前病例的提示、关闭某一规则细项、对存疑规则标识备注信息、标识为已修改；</w:t>
            </w:r>
          </w:p>
          <w:p>
            <w:pPr>
              <w:widowControl/>
              <w:spacing w:line="276" w:lineRule="auto"/>
              <w:jc w:val="left"/>
              <w:textAlignment w:val="center"/>
              <w:rPr>
                <w:kern w:val="0"/>
                <w:szCs w:val="21"/>
                <w:lang w:bidi="ar"/>
              </w:rPr>
            </w:pPr>
            <w:r>
              <w:rPr>
                <w:kern w:val="0"/>
                <w:szCs w:val="21"/>
                <w:lang w:bidi="ar"/>
              </w:rPr>
              <w:t>11.病案详情支持启用模拟质检/分组，即调整首页诊断、手术内容后，可重新查看分组，以及重新查看质检结果；</w:t>
            </w:r>
          </w:p>
          <w:p>
            <w:pPr>
              <w:widowControl/>
              <w:spacing w:line="276" w:lineRule="auto"/>
              <w:jc w:val="left"/>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914" w:type="pct"/>
            <w:vMerge w:val="continue"/>
            <w:shd w:val="clear" w:color="auto" w:fill="auto"/>
            <w:vAlign w:val="center"/>
          </w:tcPr>
          <w:p>
            <w:pPr>
              <w:widowControl/>
              <w:spacing w:line="276" w:lineRule="auto"/>
              <w:jc w:val="left"/>
              <w:rPr>
                <w:szCs w:val="21"/>
              </w:rPr>
            </w:pPr>
          </w:p>
        </w:tc>
        <w:tc>
          <w:tcPr>
            <w:tcW w:w="823" w:type="pct"/>
            <w:shd w:val="clear" w:color="auto" w:fill="auto"/>
            <w:vAlign w:val="center"/>
          </w:tcPr>
          <w:p>
            <w:pPr>
              <w:widowControl/>
              <w:spacing w:line="276" w:lineRule="auto"/>
              <w:jc w:val="left"/>
              <w:textAlignment w:val="center"/>
              <w:rPr>
                <w:szCs w:val="21"/>
              </w:rPr>
            </w:pPr>
            <w:r>
              <w:rPr>
                <w:kern w:val="0"/>
                <w:szCs w:val="21"/>
                <w:lang w:bidi="ar"/>
              </w:rPr>
              <w:t>风险病例核查</w:t>
            </w:r>
          </w:p>
        </w:tc>
        <w:tc>
          <w:tcPr>
            <w:tcW w:w="3261" w:type="pct"/>
            <w:shd w:val="clear" w:color="auto" w:fill="auto"/>
            <w:vAlign w:val="center"/>
          </w:tcPr>
          <w:p>
            <w:pPr>
              <w:widowControl/>
              <w:spacing w:line="276" w:lineRule="auto"/>
              <w:jc w:val="left"/>
              <w:textAlignment w:val="center"/>
              <w:rPr>
                <w:kern w:val="0"/>
                <w:szCs w:val="21"/>
                <w:lang w:bidi="ar"/>
              </w:rPr>
            </w:pPr>
            <w:r>
              <w:rPr>
                <w:kern w:val="0"/>
                <w:szCs w:val="21"/>
                <w:lang w:bidi="ar"/>
              </w:rPr>
              <w:t>1.对于有整改批注的病例和待核查病例进行单独集合管理，跟踪全院重点问题病案，以弹出形式警示提醒，便于重点跟踪避免遗漏；</w:t>
            </w:r>
          </w:p>
          <w:p>
            <w:pPr>
              <w:widowControl/>
              <w:spacing w:line="276" w:lineRule="auto"/>
              <w:jc w:val="left"/>
              <w:textAlignment w:val="center"/>
              <w:rPr>
                <w:kern w:val="0"/>
                <w:szCs w:val="21"/>
                <w:lang w:bidi="ar"/>
              </w:rPr>
            </w:pPr>
            <w:r>
              <w:rPr>
                <w:kern w:val="0"/>
                <w:szCs w:val="21"/>
                <w:lang w:bidi="ar"/>
              </w:rPr>
              <w:t>2.支持疑似入错组病例核查，包含首页有手术入内科组、首页无手术，有手术费入内科组；</w:t>
            </w:r>
          </w:p>
          <w:p>
            <w:pPr>
              <w:widowControl/>
              <w:spacing w:line="276" w:lineRule="auto"/>
              <w:jc w:val="left"/>
              <w:textAlignment w:val="center"/>
              <w:rPr>
                <w:kern w:val="0"/>
                <w:szCs w:val="21"/>
                <w:lang w:bidi="ar"/>
              </w:rPr>
            </w:pPr>
            <w:r>
              <w:rPr>
                <w:kern w:val="0"/>
                <w:szCs w:val="21"/>
                <w:lang w:bidi="ar"/>
              </w:rPr>
              <w:t>3.支持疑似费用异常病例核查，包含高倍率病例、低倍率病例；</w:t>
            </w:r>
          </w:p>
          <w:p>
            <w:pPr>
              <w:widowControl/>
              <w:spacing w:line="276" w:lineRule="auto"/>
              <w:jc w:val="left"/>
              <w:textAlignment w:val="center"/>
              <w:rPr>
                <w:kern w:val="0"/>
                <w:szCs w:val="21"/>
                <w:lang w:bidi="ar"/>
              </w:rPr>
            </w:pPr>
            <w:r>
              <w:rPr>
                <w:kern w:val="0"/>
                <w:szCs w:val="21"/>
                <w:lang w:bidi="ar"/>
              </w:rPr>
              <w:t>4.支持编码前后分组不一致病例核查，包含编码后总点数上升病例，编码后总点数下降病例，同时可查看每份病例编码前后诊断手术信息对比，以及DIP分组信息对比；</w:t>
            </w:r>
          </w:p>
          <w:p>
            <w:pPr>
              <w:widowControl/>
              <w:spacing w:line="276" w:lineRule="auto"/>
              <w:jc w:val="left"/>
              <w:textAlignment w:val="center"/>
              <w:rPr>
                <w:kern w:val="0"/>
                <w:szCs w:val="21"/>
                <w:lang w:bidi="ar"/>
              </w:rPr>
            </w:pPr>
            <w:r>
              <w:rPr>
                <w:kern w:val="0"/>
                <w:szCs w:val="21"/>
                <w:lang w:bidi="ar"/>
              </w:rPr>
              <w:t>5.支持无分组病例核查，包含无分组原因展现；</w:t>
            </w:r>
          </w:p>
          <w:p>
            <w:pPr>
              <w:widowControl/>
              <w:spacing w:line="276" w:lineRule="auto"/>
              <w:jc w:val="left"/>
              <w:textAlignment w:val="center"/>
              <w:rPr>
                <w:kern w:val="0"/>
                <w:szCs w:val="21"/>
                <w:lang w:bidi="ar"/>
              </w:rPr>
            </w:pPr>
            <w:r>
              <w:rPr>
                <w:kern w:val="0"/>
                <w:szCs w:val="21"/>
                <w:lang w:bidi="ar"/>
              </w:rPr>
              <w:t>6.支持按死亡病例、抢救病例、输血病例、转科病例等多种特殊类型进行排查；</w:t>
            </w:r>
          </w:p>
          <w:p>
            <w:pPr>
              <w:widowControl/>
              <w:spacing w:line="276" w:lineRule="auto"/>
              <w:jc w:val="left"/>
              <w:textAlignment w:val="center"/>
              <w:rPr>
                <w:kern w:val="0"/>
                <w:szCs w:val="21"/>
                <w:lang w:bidi="ar"/>
              </w:rPr>
            </w:pPr>
            <w:r>
              <w:rPr>
                <w:kern w:val="0"/>
                <w:szCs w:val="21"/>
                <w:lang w:bidi="ar"/>
              </w:rPr>
              <w:t>7.支持以EXCEL格式导出整改批注信息；</w:t>
            </w:r>
          </w:p>
          <w:p>
            <w:pPr>
              <w:widowControl/>
              <w:spacing w:line="276" w:lineRule="auto"/>
              <w:jc w:val="left"/>
              <w:textAlignment w:val="center"/>
              <w:rPr>
                <w:kern w:val="0"/>
                <w:szCs w:val="21"/>
                <w:lang w:bidi="ar"/>
              </w:rPr>
            </w:pPr>
            <w:r>
              <w:rPr>
                <w:kern w:val="0"/>
                <w:szCs w:val="21"/>
                <w:lang w:bidi="ar"/>
              </w:rPr>
              <w:t>8.支持查看X天内再入院病例，可查看历次相关住院的分组与诊断/手术信息。再入院判断可自定义维护，如同一分组再入院，同一诊断再入院；</w:t>
            </w:r>
          </w:p>
          <w:p>
            <w:pPr>
              <w:widowControl/>
              <w:spacing w:line="276" w:lineRule="auto"/>
              <w:jc w:val="left"/>
              <w:textAlignment w:val="center"/>
              <w:rPr>
                <w:kern w:val="0"/>
                <w:szCs w:val="21"/>
                <w:lang w:bidi="ar"/>
              </w:rPr>
            </w:pPr>
            <w:r>
              <w:rPr>
                <w:kern w:val="0"/>
                <w:szCs w:val="21"/>
                <w:lang w:bidi="ar"/>
              </w:rPr>
              <w:t>9.支持表头自定义，包含表头字段是否显示设置和排序设置；</w:t>
            </w:r>
          </w:p>
          <w:p>
            <w:pPr>
              <w:widowControl/>
              <w:spacing w:line="276" w:lineRule="auto"/>
              <w:jc w:val="left"/>
              <w:textAlignment w:val="center"/>
              <w:rPr>
                <w:szCs w:val="21"/>
              </w:rPr>
            </w:pPr>
            <w:r>
              <w:rPr>
                <w:kern w:val="0"/>
                <w:szCs w:val="21"/>
                <w:lang w:bidi="ar"/>
              </w:rPr>
              <w:t>10.</w:t>
            </w:r>
            <w:r>
              <w:rPr>
                <w:rStyle w:val="204"/>
                <w:rFonts w:hint="default" w:ascii="Times New Roman" w:hAnsi="Times New Roman" w:cs="Times New Roman"/>
                <w:color w:val="auto"/>
                <w:sz w:val="21"/>
                <w:szCs w:val="21"/>
                <w:lang w:bidi="ar"/>
              </w:rPr>
              <w:t>支持调阅院内患者360页面（需第三方配合）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trPr>
        <w:tc>
          <w:tcPr>
            <w:tcW w:w="914" w:type="pct"/>
            <w:vMerge w:val="restart"/>
            <w:shd w:val="clear" w:color="auto" w:fill="auto"/>
            <w:vAlign w:val="center"/>
          </w:tcPr>
          <w:p>
            <w:pPr>
              <w:widowControl/>
              <w:spacing w:line="276" w:lineRule="auto"/>
              <w:jc w:val="left"/>
              <w:textAlignment w:val="center"/>
              <w:rPr>
                <w:szCs w:val="21"/>
              </w:rPr>
            </w:pPr>
            <w:r>
              <w:rPr>
                <w:kern w:val="0"/>
                <w:szCs w:val="21"/>
                <w:lang w:bidi="ar"/>
              </w:rPr>
              <w:t>统计分析</w:t>
            </w:r>
          </w:p>
        </w:tc>
        <w:tc>
          <w:tcPr>
            <w:tcW w:w="823" w:type="pct"/>
            <w:shd w:val="clear" w:color="auto" w:fill="auto"/>
            <w:vAlign w:val="center"/>
          </w:tcPr>
          <w:p>
            <w:pPr>
              <w:widowControl/>
              <w:spacing w:line="276" w:lineRule="auto"/>
              <w:jc w:val="left"/>
              <w:textAlignment w:val="center"/>
              <w:rPr>
                <w:szCs w:val="21"/>
              </w:rPr>
            </w:pPr>
            <w:r>
              <w:rPr>
                <w:kern w:val="0"/>
                <w:szCs w:val="21"/>
                <w:lang w:bidi="ar"/>
              </w:rPr>
              <w:t>病案首页质量分析</w:t>
            </w:r>
          </w:p>
        </w:tc>
        <w:tc>
          <w:tcPr>
            <w:tcW w:w="3261" w:type="pct"/>
            <w:shd w:val="clear" w:color="auto" w:fill="auto"/>
            <w:vAlign w:val="center"/>
          </w:tcPr>
          <w:p>
            <w:pPr>
              <w:widowControl/>
              <w:spacing w:line="276" w:lineRule="auto"/>
              <w:jc w:val="left"/>
              <w:textAlignment w:val="center"/>
              <w:rPr>
                <w:kern w:val="0"/>
                <w:szCs w:val="21"/>
                <w:lang w:bidi="ar"/>
              </w:rPr>
            </w:pPr>
            <w:r>
              <w:rPr>
                <w:kern w:val="0"/>
                <w:szCs w:val="21"/>
                <w:lang w:bidi="ar"/>
              </w:rPr>
              <w:t>1.支持以图表形式展现某一时间段内的问题病案情况总览，如问题病案占比、问题类型分布、近半年问题病案整体趋势；</w:t>
            </w:r>
          </w:p>
          <w:p>
            <w:pPr>
              <w:widowControl/>
              <w:spacing w:line="276" w:lineRule="auto"/>
              <w:jc w:val="left"/>
              <w:textAlignment w:val="center"/>
              <w:rPr>
                <w:kern w:val="0"/>
                <w:szCs w:val="21"/>
                <w:lang w:bidi="ar"/>
              </w:rPr>
            </w:pPr>
            <w:r>
              <w:rPr>
                <w:kern w:val="0"/>
                <w:szCs w:val="21"/>
                <w:lang w:bidi="ar"/>
              </w:rPr>
              <w:t>2.支持以质检问题、重点问题、一般问题等问题分类的维度进行统计；</w:t>
            </w:r>
          </w:p>
          <w:p>
            <w:pPr>
              <w:widowControl/>
              <w:spacing w:line="276" w:lineRule="auto"/>
              <w:jc w:val="left"/>
              <w:textAlignment w:val="center"/>
              <w:rPr>
                <w:kern w:val="0"/>
                <w:szCs w:val="21"/>
                <w:lang w:bidi="ar"/>
              </w:rPr>
            </w:pPr>
            <w:r>
              <w:rPr>
                <w:kern w:val="0"/>
                <w:szCs w:val="21"/>
                <w:lang w:bidi="ar"/>
              </w:rPr>
              <w:t>3.支持以编码员维度分析编码质量，包括问题病案数量和占比、问题类型分布、近6个月问题发生趋势等；</w:t>
            </w:r>
          </w:p>
          <w:p>
            <w:pPr>
              <w:widowControl/>
              <w:spacing w:line="276" w:lineRule="auto"/>
              <w:jc w:val="left"/>
              <w:textAlignment w:val="center"/>
              <w:rPr>
                <w:szCs w:val="21"/>
              </w:rPr>
            </w:pPr>
            <w:r>
              <w:rPr>
                <w:kern w:val="0"/>
                <w:szCs w:val="21"/>
                <w:lang w:bidi="ar"/>
              </w:rPr>
              <w:t>4.可下钻查看各编码员问题病例列表、病例详情，支持导出编码员问题明细；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4" w:type="pct"/>
            <w:vMerge w:val="continue"/>
            <w:shd w:val="clear" w:color="auto" w:fill="auto"/>
            <w:vAlign w:val="center"/>
          </w:tcPr>
          <w:p>
            <w:pPr>
              <w:widowControl/>
              <w:spacing w:line="276" w:lineRule="auto"/>
              <w:jc w:val="left"/>
              <w:rPr>
                <w:szCs w:val="21"/>
              </w:rPr>
            </w:pPr>
          </w:p>
        </w:tc>
        <w:tc>
          <w:tcPr>
            <w:tcW w:w="823" w:type="pct"/>
            <w:shd w:val="clear" w:color="auto" w:fill="auto"/>
            <w:vAlign w:val="center"/>
          </w:tcPr>
          <w:p>
            <w:pPr>
              <w:widowControl/>
              <w:spacing w:line="276" w:lineRule="auto"/>
              <w:jc w:val="left"/>
              <w:textAlignment w:val="center"/>
              <w:rPr>
                <w:szCs w:val="21"/>
              </w:rPr>
            </w:pPr>
            <w:r>
              <w:rPr>
                <w:kern w:val="0"/>
                <w:szCs w:val="21"/>
                <w:lang w:bidi="ar"/>
              </w:rPr>
              <w:t>医生首页质量分析</w:t>
            </w:r>
          </w:p>
        </w:tc>
        <w:tc>
          <w:tcPr>
            <w:tcW w:w="3261" w:type="pct"/>
            <w:shd w:val="clear" w:color="auto" w:fill="auto"/>
            <w:vAlign w:val="center"/>
          </w:tcPr>
          <w:p>
            <w:pPr>
              <w:widowControl/>
              <w:spacing w:line="276" w:lineRule="auto"/>
              <w:jc w:val="left"/>
              <w:textAlignment w:val="center"/>
              <w:rPr>
                <w:kern w:val="0"/>
                <w:szCs w:val="21"/>
                <w:lang w:bidi="ar"/>
              </w:rPr>
            </w:pPr>
            <w:r>
              <w:rPr>
                <w:kern w:val="0"/>
                <w:szCs w:val="21"/>
                <w:lang w:bidi="ar"/>
              </w:rPr>
              <w:t>1.支持以图表形式展现某一时间段内的问题病案情况总览，如问题病案占比、问题类型分布、近半年问题病案整体趋势；</w:t>
            </w:r>
          </w:p>
          <w:p>
            <w:pPr>
              <w:widowControl/>
              <w:spacing w:line="276" w:lineRule="auto"/>
              <w:jc w:val="left"/>
              <w:textAlignment w:val="center"/>
              <w:rPr>
                <w:kern w:val="0"/>
                <w:szCs w:val="21"/>
                <w:lang w:bidi="ar"/>
              </w:rPr>
            </w:pPr>
            <w:r>
              <w:rPr>
                <w:kern w:val="0"/>
                <w:szCs w:val="21"/>
                <w:lang w:bidi="ar"/>
              </w:rPr>
              <w:t>2.支持以全部质检问题、编码前后不一致等问题分类的维度进行统计；</w:t>
            </w:r>
          </w:p>
          <w:p>
            <w:pPr>
              <w:widowControl/>
              <w:spacing w:line="276" w:lineRule="auto"/>
              <w:jc w:val="left"/>
              <w:textAlignment w:val="center"/>
              <w:rPr>
                <w:kern w:val="0"/>
                <w:szCs w:val="21"/>
                <w:lang w:bidi="ar"/>
              </w:rPr>
            </w:pPr>
            <w:r>
              <w:rPr>
                <w:kern w:val="0"/>
                <w:szCs w:val="21"/>
                <w:lang w:bidi="ar"/>
              </w:rPr>
              <w:t>3.支持以科室、医生维度分析首页填写质量，包括问题病案数量和占比、问题类型分布、近6个月问题发生趋势等；</w:t>
            </w:r>
          </w:p>
          <w:p>
            <w:pPr>
              <w:widowControl/>
              <w:spacing w:line="276" w:lineRule="auto"/>
              <w:jc w:val="left"/>
              <w:textAlignment w:val="center"/>
              <w:rPr>
                <w:szCs w:val="21"/>
              </w:rPr>
            </w:pPr>
            <w:r>
              <w:rPr>
                <w:kern w:val="0"/>
                <w:szCs w:val="21"/>
                <w:lang w:bidi="ar"/>
              </w:rPr>
              <w:t>4.可下钻查看各科各类型下的问题病例列表，支持导出科室首页问题明细；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4" w:type="pct"/>
            <w:vMerge w:val="continue"/>
            <w:shd w:val="clear" w:color="auto" w:fill="auto"/>
            <w:vAlign w:val="center"/>
          </w:tcPr>
          <w:p>
            <w:pPr>
              <w:widowControl/>
              <w:spacing w:line="276" w:lineRule="auto"/>
              <w:jc w:val="left"/>
              <w:rPr>
                <w:szCs w:val="21"/>
              </w:rPr>
            </w:pPr>
          </w:p>
        </w:tc>
        <w:tc>
          <w:tcPr>
            <w:tcW w:w="823" w:type="pct"/>
            <w:shd w:val="clear" w:color="auto" w:fill="auto"/>
            <w:vAlign w:val="center"/>
          </w:tcPr>
          <w:p>
            <w:pPr>
              <w:widowControl/>
              <w:spacing w:line="276" w:lineRule="auto"/>
              <w:jc w:val="left"/>
              <w:textAlignment w:val="center"/>
              <w:rPr>
                <w:szCs w:val="21"/>
              </w:rPr>
            </w:pPr>
            <w:r>
              <w:rPr>
                <w:kern w:val="0"/>
                <w:szCs w:val="21"/>
                <w:lang w:bidi="ar"/>
              </w:rPr>
              <w:t>病案DIP数据分析</w:t>
            </w:r>
          </w:p>
        </w:tc>
        <w:tc>
          <w:tcPr>
            <w:tcW w:w="3261" w:type="pct"/>
            <w:shd w:val="clear" w:color="auto" w:fill="auto"/>
            <w:vAlign w:val="center"/>
          </w:tcPr>
          <w:p>
            <w:pPr>
              <w:widowControl/>
              <w:spacing w:line="276" w:lineRule="auto"/>
              <w:jc w:val="left"/>
              <w:textAlignment w:val="center"/>
              <w:rPr>
                <w:kern w:val="0"/>
                <w:szCs w:val="21"/>
                <w:lang w:bidi="ar"/>
              </w:rPr>
            </w:pPr>
            <w:r>
              <w:rPr>
                <w:kern w:val="0"/>
                <w:szCs w:val="21"/>
                <w:lang w:bidi="ar"/>
              </w:rPr>
              <w:t>1.以编码前后对比的维度统计DIP分组信息的变化，包括编码后分值变化，结余变化，体现质控价值；</w:t>
            </w:r>
          </w:p>
          <w:p>
            <w:pPr>
              <w:widowControl/>
              <w:spacing w:line="276" w:lineRule="auto"/>
              <w:jc w:val="left"/>
              <w:textAlignment w:val="center"/>
              <w:rPr>
                <w:kern w:val="0"/>
                <w:szCs w:val="21"/>
                <w:lang w:bidi="ar"/>
              </w:rPr>
            </w:pPr>
            <w:r>
              <w:rPr>
                <w:kern w:val="0"/>
                <w:szCs w:val="21"/>
                <w:lang w:bidi="ar"/>
              </w:rPr>
              <w:t>2.支持按主要诊断、主要手术不一致，诊断、手术数量不一致，其他疾病编码不一致条件分别过滤，查看DIP分组信息的变化，包括编码后分值变化，结余变化；</w:t>
            </w:r>
          </w:p>
          <w:p>
            <w:pPr>
              <w:widowControl/>
              <w:spacing w:line="276" w:lineRule="auto"/>
              <w:jc w:val="left"/>
              <w:textAlignment w:val="center"/>
              <w:rPr>
                <w:kern w:val="0"/>
                <w:szCs w:val="21"/>
                <w:lang w:bidi="ar"/>
              </w:rPr>
            </w:pPr>
            <w:r>
              <w:rPr>
                <w:kern w:val="0"/>
                <w:szCs w:val="21"/>
                <w:lang w:bidi="ar"/>
              </w:rPr>
              <w:t>3.支持查看不一致详情，包括每份病例编码前后诊断手术信息变化，以及DIP分组信息变化；</w:t>
            </w:r>
          </w:p>
          <w:p>
            <w:pPr>
              <w:widowControl/>
              <w:spacing w:line="276" w:lineRule="auto"/>
              <w:jc w:val="left"/>
              <w:textAlignment w:val="center"/>
              <w:rPr>
                <w:szCs w:val="21"/>
              </w:rPr>
            </w:pPr>
            <w:r>
              <w:rPr>
                <w:kern w:val="0"/>
                <w:szCs w:val="21"/>
                <w:lang w:bidi="ar"/>
              </w:rPr>
              <w:t>4.统计分析列表支持下载导出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914" w:type="pct"/>
            <w:vMerge w:val="continue"/>
            <w:shd w:val="clear" w:color="auto" w:fill="auto"/>
            <w:vAlign w:val="center"/>
          </w:tcPr>
          <w:p>
            <w:pPr>
              <w:widowControl/>
              <w:spacing w:line="276" w:lineRule="auto"/>
              <w:jc w:val="left"/>
              <w:rPr>
                <w:szCs w:val="21"/>
              </w:rPr>
            </w:pPr>
          </w:p>
        </w:tc>
        <w:tc>
          <w:tcPr>
            <w:tcW w:w="823" w:type="pct"/>
            <w:shd w:val="clear" w:color="auto" w:fill="auto"/>
            <w:vAlign w:val="center"/>
          </w:tcPr>
          <w:p>
            <w:pPr>
              <w:widowControl/>
              <w:spacing w:line="276" w:lineRule="auto"/>
              <w:jc w:val="left"/>
              <w:textAlignment w:val="center"/>
              <w:rPr>
                <w:szCs w:val="21"/>
              </w:rPr>
            </w:pPr>
            <w:r>
              <w:rPr>
                <w:kern w:val="0"/>
                <w:szCs w:val="21"/>
                <w:lang w:bidi="ar"/>
              </w:rPr>
              <w:t>病案工作量统计</w:t>
            </w:r>
          </w:p>
        </w:tc>
        <w:tc>
          <w:tcPr>
            <w:tcW w:w="3261" w:type="pct"/>
            <w:shd w:val="clear" w:color="auto" w:fill="auto"/>
            <w:vAlign w:val="center"/>
          </w:tcPr>
          <w:p>
            <w:pPr>
              <w:widowControl/>
              <w:spacing w:line="276" w:lineRule="auto"/>
              <w:jc w:val="left"/>
              <w:textAlignment w:val="center"/>
              <w:rPr>
                <w:kern w:val="0"/>
                <w:szCs w:val="21"/>
                <w:lang w:bidi="ar"/>
              </w:rPr>
            </w:pPr>
            <w:r>
              <w:rPr>
                <w:kern w:val="0"/>
                <w:szCs w:val="21"/>
                <w:lang w:bidi="ar"/>
              </w:rPr>
              <w:t>1.以编码员维度，系统自动统计编码病案数、修正病案数、日均产能等数据</w:t>
            </w:r>
          </w:p>
          <w:p>
            <w:pPr>
              <w:widowControl/>
              <w:spacing w:line="276" w:lineRule="auto"/>
              <w:jc w:val="left"/>
              <w:textAlignment w:val="center"/>
              <w:rPr>
                <w:szCs w:val="21"/>
              </w:rPr>
            </w:pPr>
            <w:r>
              <w:rPr>
                <w:kern w:val="0"/>
                <w:szCs w:val="21"/>
                <w:lang w:bidi="ar"/>
              </w:rPr>
              <w:t>2.支持设置不同科室编码难度系数计算总权重，平衡科室之间编码难度差异，支持自定义设置需统计的工作项，并支持导出统计报表，灵活满足医院医院管理需求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914" w:type="pct"/>
            <w:vMerge w:val="restart"/>
            <w:shd w:val="clear" w:color="auto" w:fill="auto"/>
            <w:vAlign w:val="center"/>
          </w:tcPr>
          <w:p>
            <w:pPr>
              <w:widowControl/>
              <w:spacing w:line="276" w:lineRule="auto"/>
              <w:jc w:val="left"/>
              <w:textAlignment w:val="center"/>
              <w:rPr>
                <w:szCs w:val="21"/>
              </w:rPr>
            </w:pPr>
            <w:r>
              <w:rPr>
                <w:kern w:val="0"/>
                <w:szCs w:val="21"/>
                <w:lang w:bidi="ar"/>
              </w:rPr>
              <w:t>病例抽样互查</w:t>
            </w:r>
          </w:p>
        </w:tc>
        <w:tc>
          <w:tcPr>
            <w:tcW w:w="823" w:type="pct"/>
            <w:shd w:val="clear" w:color="auto" w:fill="auto"/>
            <w:vAlign w:val="center"/>
          </w:tcPr>
          <w:p>
            <w:pPr>
              <w:widowControl/>
              <w:spacing w:line="276" w:lineRule="auto"/>
              <w:jc w:val="left"/>
              <w:textAlignment w:val="center"/>
              <w:rPr>
                <w:szCs w:val="21"/>
              </w:rPr>
            </w:pPr>
            <w:r>
              <w:rPr>
                <w:kern w:val="0"/>
                <w:szCs w:val="21"/>
                <w:lang w:bidi="ar"/>
              </w:rPr>
              <w:t>病例抽样</w:t>
            </w:r>
          </w:p>
        </w:tc>
        <w:tc>
          <w:tcPr>
            <w:tcW w:w="3261" w:type="pct"/>
            <w:shd w:val="clear" w:color="auto" w:fill="auto"/>
            <w:vAlign w:val="center"/>
          </w:tcPr>
          <w:p>
            <w:pPr>
              <w:widowControl/>
              <w:spacing w:line="276" w:lineRule="auto"/>
              <w:jc w:val="left"/>
              <w:textAlignment w:val="center"/>
              <w:rPr>
                <w:kern w:val="0"/>
                <w:szCs w:val="21"/>
                <w:lang w:bidi="ar"/>
              </w:rPr>
            </w:pPr>
            <w:r>
              <w:rPr>
                <w:kern w:val="0"/>
                <w:szCs w:val="21"/>
                <w:lang w:bidi="ar"/>
              </w:rPr>
              <w:t>1. 支持病例范围设置，某时间段的全部病例，或自定义条件病例，自定义条件包含住院天数、费用区间、是否含质检问题、是否含入组风险因素、以及是否特殊类型病例等；</w:t>
            </w:r>
          </w:p>
          <w:p>
            <w:pPr>
              <w:widowControl/>
              <w:spacing w:line="276" w:lineRule="auto"/>
              <w:jc w:val="left"/>
              <w:textAlignment w:val="center"/>
              <w:rPr>
                <w:kern w:val="0"/>
                <w:szCs w:val="21"/>
                <w:lang w:bidi="ar"/>
              </w:rPr>
            </w:pPr>
            <w:r>
              <w:rPr>
                <w:kern w:val="0"/>
                <w:szCs w:val="21"/>
                <w:lang w:bidi="ar"/>
              </w:rPr>
              <w:t>2. 支持抽样比例设置，系统自动按抽样比例进行随机抽查；</w:t>
            </w:r>
          </w:p>
          <w:p>
            <w:pPr>
              <w:widowControl/>
              <w:spacing w:line="276" w:lineRule="auto"/>
              <w:jc w:val="left"/>
              <w:textAlignment w:val="center"/>
              <w:rPr>
                <w:kern w:val="0"/>
                <w:szCs w:val="21"/>
                <w:lang w:bidi="ar"/>
              </w:rPr>
            </w:pPr>
            <w:r>
              <w:rPr>
                <w:kern w:val="0"/>
                <w:szCs w:val="21"/>
                <w:lang w:bidi="ar"/>
              </w:rPr>
              <w:t>3. 支持核查人员分配，系统自动避开本人编码的病例进行随机分配；</w:t>
            </w:r>
          </w:p>
          <w:p>
            <w:pPr>
              <w:widowControl/>
              <w:spacing w:line="276" w:lineRule="auto"/>
              <w:jc w:val="left"/>
              <w:textAlignment w:val="center"/>
              <w:rPr>
                <w:szCs w:val="21"/>
              </w:rPr>
            </w:pPr>
            <w:r>
              <w:rPr>
                <w:kern w:val="0"/>
                <w:szCs w:val="21"/>
                <w:lang w:bidi="ar"/>
              </w:rPr>
              <w:t>4.核查任务通过消息提醒核查人，核查人进行逐一确认并标记；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914" w:type="pct"/>
            <w:vMerge w:val="continue"/>
            <w:shd w:val="clear" w:color="auto" w:fill="auto"/>
            <w:vAlign w:val="center"/>
          </w:tcPr>
          <w:p>
            <w:pPr>
              <w:widowControl/>
              <w:spacing w:line="276" w:lineRule="auto"/>
              <w:jc w:val="left"/>
              <w:rPr>
                <w:szCs w:val="21"/>
              </w:rPr>
            </w:pPr>
          </w:p>
        </w:tc>
        <w:tc>
          <w:tcPr>
            <w:tcW w:w="823" w:type="pct"/>
            <w:shd w:val="clear" w:color="auto" w:fill="auto"/>
            <w:vAlign w:val="center"/>
          </w:tcPr>
          <w:p>
            <w:pPr>
              <w:widowControl/>
              <w:spacing w:line="276" w:lineRule="auto"/>
              <w:jc w:val="left"/>
              <w:textAlignment w:val="center"/>
              <w:rPr>
                <w:szCs w:val="21"/>
              </w:rPr>
            </w:pPr>
            <w:r>
              <w:rPr>
                <w:kern w:val="0"/>
                <w:szCs w:val="21"/>
                <w:lang w:bidi="ar"/>
              </w:rPr>
              <w:t>核查任务跟踪</w:t>
            </w:r>
          </w:p>
        </w:tc>
        <w:tc>
          <w:tcPr>
            <w:tcW w:w="3261" w:type="pct"/>
            <w:shd w:val="clear" w:color="auto" w:fill="auto"/>
            <w:vAlign w:val="center"/>
          </w:tcPr>
          <w:p>
            <w:pPr>
              <w:widowControl/>
              <w:spacing w:line="276" w:lineRule="auto"/>
              <w:jc w:val="left"/>
              <w:textAlignment w:val="center"/>
              <w:rPr>
                <w:kern w:val="0"/>
                <w:szCs w:val="21"/>
                <w:lang w:bidi="ar"/>
              </w:rPr>
            </w:pPr>
            <w:r>
              <w:rPr>
                <w:kern w:val="0"/>
                <w:szCs w:val="21"/>
                <w:lang w:bidi="ar"/>
              </w:rPr>
              <w:t>1.待核查的病例完成核查后，自动更新核查进度</w:t>
            </w:r>
          </w:p>
          <w:p>
            <w:pPr>
              <w:widowControl/>
              <w:spacing w:line="276" w:lineRule="auto"/>
              <w:jc w:val="left"/>
              <w:textAlignment w:val="center"/>
              <w:rPr>
                <w:szCs w:val="21"/>
              </w:rPr>
            </w:pPr>
            <w:r>
              <w:rPr>
                <w:kern w:val="0"/>
                <w:szCs w:val="21"/>
                <w:lang w:bidi="ar"/>
              </w:rPr>
              <w:t>2.支持互查任务中随时回顾病例筛选条件，分别获取核查人进度和任务总进度，对于互查任务截至时间加强提醒，支持对互查流程进行可视化管理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914" w:type="pct"/>
            <w:vMerge w:val="restart"/>
            <w:shd w:val="clear" w:color="auto" w:fill="auto"/>
            <w:vAlign w:val="center"/>
          </w:tcPr>
          <w:p>
            <w:pPr>
              <w:widowControl/>
              <w:spacing w:line="276" w:lineRule="auto"/>
              <w:jc w:val="center"/>
              <w:textAlignment w:val="center"/>
              <w:rPr>
                <w:szCs w:val="21"/>
              </w:rPr>
            </w:pPr>
            <w:r>
              <w:rPr>
                <w:kern w:val="0"/>
                <w:szCs w:val="21"/>
                <w:lang w:bidi="ar"/>
              </w:rPr>
              <w:t>系统设置</w:t>
            </w:r>
          </w:p>
        </w:tc>
        <w:tc>
          <w:tcPr>
            <w:tcW w:w="823" w:type="pct"/>
            <w:shd w:val="clear" w:color="auto" w:fill="auto"/>
            <w:vAlign w:val="center"/>
          </w:tcPr>
          <w:p>
            <w:pPr>
              <w:widowControl/>
              <w:spacing w:line="276" w:lineRule="auto"/>
              <w:jc w:val="left"/>
              <w:textAlignment w:val="center"/>
              <w:rPr>
                <w:szCs w:val="21"/>
              </w:rPr>
            </w:pPr>
            <w:r>
              <w:rPr>
                <w:kern w:val="0"/>
                <w:szCs w:val="21"/>
                <w:lang w:bidi="ar"/>
              </w:rPr>
              <w:t>病案质控规则</w:t>
            </w:r>
          </w:p>
        </w:tc>
        <w:tc>
          <w:tcPr>
            <w:tcW w:w="3261" w:type="pct"/>
            <w:shd w:val="clear" w:color="auto" w:fill="auto"/>
            <w:vAlign w:val="center"/>
          </w:tcPr>
          <w:p>
            <w:pPr>
              <w:widowControl/>
              <w:spacing w:line="276" w:lineRule="auto"/>
              <w:jc w:val="left"/>
              <w:textAlignment w:val="center"/>
              <w:rPr>
                <w:kern w:val="0"/>
                <w:szCs w:val="21"/>
                <w:lang w:bidi="ar"/>
              </w:rPr>
            </w:pPr>
            <w:r>
              <w:rPr>
                <w:kern w:val="0"/>
                <w:szCs w:val="21"/>
                <w:lang w:bidi="ar"/>
              </w:rPr>
              <w:t>1.支持规则按大类进行停用/启用</w:t>
            </w:r>
          </w:p>
          <w:p>
            <w:pPr>
              <w:widowControl/>
              <w:spacing w:line="276" w:lineRule="auto"/>
              <w:jc w:val="left"/>
              <w:textAlignment w:val="center"/>
              <w:rPr>
                <w:kern w:val="0"/>
                <w:szCs w:val="21"/>
                <w:lang w:bidi="ar"/>
              </w:rPr>
            </w:pPr>
            <w:r>
              <w:rPr>
                <w:kern w:val="0"/>
                <w:szCs w:val="21"/>
                <w:lang w:bidi="ar"/>
              </w:rPr>
              <w:t>2.支持在“质检结果”查看时，对应规则细则关闭，关闭后可在系统设置模块重新开启；</w:t>
            </w:r>
          </w:p>
          <w:p>
            <w:pPr>
              <w:widowControl/>
              <w:spacing w:line="276" w:lineRule="auto"/>
              <w:jc w:val="left"/>
              <w:textAlignment w:val="center"/>
              <w:rPr>
                <w:kern w:val="0"/>
                <w:szCs w:val="21"/>
                <w:lang w:bidi="ar"/>
              </w:rPr>
            </w:pPr>
            <w:r>
              <w:rPr>
                <w:kern w:val="0"/>
                <w:szCs w:val="21"/>
                <w:lang w:bidi="ar"/>
              </w:rPr>
              <w:t>3.支持规则在不同系统模块启用/停用设置</w:t>
            </w:r>
          </w:p>
          <w:p>
            <w:pPr>
              <w:widowControl/>
              <w:spacing w:line="276" w:lineRule="auto"/>
              <w:jc w:val="left"/>
              <w:textAlignment w:val="center"/>
              <w:rPr>
                <w:szCs w:val="21"/>
              </w:rPr>
            </w:pPr>
            <w:r>
              <w:rPr>
                <w:kern w:val="0"/>
                <w:szCs w:val="21"/>
                <w:lang w:bidi="ar"/>
              </w:rPr>
              <w:t>4.支持添加自定义规则，可设置规则的性质、状态、生效范围等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14" w:type="pct"/>
            <w:vMerge w:val="continue"/>
            <w:shd w:val="clear" w:color="auto" w:fill="auto"/>
            <w:vAlign w:val="center"/>
          </w:tcPr>
          <w:p>
            <w:pPr>
              <w:widowControl/>
              <w:spacing w:line="276" w:lineRule="auto"/>
              <w:jc w:val="center"/>
              <w:rPr>
                <w:szCs w:val="21"/>
              </w:rPr>
            </w:pPr>
          </w:p>
        </w:tc>
        <w:tc>
          <w:tcPr>
            <w:tcW w:w="823" w:type="pct"/>
            <w:shd w:val="clear" w:color="auto" w:fill="auto"/>
            <w:vAlign w:val="center"/>
          </w:tcPr>
          <w:p>
            <w:pPr>
              <w:widowControl/>
              <w:spacing w:line="276" w:lineRule="auto"/>
              <w:jc w:val="left"/>
              <w:textAlignment w:val="center"/>
              <w:rPr>
                <w:szCs w:val="21"/>
              </w:rPr>
            </w:pPr>
            <w:r>
              <w:rPr>
                <w:kern w:val="0"/>
                <w:szCs w:val="21"/>
                <w:lang w:bidi="ar"/>
              </w:rPr>
              <w:t>质检结果排序设置</w:t>
            </w:r>
          </w:p>
        </w:tc>
        <w:tc>
          <w:tcPr>
            <w:tcW w:w="3261" w:type="pct"/>
            <w:shd w:val="clear" w:color="auto" w:fill="auto"/>
            <w:vAlign w:val="center"/>
          </w:tcPr>
          <w:p>
            <w:pPr>
              <w:widowControl/>
              <w:spacing w:line="276" w:lineRule="auto"/>
              <w:jc w:val="left"/>
              <w:textAlignment w:val="center"/>
              <w:rPr>
                <w:szCs w:val="21"/>
              </w:rPr>
            </w:pPr>
            <w:r>
              <w:rPr>
                <w:kern w:val="0"/>
                <w:szCs w:val="21"/>
                <w:lang w:bidi="ar"/>
              </w:rPr>
              <w:t>支持对规则类型进行排序，设置后质控结果相应按此排序进行展现；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14" w:type="pct"/>
            <w:vMerge w:val="continue"/>
            <w:shd w:val="clear" w:color="auto" w:fill="auto"/>
            <w:vAlign w:val="center"/>
          </w:tcPr>
          <w:p>
            <w:pPr>
              <w:widowControl/>
              <w:spacing w:line="276" w:lineRule="auto"/>
              <w:jc w:val="center"/>
              <w:rPr>
                <w:szCs w:val="21"/>
              </w:rPr>
            </w:pPr>
          </w:p>
        </w:tc>
        <w:tc>
          <w:tcPr>
            <w:tcW w:w="823" w:type="pct"/>
            <w:shd w:val="clear" w:color="auto" w:fill="auto"/>
            <w:vAlign w:val="center"/>
          </w:tcPr>
          <w:p>
            <w:pPr>
              <w:widowControl/>
              <w:spacing w:line="276" w:lineRule="auto"/>
              <w:jc w:val="left"/>
              <w:textAlignment w:val="center"/>
              <w:rPr>
                <w:szCs w:val="21"/>
              </w:rPr>
            </w:pPr>
            <w:r>
              <w:rPr>
                <w:kern w:val="0"/>
                <w:szCs w:val="21"/>
                <w:lang w:bidi="ar"/>
              </w:rPr>
              <w:t>问题病案分级设置</w:t>
            </w:r>
          </w:p>
        </w:tc>
        <w:tc>
          <w:tcPr>
            <w:tcW w:w="3261" w:type="pct"/>
            <w:shd w:val="clear" w:color="auto" w:fill="auto"/>
            <w:vAlign w:val="center"/>
          </w:tcPr>
          <w:p>
            <w:pPr>
              <w:widowControl/>
              <w:spacing w:line="276" w:lineRule="auto"/>
              <w:jc w:val="left"/>
              <w:textAlignment w:val="center"/>
              <w:rPr>
                <w:szCs w:val="21"/>
              </w:rPr>
            </w:pPr>
            <w:r>
              <w:rPr>
                <w:kern w:val="0"/>
                <w:szCs w:val="21"/>
                <w:lang w:bidi="ar"/>
              </w:rPr>
              <w:t>支持对问题病案分级进行设置，默认按问题对医保DIP入组影响情况分级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914" w:type="pct"/>
            <w:vMerge w:val="continue"/>
            <w:shd w:val="clear" w:color="auto" w:fill="auto"/>
            <w:vAlign w:val="center"/>
          </w:tcPr>
          <w:p>
            <w:pPr>
              <w:widowControl/>
              <w:spacing w:line="276" w:lineRule="auto"/>
              <w:jc w:val="center"/>
              <w:rPr>
                <w:szCs w:val="21"/>
              </w:rPr>
            </w:pPr>
          </w:p>
        </w:tc>
        <w:tc>
          <w:tcPr>
            <w:tcW w:w="823" w:type="pct"/>
            <w:shd w:val="clear" w:color="auto" w:fill="auto"/>
            <w:vAlign w:val="center"/>
          </w:tcPr>
          <w:p>
            <w:pPr>
              <w:widowControl/>
              <w:spacing w:line="276" w:lineRule="auto"/>
              <w:jc w:val="left"/>
              <w:textAlignment w:val="center"/>
              <w:rPr>
                <w:szCs w:val="21"/>
              </w:rPr>
            </w:pPr>
            <w:r>
              <w:rPr>
                <w:kern w:val="0"/>
                <w:szCs w:val="21"/>
                <w:lang w:bidi="ar"/>
              </w:rPr>
              <w:t>个性化设置</w:t>
            </w:r>
          </w:p>
        </w:tc>
        <w:tc>
          <w:tcPr>
            <w:tcW w:w="3261" w:type="pct"/>
            <w:shd w:val="clear" w:color="auto" w:fill="auto"/>
            <w:vAlign w:val="center"/>
          </w:tcPr>
          <w:p>
            <w:pPr>
              <w:widowControl/>
              <w:spacing w:line="276" w:lineRule="auto"/>
              <w:jc w:val="left"/>
              <w:textAlignment w:val="center"/>
              <w:rPr>
                <w:kern w:val="0"/>
                <w:szCs w:val="21"/>
                <w:lang w:bidi="ar"/>
              </w:rPr>
            </w:pPr>
            <w:r>
              <w:rPr>
                <w:kern w:val="0"/>
                <w:szCs w:val="21"/>
                <w:lang w:bidi="ar"/>
              </w:rPr>
              <w:t>1.支持对嵌入院内系统的实时质控结果页设置展示内容，包括结余、质控评分</w:t>
            </w:r>
          </w:p>
          <w:p>
            <w:pPr>
              <w:widowControl/>
              <w:spacing w:line="276" w:lineRule="auto"/>
              <w:jc w:val="left"/>
              <w:textAlignment w:val="center"/>
              <w:rPr>
                <w:kern w:val="0"/>
                <w:szCs w:val="21"/>
                <w:lang w:bidi="ar"/>
              </w:rPr>
            </w:pPr>
            <w:r>
              <w:rPr>
                <w:kern w:val="0"/>
                <w:szCs w:val="21"/>
                <w:lang w:bidi="ar"/>
              </w:rPr>
              <w:t>2.设置工作类型，用于人工工作量统计</w:t>
            </w:r>
          </w:p>
          <w:p>
            <w:pPr>
              <w:widowControl/>
              <w:spacing w:line="276" w:lineRule="auto"/>
              <w:jc w:val="left"/>
              <w:textAlignment w:val="center"/>
              <w:rPr>
                <w:szCs w:val="21"/>
              </w:rPr>
            </w:pPr>
            <w:r>
              <w:rPr>
                <w:kern w:val="0"/>
                <w:szCs w:val="21"/>
                <w:lang w:bidi="ar"/>
              </w:rPr>
              <w:t>3.设置科室难度系数，用于病案编码权重计算</w:t>
            </w:r>
          </w:p>
        </w:tc>
      </w:tr>
    </w:tbl>
    <w:p>
      <w:pPr>
        <w:pStyle w:val="51"/>
        <w:rPr>
          <w:rFonts w:ascii="宋体" w:hAnsi="宋体" w:cs="宋体"/>
          <w:b/>
          <w:color w:val="000000" w:themeColor="text1"/>
          <w14:textFill>
            <w14:solidFill>
              <w14:schemeClr w14:val="tx1"/>
            </w14:solidFill>
          </w14:textFill>
        </w:rPr>
      </w:pPr>
    </w:p>
    <w:bookmarkEnd w:id="1"/>
    <w:bookmarkEnd w:id="2"/>
    <w:bookmarkEnd w:id="3"/>
    <w:bookmarkEnd w:id="4"/>
    <w:bookmarkEnd w:id="5"/>
    <w:bookmarkEnd w:id="6"/>
    <w:bookmarkEnd w:id="8"/>
    <w:bookmarkEnd w:id="9"/>
    <w:bookmarkEnd w:id="10"/>
    <w:bookmarkEnd w:id="11"/>
    <w:bookmarkEnd w:id="12"/>
    <w:bookmarkEnd w:id="13"/>
    <w:bookmarkEnd w:id="14"/>
    <w:p>
      <w:pPr>
        <w:keepNext/>
        <w:keepLines/>
        <w:numPr>
          <w:ilvl w:val="1"/>
          <w:numId w:val="6"/>
        </w:numPr>
        <w:spacing w:before="156" w:beforeLines="50" w:after="156" w:afterLines="50"/>
        <w:outlineLvl w:val="1"/>
        <w:rPr>
          <w:rFonts w:ascii="宋体" w:hAnsi="宋体" w:cs="宋体"/>
          <w:b/>
          <w:color w:val="000000" w:themeColor="text1"/>
          <w:sz w:val="24"/>
          <w:szCs w:val="24"/>
          <w14:textFill>
            <w14:solidFill>
              <w14:schemeClr w14:val="tx1"/>
            </w14:solidFill>
          </w14:textFill>
        </w:rPr>
      </w:pPr>
      <w:bookmarkStart w:id="19" w:name="_Toc11135"/>
      <w:r>
        <w:rPr>
          <w:rFonts w:hint="eastAsia" w:ascii="宋体" w:hAnsi="宋体" w:cs="宋体"/>
          <w:b/>
          <w:color w:val="000000" w:themeColor="text1"/>
          <w:sz w:val="24"/>
          <w:szCs w:val="24"/>
          <w14:textFill>
            <w14:solidFill>
              <w14:schemeClr w14:val="tx1"/>
            </w14:solidFill>
          </w14:textFill>
        </w:rPr>
        <w:t>实施及商务要求</w:t>
      </w:r>
      <w:bookmarkEnd w:id="19"/>
    </w:p>
    <w:p>
      <w:pPr>
        <w:pStyle w:val="5"/>
        <w:rPr>
          <w:sz w:val="24"/>
          <w:szCs w:val="24"/>
        </w:rPr>
      </w:pPr>
      <w:r>
        <w:rPr>
          <w:rFonts w:hint="eastAsia"/>
          <w:sz w:val="24"/>
          <w:szCs w:val="24"/>
        </w:rPr>
        <w:t>4.1付款方式</w:t>
      </w:r>
    </w:p>
    <w:p>
      <w:pPr>
        <w:spacing w:line="360" w:lineRule="auto"/>
        <w:ind w:firstLine="420" w:firstLineChars="200"/>
        <w:rPr>
          <w:rFonts w:ascii="宋体" w:hAnsi="宋体"/>
          <w:bCs/>
        </w:rPr>
      </w:pPr>
      <w:r>
        <w:rPr>
          <w:rFonts w:hint="eastAsia" w:ascii="宋体" w:hAnsi="宋体"/>
          <w:bCs/>
        </w:rPr>
        <w:t>合同签订后10个工作日内甲方向乙方支付合同总额的50%的预付款；系统到货完成安装调试、投入运行、并上线经验收合格后，10个工作日内甲方向乙方支付合同总额的40%的验收款；剩余10%作为质保金，上线验收12个月后10工作日内支付。</w:t>
      </w:r>
    </w:p>
    <w:p>
      <w:pPr>
        <w:pStyle w:val="5"/>
        <w:rPr>
          <w:sz w:val="24"/>
          <w:szCs w:val="24"/>
        </w:rPr>
      </w:pPr>
      <w:r>
        <w:rPr>
          <w:rFonts w:hint="eastAsia"/>
          <w:sz w:val="24"/>
          <w:szCs w:val="24"/>
        </w:rPr>
        <w:t>4.2售后服务</w:t>
      </w:r>
    </w:p>
    <w:p>
      <w:pPr>
        <w:spacing w:line="360" w:lineRule="auto"/>
        <w:ind w:firstLine="491" w:firstLineChars="234"/>
        <w:rPr>
          <w:rFonts w:ascii="宋体" w:hAnsi="宋体"/>
          <w:bCs/>
        </w:rPr>
      </w:pPr>
      <w:r>
        <w:rPr>
          <w:rFonts w:hint="eastAsia" w:ascii="宋体" w:hAnsi="宋体"/>
          <w:bCs/>
        </w:rPr>
        <w:t>2.1整体系统验收合格后免费维保</w:t>
      </w:r>
      <w:r>
        <w:rPr>
          <w:rFonts w:ascii="宋体" w:hAnsi="宋体"/>
          <w:bCs/>
        </w:rPr>
        <w:t>1</w:t>
      </w:r>
      <w:r>
        <w:rPr>
          <w:rFonts w:hint="eastAsia" w:ascii="宋体" w:hAnsi="宋体"/>
          <w:bCs/>
        </w:rPr>
        <w:t>年。</w:t>
      </w:r>
    </w:p>
    <w:p>
      <w:pPr>
        <w:spacing w:line="360" w:lineRule="auto"/>
        <w:ind w:firstLine="491" w:firstLineChars="234"/>
        <w:rPr>
          <w:rFonts w:ascii="宋体" w:hAnsi="宋体"/>
          <w:bCs/>
        </w:rPr>
      </w:pPr>
      <w:r>
        <w:rPr>
          <w:rFonts w:hint="eastAsia" w:ascii="宋体" w:hAnsi="宋体"/>
          <w:bCs/>
        </w:rPr>
        <w:t>2.2投标人所承诺的服务内容应包括：投标人的服务响应及维修等承诺，详细说明服务能力、服务时间、人员配备、系统故障响应、诊断、应急处理、维修和相应的设备更换计划等；投标人的技术支持和相应软件的升级承诺等。</w:t>
      </w:r>
    </w:p>
    <w:p>
      <w:pPr>
        <w:spacing w:line="360" w:lineRule="auto"/>
        <w:ind w:firstLine="491" w:firstLineChars="234"/>
        <w:rPr>
          <w:rFonts w:ascii="宋体" w:hAnsi="宋体"/>
          <w:bCs/>
        </w:rPr>
      </w:pPr>
      <w:r>
        <w:rPr>
          <w:rFonts w:hint="eastAsia" w:ascii="宋体" w:hAnsi="宋体"/>
          <w:bCs/>
        </w:rPr>
        <w:t>2.3在系统的服务期内，投标人应确保系统的正常使用。在接到用户服务要求后应立即做出回应，并在承诺的服务时间内实施服务。</w:t>
      </w:r>
    </w:p>
    <w:p>
      <w:pPr>
        <w:spacing w:line="360" w:lineRule="auto"/>
        <w:ind w:firstLine="491" w:firstLineChars="234"/>
        <w:rPr>
          <w:rFonts w:ascii="宋体" w:hAnsi="宋体"/>
          <w:bCs/>
        </w:rPr>
      </w:pPr>
      <w:r>
        <w:rPr>
          <w:rFonts w:hint="eastAsia" w:ascii="宋体" w:hAnsi="宋体"/>
          <w:bCs/>
        </w:rPr>
        <w:t>2.4 提供7×24小时的免费上门保修服务。应承诺半小时内响应，</w:t>
      </w:r>
      <w:r>
        <w:rPr>
          <w:rFonts w:ascii="宋体" w:hAnsi="宋体"/>
          <w:bCs/>
        </w:rPr>
        <w:t>4</w:t>
      </w:r>
      <w:r>
        <w:rPr>
          <w:rFonts w:hint="eastAsia" w:ascii="宋体" w:hAnsi="宋体"/>
          <w:bCs/>
        </w:rPr>
        <w:t>小时内到达现场，24小时内解决故障。</w:t>
      </w:r>
    </w:p>
    <w:p>
      <w:pPr>
        <w:spacing w:line="360" w:lineRule="auto"/>
        <w:ind w:firstLine="491" w:firstLineChars="234"/>
        <w:rPr>
          <w:rFonts w:ascii="宋体" w:hAnsi="宋体"/>
          <w:bCs/>
        </w:rPr>
      </w:pPr>
      <w:r>
        <w:rPr>
          <w:rFonts w:hint="eastAsia" w:ascii="宋体" w:hAnsi="宋体"/>
          <w:bCs/>
        </w:rPr>
        <w:t>2.5热线电话服务提供技术咨询、故障诊断、故障排除、以及现场支持等具体的技术支持工作，并对客户投诉做出相应处理。</w:t>
      </w:r>
    </w:p>
    <w:p>
      <w:pPr>
        <w:spacing w:line="360" w:lineRule="auto"/>
        <w:ind w:firstLine="491" w:firstLineChars="234"/>
        <w:rPr>
          <w:rFonts w:ascii="宋体" w:hAnsi="宋体"/>
          <w:bCs/>
        </w:rPr>
      </w:pPr>
      <w:r>
        <w:rPr>
          <w:rFonts w:hint="eastAsia" w:ascii="宋体" w:hAnsi="宋体"/>
          <w:bCs/>
        </w:rPr>
        <w:t>2.6定期巡检及调优系统，复杂的运行环境等种种原因会造成系统性能的逐渐下降。通过定期的技术检查，可及时排除故障隐患，以免问题发生后影响业务运作，还能及时调优系统性能，使系统始终处于高效率运行状态。</w:t>
      </w:r>
    </w:p>
    <w:p>
      <w:pPr>
        <w:pStyle w:val="5"/>
        <w:rPr>
          <w:sz w:val="24"/>
          <w:szCs w:val="24"/>
        </w:rPr>
      </w:pPr>
      <w:r>
        <w:rPr>
          <w:rFonts w:hint="eastAsia"/>
          <w:sz w:val="24"/>
          <w:szCs w:val="24"/>
        </w:rPr>
        <w:t>4.3培训</w:t>
      </w:r>
    </w:p>
    <w:p>
      <w:pPr>
        <w:spacing w:line="360" w:lineRule="auto"/>
        <w:ind w:firstLine="630" w:firstLineChars="300"/>
        <w:rPr>
          <w:rFonts w:ascii="宋体" w:hAnsi="宋体"/>
          <w:bCs/>
        </w:rPr>
      </w:pPr>
      <w:r>
        <w:rPr>
          <w:rFonts w:hint="eastAsia" w:ascii="宋体" w:hAnsi="宋体"/>
          <w:bCs/>
        </w:rPr>
        <w:t>3.1培训：投标人应制定详细的培训计划，对使用人员进行操作及相关技术培训。投标人负责用户的现场技术培训，包括产品的功能、部署条件、部署步骤和注意事项、产品升级、日常维护事项等方面，使用户达到能独立进行管理、维护测试和故障处理等工作，以使所提供的软件产品能够正常、安全的运行。</w:t>
      </w:r>
    </w:p>
    <w:p>
      <w:pPr>
        <w:spacing w:line="360" w:lineRule="auto"/>
        <w:ind w:firstLine="630" w:firstLineChars="300"/>
        <w:rPr>
          <w:rFonts w:ascii="宋体" w:hAnsi="宋体"/>
          <w:bCs/>
        </w:rPr>
      </w:pPr>
      <w:r>
        <w:rPr>
          <w:rFonts w:hint="eastAsia" w:ascii="宋体" w:hAnsi="宋体"/>
          <w:bCs/>
        </w:rPr>
        <w:t>3.2所有的培训费用须计入投标总价。</w:t>
      </w:r>
    </w:p>
    <w:p>
      <w:pPr>
        <w:pStyle w:val="5"/>
        <w:rPr>
          <w:sz w:val="24"/>
          <w:szCs w:val="24"/>
        </w:rPr>
      </w:pPr>
      <w:r>
        <w:rPr>
          <w:rFonts w:hint="eastAsia"/>
          <w:sz w:val="24"/>
          <w:szCs w:val="24"/>
        </w:rPr>
        <w:t>4.4交货及安装调试</w:t>
      </w:r>
    </w:p>
    <w:p>
      <w:pPr>
        <w:spacing w:line="360" w:lineRule="auto"/>
        <w:ind w:firstLine="630" w:firstLineChars="300"/>
        <w:rPr>
          <w:rFonts w:ascii="宋体" w:hAnsi="宋体"/>
          <w:bCs/>
        </w:rPr>
      </w:pPr>
      <w:r>
        <w:rPr>
          <w:rFonts w:hint="eastAsia" w:ascii="宋体" w:hAnsi="宋体"/>
          <w:bCs/>
        </w:rPr>
        <w:t>4.1安装地点：采购人指定地点。</w:t>
      </w:r>
    </w:p>
    <w:p>
      <w:pPr>
        <w:spacing w:line="360" w:lineRule="auto"/>
        <w:ind w:firstLine="630" w:firstLineChars="300"/>
        <w:rPr>
          <w:rFonts w:ascii="宋体" w:hAnsi="宋体"/>
          <w:bCs/>
        </w:rPr>
      </w:pPr>
      <w:r>
        <w:rPr>
          <w:rFonts w:hint="eastAsia" w:ascii="宋体" w:hAnsi="宋体"/>
          <w:bCs/>
        </w:rPr>
        <w:t>4</w:t>
      </w:r>
      <w:r>
        <w:rPr>
          <w:rFonts w:ascii="宋体" w:hAnsi="宋体"/>
          <w:bCs/>
        </w:rPr>
        <w:t>.2</w:t>
      </w:r>
      <w:r>
        <w:rPr>
          <w:rFonts w:hint="eastAsia" w:ascii="宋体" w:hAnsi="宋体"/>
          <w:bCs/>
        </w:rPr>
        <w:t>实施周期：自合同签订后45天内，软件系统到货、安装完成(因采购人硬件环境、第三方系统接口对接、政策文件未下发等造成的工期延迟不计算在内)。如在规定的时间内由于投标商的原因不能完成安装和调试，投标商应承担由此给用户造成的损失。</w:t>
      </w:r>
    </w:p>
    <w:p>
      <w:pPr>
        <w:spacing w:line="360" w:lineRule="auto"/>
        <w:ind w:firstLine="630" w:firstLineChars="300"/>
        <w:rPr>
          <w:rFonts w:ascii="宋体" w:hAnsi="宋体"/>
          <w:bCs/>
        </w:rPr>
      </w:pPr>
      <w:r>
        <w:rPr>
          <w:rFonts w:hint="eastAsia" w:ascii="宋体" w:hAnsi="宋体"/>
          <w:bCs/>
        </w:rPr>
        <w:t>4.3安装标准：符合我国国家有关技术规范要求和技术标准。</w:t>
      </w:r>
    </w:p>
    <w:p>
      <w:pPr>
        <w:spacing w:line="360" w:lineRule="auto"/>
        <w:ind w:firstLine="630" w:firstLineChars="300"/>
        <w:rPr>
          <w:rFonts w:ascii="宋体" w:hAnsi="宋体"/>
          <w:bCs/>
        </w:rPr>
      </w:pPr>
      <w:r>
        <w:rPr>
          <w:rFonts w:hint="eastAsia" w:ascii="宋体" w:hAnsi="宋体"/>
          <w:bCs/>
        </w:rPr>
        <w:t>4.4安装调试过程中发生的费用由投标商负责。</w:t>
      </w:r>
    </w:p>
    <w:p>
      <w:pPr>
        <w:spacing w:line="360" w:lineRule="auto"/>
        <w:ind w:firstLine="630" w:firstLineChars="300"/>
        <w:rPr>
          <w:rFonts w:ascii="宋体" w:hAnsi="宋体"/>
          <w:bCs/>
        </w:rPr>
      </w:pPr>
      <w:r>
        <w:rPr>
          <w:rFonts w:hint="eastAsia" w:ascii="宋体" w:hAnsi="宋体"/>
          <w:bCs/>
        </w:rPr>
        <w:t>4.5投标商应在投标文件中提供其安装调试过程中医院需配合的内容。</w:t>
      </w:r>
    </w:p>
    <w:p>
      <w:pPr>
        <w:spacing w:line="360" w:lineRule="auto"/>
        <w:ind w:firstLine="630" w:firstLineChars="300"/>
        <w:rPr>
          <w:rFonts w:ascii="宋体" w:hAnsi="宋体"/>
          <w:bCs/>
        </w:rPr>
      </w:pPr>
      <w:r>
        <w:rPr>
          <w:rFonts w:hint="eastAsia" w:ascii="宋体" w:hAnsi="宋体"/>
          <w:bCs/>
        </w:rPr>
        <w:t>4.6在项目实施过程中，向医院提供齐全的电子版和书面的操作说明等文档。</w:t>
      </w:r>
    </w:p>
    <w:p>
      <w:pPr>
        <w:pStyle w:val="5"/>
        <w:rPr>
          <w:sz w:val="24"/>
          <w:szCs w:val="24"/>
        </w:rPr>
      </w:pPr>
      <w:r>
        <w:rPr>
          <w:rFonts w:hint="eastAsia"/>
          <w:sz w:val="24"/>
          <w:szCs w:val="24"/>
        </w:rPr>
        <w:t>4.5验收</w:t>
      </w:r>
    </w:p>
    <w:p>
      <w:pPr>
        <w:spacing w:line="360" w:lineRule="auto"/>
        <w:ind w:firstLine="630" w:firstLineChars="300"/>
        <w:rPr>
          <w:rFonts w:ascii="宋体" w:hAnsi="宋体"/>
          <w:bCs/>
        </w:rPr>
      </w:pPr>
      <w:r>
        <w:rPr>
          <w:rFonts w:hint="eastAsia" w:ascii="宋体" w:hAnsi="宋体"/>
          <w:bCs/>
        </w:rPr>
        <w:t>5.1投标商应提供项目相关软件、设备的有效验收文件，经用户认可后，作为验收标准。用户对项目验收合格后，双方共同签署验收合格证书并加盖公章。验收中发现软件、设备达不到验收标准或合同规定的性能指标，卖方必须修改相应内容，以满足用户需求。</w:t>
      </w:r>
    </w:p>
    <w:p>
      <w:pPr>
        <w:spacing w:line="360" w:lineRule="auto"/>
        <w:ind w:firstLine="630" w:firstLineChars="300"/>
        <w:rPr>
          <w:rFonts w:ascii="宋体" w:hAnsi="宋体"/>
          <w:bCs/>
        </w:rPr>
      </w:pPr>
      <w:r>
        <w:rPr>
          <w:rFonts w:hint="eastAsia" w:ascii="宋体" w:hAnsi="宋体"/>
          <w:bCs/>
        </w:rPr>
        <w:t>5</w:t>
      </w:r>
      <w:r>
        <w:rPr>
          <w:rFonts w:ascii="宋体" w:hAnsi="宋体"/>
          <w:bCs/>
        </w:rPr>
        <w:t>.2</w:t>
      </w:r>
      <w:r>
        <w:rPr>
          <w:rFonts w:hint="eastAsia" w:ascii="宋体" w:hAnsi="宋体"/>
          <w:bCs/>
        </w:rPr>
        <w:t>自合同签订后，供应商需在合同签订4</w:t>
      </w:r>
      <w:r>
        <w:rPr>
          <w:rFonts w:ascii="宋体" w:hAnsi="宋体"/>
          <w:bCs/>
        </w:rPr>
        <w:t>5</w:t>
      </w:r>
      <w:r>
        <w:rPr>
          <w:rFonts w:hint="eastAsia" w:ascii="宋体" w:hAnsi="宋体"/>
          <w:bCs/>
        </w:rPr>
        <w:t>天内完成系统的安装调试，试运行正常一个月后，组织项目终验。其中，因政策原因、第三方接口或采购人的硬件网络环境造成的工程延期不算在内。</w:t>
      </w:r>
    </w:p>
    <w:p>
      <w:pPr>
        <w:spacing w:line="360" w:lineRule="auto"/>
        <w:ind w:firstLine="420" w:firstLineChars="200"/>
        <w:rPr>
          <w:rFonts w:ascii="宋体" w:hAnsi="宋体"/>
          <w:bCs/>
        </w:rPr>
      </w:pPr>
      <w:r>
        <w:rPr>
          <w:rFonts w:hint="eastAsia" w:ascii="宋体" w:hAnsi="宋体"/>
          <w:bCs/>
        </w:rPr>
        <w:t>5.3验收费用由投标商负责，如项目验收医院需请</w:t>
      </w:r>
      <w:r>
        <w:rPr>
          <w:rFonts w:ascii="宋体" w:hAnsi="宋体"/>
          <w:bCs/>
        </w:rPr>
        <w:t>第三方监理公司</w:t>
      </w:r>
      <w:r>
        <w:rPr>
          <w:rFonts w:hint="eastAsia" w:ascii="宋体" w:hAnsi="宋体"/>
          <w:bCs/>
        </w:rPr>
        <w:t>，则第三方监理公司的费用由医院自身承担。</w:t>
      </w:r>
    </w:p>
    <w:p>
      <w:pPr>
        <w:spacing w:line="360" w:lineRule="auto"/>
        <w:ind w:firstLine="420" w:firstLineChars="200"/>
        <w:rPr>
          <w:rFonts w:ascii="宋体" w:hAnsi="宋体"/>
          <w:bCs/>
        </w:rPr>
      </w:pPr>
      <w:r>
        <w:rPr>
          <w:rFonts w:ascii="宋体" w:hAnsi="宋体"/>
          <w:bCs/>
        </w:rPr>
        <w:t>5.4</w:t>
      </w:r>
      <w:r>
        <w:rPr>
          <w:rFonts w:hint="eastAsia" w:ascii="宋体" w:hAnsi="宋体"/>
          <w:bCs/>
        </w:rPr>
        <w:t xml:space="preserve">因本项目用户实际新增或系统升级引起的软件功能与现有招标建设内容要求有所出入的，不作为不符合或不满足招标人要求的条件，应视为项目合格。 </w:t>
      </w:r>
    </w:p>
    <w:p>
      <w:pPr>
        <w:pStyle w:val="51"/>
      </w:pPr>
    </w:p>
    <w:sectPr>
      <w:headerReference r:id="rId3" w:type="default"/>
      <w:footerReference r:id="rId4" w:type="default"/>
      <w:pgSz w:w="11906" w:h="16838"/>
      <w:pgMar w:top="1440" w:right="1800" w:bottom="1440" w:left="1800" w:header="851" w:footer="69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after="12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310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27"/>
                          </w:pPr>
                          <w:r>
                            <w:fldChar w:fldCharType="begin"/>
                          </w:r>
                          <w:r>
                            <w:instrText xml:space="preserve"> PAGE  \* MERGEFORMAT </w:instrText>
                          </w:r>
                          <w:r>
                            <w:fldChar w:fldCharType="separate"/>
                          </w:r>
                          <w:r>
                            <w:t>104</w:t>
                          </w:r>
                          <w:r>
                            <w:fldChar w:fldCharType="end"/>
                          </w:r>
                        </w:p>
                      </w:txbxContent>
                    </wps:txbx>
                    <wps:bodyPr rot="0" vert="horz" wrap="none" lIns="0" tIns="0" rIns="0" bIns="0" anchor="t" anchorCtr="0" upright="1">
                      <a:spAutoFit/>
                    </wps:bodyPr>
                  </wps:wsp>
                </a:graphicData>
              </a:graphic>
            </wp:anchor>
          </w:drawing>
        </mc:Choice>
        <mc:Fallback>
          <w:pict>
            <v:shape id="文本框 310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wwitqRECAAATBAAADgAAAAAAAAABACAA&#10;AAAfAQAAZHJzL2Uyb0RvYy54bWxQSwUGAAAAAAYABgBZAQAAogU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104</w:t>
                    </w:r>
                    <w:r>
                      <w:fldChar w:fldCharType="end"/>
                    </w:r>
                  </w:p>
                </w:txbxContent>
              </v:textbox>
            </v:shape>
          </w:pict>
        </mc:Fallback>
      </mc:AlternateContent>
    </w:r>
  </w:p>
  <w:p>
    <w:pPr>
      <w:pStyle w:val="27"/>
      <w:tabs>
        <w:tab w:val="left" w:pos="9540"/>
        <w:tab w:val="clear" w:pos="8306"/>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pPr>
    <w:r>
      <w:rPr>
        <w:rFonts w:hint="eastAsia"/>
      </w:rPr>
      <w:t xml:space="preserve">                                             娄底市中心医院DIP精细化运营管理系统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bullet"/>
      <w:pStyle w:val="15"/>
      <w:lvlText w:val=""/>
      <w:lvlJc w:val="left"/>
      <w:pPr>
        <w:tabs>
          <w:tab w:val="left" w:pos="360"/>
        </w:tabs>
        <w:ind w:left="340" w:hanging="34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sz w:val="15"/>
      </w:rPr>
    </w:lvl>
    <w:lvl w:ilvl="3" w:tentative="0">
      <w:start w:val="1"/>
      <w:numFmt w:val="bullet"/>
      <w:lvlText w:val=""/>
      <w:lvlJc w:val="left"/>
      <w:pPr>
        <w:tabs>
          <w:tab w:val="left" w:pos="1680"/>
        </w:tabs>
        <w:ind w:left="1680" w:hanging="420"/>
      </w:pPr>
      <w:rPr>
        <w:rFonts w:hint="default" w:ascii="Wingdings" w:hAnsi="Wingdings"/>
        <w:sz w:val="15"/>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8"/>
    <w:multiLevelType w:val="multilevel"/>
    <w:tmpl w:val="00000008"/>
    <w:lvl w:ilvl="0" w:tentative="0">
      <w:start w:val="1"/>
      <w:numFmt w:val="decimal"/>
      <w:pStyle w:val="119"/>
      <w:lvlText w:val="（%1）"/>
      <w:lvlJc w:val="left"/>
      <w:pPr>
        <w:tabs>
          <w:tab w:val="left" w:pos="1560"/>
        </w:tabs>
        <w:ind w:left="1560" w:hanging="720"/>
      </w:pPr>
      <w:rPr>
        <w:rFonts w:hint="eastAsia"/>
      </w:rPr>
    </w:lvl>
    <w:lvl w:ilvl="1" w:tentative="0">
      <w:start w:val="1"/>
      <w:numFmt w:val="lowerLetter"/>
      <w:pStyle w:val="118"/>
      <w:lvlText w:val="%2)"/>
      <w:lvlJc w:val="left"/>
      <w:pPr>
        <w:tabs>
          <w:tab w:val="left" w:pos="1120"/>
        </w:tabs>
        <w:ind w:left="1120" w:hanging="420"/>
      </w:pPr>
    </w:lvl>
    <w:lvl w:ilvl="2" w:tentative="0">
      <w:start w:val="1"/>
      <w:numFmt w:val="lowerRoman"/>
      <w:lvlText w:val="%3."/>
      <w:lvlJc w:val="right"/>
      <w:pPr>
        <w:tabs>
          <w:tab w:val="left" w:pos="1540"/>
        </w:tabs>
        <w:ind w:left="1540" w:hanging="420"/>
      </w:pPr>
    </w:lvl>
    <w:lvl w:ilvl="3" w:tentative="0">
      <w:start w:val="1"/>
      <w:numFmt w:val="decimal"/>
      <w:lvlText w:val="%4."/>
      <w:lvlJc w:val="left"/>
      <w:pPr>
        <w:tabs>
          <w:tab w:val="left" w:pos="1960"/>
        </w:tabs>
        <w:ind w:left="1960" w:hanging="420"/>
      </w:pPr>
    </w:lvl>
    <w:lvl w:ilvl="4" w:tentative="0">
      <w:start w:val="1"/>
      <w:numFmt w:val="lowerLetter"/>
      <w:lvlText w:val="%5)"/>
      <w:lvlJc w:val="left"/>
      <w:pPr>
        <w:tabs>
          <w:tab w:val="left" w:pos="2380"/>
        </w:tabs>
        <w:ind w:left="2380" w:hanging="420"/>
      </w:pPr>
    </w:lvl>
    <w:lvl w:ilvl="5" w:tentative="0">
      <w:start w:val="1"/>
      <w:numFmt w:val="lowerRoman"/>
      <w:lvlText w:val="%6."/>
      <w:lvlJc w:val="right"/>
      <w:pPr>
        <w:tabs>
          <w:tab w:val="left" w:pos="2800"/>
        </w:tabs>
        <w:ind w:left="2800" w:hanging="420"/>
      </w:pPr>
    </w:lvl>
    <w:lvl w:ilvl="6" w:tentative="0">
      <w:start w:val="1"/>
      <w:numFmt w:val="decimal"/>
      <w:lvlText w:val="%7."/>
      <w:lvlJc w:val="left"/>
      <w:pPr>
        <w:tabs>
          <w:tab w:val="left" w:pos="3220"/>
        </w:tabs>
        <w:ind w:left="3220" w:hanging="420"/>
      </w:pPr>
    </w:lvl>
    <w:lvl w:ilvl="7" w:tentative="0">
      <w:start w:val="1"/>
      <w:numFmt w:val="lowerLetter"/>
      <w:lvlText w:val="%8)"/>
      <w:lvlJc w:val="left"/>
      <w:pPr>
        <w:tabs>
          <w:tab w:val="left" w:pos="3640"/>
        </w:tabs>
        <w:ind w:left="3640" w:hanging="420"/>
      </w:pPr>
    </w:lvl>
    <w:lvl w:ilvl="8" w:tentative="0">
      <w:start w:val="1"/>
      <w:numFmt w:val="lowerRoman"/>
      <w:lvlText w:val="%9."/>
      <w:lvlJc w:val="right"/>
      <w:pPr>
        <w:tabs>
          <w:tab w:val="left" w:pos="4060"/>
        </w:tabs>
        <w:ind w:left="4060" w:hanging="420"/>
      </w:pPr>
    </w:lvl>
  </w:abstractNum>
  <w:abstractNum w:abstractNumId="2">
    <w:nsid w:val="00000017"/>
    <w:multiLevelType w:val="multilevel"/>
    <w:tmpl w:val="00000017"/>
    <w:lvl w:ilvl="0" w:tentative="0">
      <w:start w:val="1"/>
      <w:numFmt w:val="decimal"/>
      <w:pStyle w:val="110"/>
      <w:lvlText w:val="（%1）"/>
      <w:lvlJc w:val="left"/>
      <w:pPr>
        <w:tabs>
          <w:tab w:val="left" w:pos="1280"/>
        </w:tabs>
        <w:ind w:left="1280" w:hanging="72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0000001C"/>
    <w:multiLevelType w:val="multilevel"/>
    <w:tmpl w:val="0000001C"/>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102"/>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5133286"/>
    <w:multiLevelType w:val="multilevel"/>
    <w:tmpl w:val="45133286"/>
    <w:lvl w:ilvl="0" w:tentative="0">
      <w:start w:val="1"/>
      <w:numFmt w:val="chineseCountingThousand"/>
      <w:lvlText w:val="%1."/>
      <w:lvlJc w:val="left"/>
      <w:pPr>
        <w:ind w:left="0" w:firstLine="0"/>
      </w:pPr>
      <w:rPr>
        <w:rFonts w:hint="eastAsia" w:ascii="宋体" w:hAnsi="宋体" w:eastAsia="宋体"/>
        <w:b/>
        <w:i w:val="0"/>
        <w:sz w:val="32"/>
        <w:szCs w:val="21"/>
      </w:rPr>
    </w:lvl>
    <w:lvl w:ilvl="1" w:tentative="0">
      <w:start w:val="1"/>
      <w:numFmt w:val="decimal"/>
      <w:lvlText w:val="%2."/>
      <w:lvlJc w:val="left"/>
      <w:pPr>
        <w:ind w:left="0" w:firstLine="0"/>
      </w:pPr>
      <w:rPr>
        <w:rFonts w:hint="eastAsia"/>
      </w:rPr>
    </w:lvl>
    <w:lvl w:ilvl="2" w:tentative="0">
      <w:start w:val="1"/>
      <w:numFmt w:val="decimal"/>
      <w:lvlText w:val="%2.%3."/>
      <w:lvlJc w:val="left"/>
      <w:pPr>
        <w:ind w:left="0" w:firstLine="0"/>
      </w:pPr>
      <w:rPr>
        <w:rFonts w:hint="eastAsia"/>
      </w:rPr>
    </w:lvl>
    <w:lvl w:ilvl="3" w:tentative="0">
      <w:start w:val="1"/>
      <w:numFmt w:val="decimal"/>
      <w:lvlText w:val="%2.%3.%4."/>
      <w:lvlJc w:val="left"/>
      <w:pPr>
        <w:ind w:left="0" w:firstLine="0"/>
      </w:pPr>
      <w:rPr>
        <w:rFonts w:hint="eastAsia"/>
      </w:rPr>
    </w:lvl>
    <w:lvl w:ilvl="4" w:tentative="0">
      <w:start w:val="1"/>
      <w:numFmt w:val="decimal"/>
      <w:lvlText w:val="%2.%3.%4.%5."/>
      <w:lvlJc w:val="left"/>
      <w:pPr>
        <w:ind w:left="0" w:firstLine="0"/>
      </w:pPr>
      <w:rPr>
        <w:rFonts w:hint="eastAsia"/>
      </w:rPr>
    </w:lvl>
    <w:lvl w:ilvl="5" w:tentative="0">
      <w:start w:val="1"/>
      <w:numFmt w:val="decimal"/>
      <w:isLgl/>
      <w:lvlText w:val="%2.%3.%4.%5.%6."/>
      <w:lvlJc w:val="left"/>
      <w:pPr>
        <w:ind w:left="0" w:firstLine="0"/>
      </w:pPr>
      <w:rPr>
        <w:rFonts w:hint="eastAsia" w:ascii="宋体" w:hAnsi="宋体" w:eastAsia="宋体" w:cs="Times New Roman"/>
        <w:b/>
        <w:bCs w:val="0"/>
        <w:i w:val="0"/>
        <w:iCs w:val="0"/>
        <w:caps w:val="0"/>
        <w:smallCaps w:val="0"/>
        <w:strike w:val="0"/>
        <w:dstrike w:val="0"/>
        <w:vanish w:val="0"/>
        <w:color w:val="000000"/>
        <w:spacing w:val="0"/>
        <w:position w:val="0"/>
        <w:sz w:val="24"/>
        <w:u w:val="none"/>
        <w:vertAlign w:val="baseline"/>
      </w:rPr>
    </w:lvl>
    <w:lvl w:ilvl="6" w:tentative="0">
      <w:start w:val="1"/>
      <w:numFmt w:val="decimal"/>
      <w:isLg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72986F20"/>
    <w:multiLevelType w:val="multilevel"/>
    <w:tmpl w:val="72986F20"/>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6">
    <w:nsid w:val="7B611595"/>
    <w:multiLevelType w:val="multilevel"/>
    <w:tmpl w:val="7B611595"/>
    <w:lvl w:ilvl="0" w:tentative="0">
      <w:start w:val="1"/>
      <w:numFmt w:val="chineseCountingThousand"/>
      <w:lvlText w:val="第%1章"/>
      <w:lvlJc w:val="left"/>
      <w:pPr>
        <w:ind w:left="0" w:firstLine="0"/>
      </w:pPr>
      <w:rPr>
        <w:rFonts w:hint="eastAsia" w:eastAsia="宋体"/>
        <w:b/>
        <w:sz w:val="28"/>
      </w:rPr>
    </w:lvl>
    <w:lvl w:ilvl="1" w:tentative="0">
      <w:start w:val="1"/>
      <w:numFmt w:val="decimal"/>
      <w:isLgl/>
      <w:lvlText w:val="%2"/>
      <w:lvlJc w:val="left"/>
      <w:pPr>
        <w:ind w:left="0" w:firstLine="0"/>
      </w:pPr>
      <w:rPr>
        <w:rFonts w:hint="eastAsia" w:eastAsia="宋体"/>
        <w:b/>
        <w:bCs/>
        <w:sz w:val="28"/>
      </w:rPr>
    </w:lvl>
    <w:lvl w:ilvl="2" w:tentative="0">
      <w:start w:val="1"/>
      <w:numFmt w:val="decimal"/>
      <w:lvlText w:val="%2.%3"/>
      <w:lvlJc w:val="left"/>
      <w:pPr>
        <w:ind w:left="0" w:firstLine="0"/>
      </w:pPr>
      <w:rPr>
        <w:rFonts w:hint="eastAsia" w:eastAsia="宋体"/>
        <w:b/>
        <w:sz w:val="28"/>
      </w:rPr>
    </w:lvl>
    <w:lvl w:ilvl="3" w:tentative="0">
      <w:start w:val="1"/>
      <w:numFmt w:val="decimal"/>
      <w:lvlText w:val="%2.%3.%4"/>
      <w:lvlJc w:val="left"/>
      <w:pPr>
        <w:ind w:left="0" w:firstLine="0"/>
      </w:pPr>
      <w:rPr>
        <w:rFonts w:hint="eastAsia" w:eastAsia="宋体"/>
        <w:b/>
        <w:sz w:val="28"/>
      </w:rPr>
    </w:lvl>
    <w:lvl w:ilvl="4" w:tentative="0">
      <w:start w:val="1"/>
      <w:numFmt w:val="decimal"/>
      <w:lvlText w:val="%2.%3.%4.%5"/>
      <w:lvlJc w:val="left"/>
      <w:pPr>
        <w:ind w:left="0" w:firstLine="0"/>
      </w:pPr>
      <w:rPr>
        <w:rFonts w:hint="eastAsia" w:eastAsia="宋体"/>
        <w:b/>
        <w:sz w:val="28"/>
      </w:rPr>
    </w:lvl>
    <w:lvl w:ilvl="5" w:tentative="0">
      <w:start w:val="1"/>
      <w:numFmt w:val="decimal"/>
      <w:lvlText w:val="%2.%3.%4.%5.%6"/>
      <w:lvlJc w:val="left"/>
      <w:pPr>
        <w:ind w:left="0" w:firstLine="0"/>
      </w:pPr>
      <w:rPr>
        <w:rFonts w:hint="eastAsia" w:eastAsia="宋体"/>
        <w:b/>
        <w:sz w:val="28"/>
      </w:rPr>
    </w:lvl>
    <w:lvl w:ilvl="6" w:tentative="0">
      <w:start w:val="1"/>
      <w:numFmt w:val="decimal"/>
      <w:lvlText w:val="%2.%3.%4.%5.%6.%7"/>
      <w:lvlJc w:val="left"/>
      <w:pPr>
        <w:ind w:left="0" w:firstLine="0"/>
      </w:pPr>
      <w:rPr>
        <w:rFonts w:hint="eastAsia" w:eastAsia="宋体"/>
        <w:b/>
        <w:sz w:val="28"/>
      </w:rPr>
    </w:lvl>
    <w:lvl w:ilvl="7" w:tentative="0">
      <w:start w:val="1"/>
      <w:numFmt w:val="decimal"/>
      <w:lvlText w:val="%2.%3.%4.%5.%6.%7.%8"/>
      <w:lvlJc w:val="left"/>
      <w:pPr>
        <w:ind w:left="0" w:firstLine="0"/>
      </w:pPr>
      <w:rPr>
        <w:rFonts w:hint="eastAsia" w:eastAsia="宋体"/>
        <w:b/>
        <w:sz w:val="28"/>
      </w:rPr>
    </w:lvl>
    <w:lvl w:ilvl="8" w:tentative="0">
      <w:start w:val="1"/>
      <w:numFmt w:val="decimal"/>
      <w:lvlText w:val="%2.%3.%4.%5.%6.%7.%8.%9"/>
      <w:lvlJc w:val="left"/>
      <w:pPr>
        <w:ind w:left="0" w:firstLine="0"/>
      </w:pPr>
      <w:rPr>
        <w:rFonts w:hint="eastAsia" w:eastAsia="宋体"/>
        <w:b/>
        <w:sz w:val="28"/>
      </w:rPr>
    </w:lvl>
  </w:abstractNum>
  <w:num w:numId="1">
    <w:abstractNumId w:val="0"/>
  </w:num>
  <w:num w:numId="2">
    <w:abstractNumId w:val="3"/>
  </w:num>
  <w:num w:numId="3">
    <w:abstractNumId w:val="2"/>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yMzQxMzhjMzIxOGNkYWRlYTE0N2JiYzEzMDYyNGYifQ=="/>
  </w:docVars>
  <w:rsids>
    <w:rsidRoot w:val="00465055"/>
    <w:rsid w:val="00000D2E"/>
    <w:rsid w:val="00001F25"/>
    <w:rsid w:val="0000202B"/>
    <w:rsid w:val="00002319"/>
    <w:rsid w:val="000058E0"/>
    <w:rsid w:val="00005B1C"/>
    <w:rsid w:val="00006981"/>
    <w:rsid w:val="00007C57"/>
    <w:rsid w:val="00007DA8"/>
    <w:rsid w:val="00007E5F"/>
    <w:rsid w:val="000100DF"/>
    <w:rsid w:val="00011C8D"/>
    <w:rsid w:val="00011DC3"/>
    <w:rsid w:val="000155B2"/>
    <w:rsid w:val="00015F00"/>
    <w:rsid w:val="00016022"/>
    <w:rsid w:val="000160E0"/>
    <w:rsid w:val="0001656F"/>
    <w:rsid w:val="00020481"/>
    <w:rsid w:val="00020BAC"/>
    <w:rsid w:val="0002166B"/>
    <w:rsid w:val="0002169F"/>
    <w:rsid w:val="00021B4B"/>
    <w:rsid w:val="00023D8E"/>
    <w:rsid w:val="000242B4"/>
    <w:rsid w:val="00024DCD"/>
    <w:rsid w:val="00025891"/>
    <w:rsid w:val="00025DC3"/>
    <w:rsid w:val="00025E51"/>
    <w:rsid w:val="000265B4"/>
    <w:rsid w:val="00026D3C"/>
    <w:rsid w:val="000316C6"/>
    <w:rsid w:val="00031A42"/>
    <w:rsid w:val="00031E85"/>
    <w:rsid w:val="000324E5"/>
    <w:rsid w:val="00032687"/>
    <w:rsid w:val="00032784"/>
    <w:rsid w:val="0003290E"/>
    <w:rsid w:val="00033B7D"/>
    <w:rsid w:val="00036217"/>
    <w:rsid w:val="00040201"/>
    <w:rsid w:val="000429AB"/>
    <w:rsid w:val="00043F41"/>
    <w:rsid w:val="000452C4"/>
    <w:rsid w:val="00045470"/>
    <w:rsid w:val="00046E7C"/>
    <w:rsid w:val="000471CE"/>
    <w:rsid w:val="00051A64"/>
    <w:rsid w:val="0005289E"/>
    <w:rsid w:val="00052B17"/>
    <w:rsid w:val="00052F0A"/>
    <w:rsid w:val="00053EFB"/>
    <w:rsid w:val="000542DF"/>
    <w:rsid w:val="000550B9"/>
    <w:rsid w:val="00055599"/>
    <w:rsid w:val="0005646B"/>
    <w:rsid w:val="00056C0D"/>
    <w:rsid w:val="00056D1C"/>
    <w:rsid w:val="0006002F"/>
    <w:rsid w:val="00061126"/>
    <w:rsid w:val="0006158D"/>
    <w:rsid w:val="00061A95"/>
    <w:rsid w:val="0006285F"/>
    <w:rsid w:val="000645E9"/>
    <w:rsid w:val="00064C96"/>
    <w:rsid w:val="00066491"/>
    <w:rsid w:val="000670EE"/>
    <w:rsid w:val="00067D8F"/>
    <w:rsid w:val="00073B45"/>
    <w:rsid w:val="00073F2C"/>
    <w:rsid w:val="0007447B"/>
    <w:rsid w:val="000757A3"/>
    <w:rsid w:val="000759F9"/>
    <w:rsid w:val="000804AD"/>
    <w:rsid w:val="00080B29"/>
    <w:rsid w:val="0008144E"/>
    <w:rsid w:val="00081754"/>
    <w:rsid w:val="000817B2"/>
    <w:rsid w:val="00081DFF"/>
    <w:rsid w:val="00082947"/>
    <w:rsid w:val="00083F4B"/>
    <w:rsid w:val="000851FF"/>
    <w:rsid w:val="00085B1D"/>
    <w:rsid w:val="000868BD"/>
    <w:rsid w:val="00086B99"/>
    <w:rsid w:val="00086FEC"/>
    <w:rsid w:val="0008790E"/>
    <w:rsid w:val="00087A02"/>
    <w:rsid w:val="00087D9F"/>
    <w:rsid w:val="00087ECB"/>
    <w:rsid w:val="000902A0"/>
    <w:rsid w:val="000903DB"/>
    <w:rsid w:val="00090581"/>
    <w:rsid w:val="00091F76"/>
    <w:rsid w:val="000927CB"/>
    <w:rsid w:val="00096223"/>
    <w:rsid w:val="00097B09"/>
    <w:rsid w:val="000A2733"/>
    <w:rsid w:val="000A47EE"/>
    <w:rsid w:val="000A51B0"/>
    <w:rsid w:val="000A5D37"/>
    <w:rsid w:val="000A5E1D"/>
    <w:rsid w:val="000A5FF7"/>
    <w:rsid w:val="000A7A71"/>
    <w:rsid w:val="000B01DD"/>
    <w:rsid w:val="000B2092"/>
    <w:rsid w:val="000B3108"/>
    <w:rsid w:val="000B376A"/>
    <w:rsid w:val="000B37C0"/>
    <w:rsid w:val="000B557E"/>
    <w:rsid w:val="000B6783"/>
    <w:rsid w:val="000B6BB8"/>
    <w:rsid w:val="000B6D12"/>
    <w:rsid w:val="000C0003"/>
    <w:rsid w:val="000C01CA"/>
    <w:rsid w:val="000C2214"/>
    <w:rsid w:val="000C2B93"/>
    <w:rsid w:val="000C3041"/>
    <w:rsid w:val="000C3D79"/>
    <w:rsid w:val="000C47DE"/>
    <w:rsid w:val="000C4822"/>
    <w:rsid w:val="000C521E"/>
    <w:rsid w:val="000C5AA1"/>
    <w:rsid w:val="000C7ADC"/>
    <w:rsid w:val="000D0ABD"/>
    <w:rsid w:val="000D1F9B"/>
    <w:rsid w:val="000D250B"/>
    <w:rsid w:val="000D44F2"/>
    <w:rsid w:val="000D498F"/>
    <w:rsid w:val="000D59C7"/>
    <w:rsid w:val="000D5CF3"/>
    <w:rsid w:val="000E01A5"/>
    <w:rsid w:val="000E0AE3"/>
    <w:rsid w:val="000E0E2F"/>
    <w:rsid w:val="000E5918"/>
    <w:rsid w:val="000E5E8A"/>
    <w:rsid w:val="000E5E9A"/>
    <w:rsid w:val="000E76BA"/>
    <w:rsid w:val="000E7765"/>
    <w:rsid w:val="000F07AA"/>
    <w:rsid w:val="000F0F0F"/>
    <w:rsid w:val="000F194D"/>
    <w:rsid w:val="000F28FE"/>
    <w:rsid w:val="000F306A"/>
    <w:rsid w:val="000F371A"/>
    <w:rsid w:val="000F6013"/>
    <w:rsid w:val="000F709C"/>
    <w:rsid w:val="000F73F0"/>
    <w:rsid w:val="00103653"/>
    <w:rsid w:val="00104D0C"/>
    <w:rsid w:val="001059AE"/>
    <w:rsid w:val="00105DB0"/>
    <w:rsid w:val="00106E3F"/>
    <w:rsid w:val="001075C6"/>
    <w:rsid w:val="00113D81"/>
    <w:rsid w:val="00114204"/>
    <w:rsid w:val="00114A66"/>
    <w:rsid w:val="00115837"/>
    <w:rsid w:val="00117C68"/>
    <w:rsid w:val="00122DD5"/>
    <w:rsid w:val="00122E90"/>
    <w:rsid w:val="00123BC3"/>
    <w:rsid w:val="00124865"/>
    <w:rsid w:val="00127B13"/>
    <w:rsid w:val="00131E15"/>
    <w:rsid w:val="0013307A"/>
    <w:rsid w:val="001330BE"/>
    <w:rsid w:val="00133C36"/>
    <w:rsid w:val="00133C7E"/>
    <w:rsid w:val="00133DC2"/>
    <w:rsid w:val="00134D91"/>
    <w:rsid w:val="0013620E"/>
    <w:rsid w:val="00140B99"/>
    <w:rsid w:val="00141A54"/>
    <w:rsid w:val="0014249E"/>
    <w:rsid w:val="00142C03"/>
    <w:rsid w:val="001441C1"/>
    <w:rsid w:val="00144A5F"/>
    <w:rsid w:val="00144D83"/>
    <w:rsid w:val="0014616C"/>
    <w:rsid w:val="00146B52"/>
    <w:rsid w:val="00150671"/>
    <w:rsid w:val="00151A08"/>
    <w:rsid w:val="00152D39"/>
    <w:rsid w:val="00152E5C"/>
    <w:rsid w:val="0015355E"/>
    <w:rsid w:val="00154224"/>
    <w:rsid w:val="00154D57"/>
    <w:rsid w:val="00155403"/>
    <w:rsid w:val="00155F16"/>
    <w:rsid w:val="001560B9"/>
    <w:rsid w:val="00156372"/>
    <w:rsid w:val="00157D28"/>
    <w:rsid w:val="00157F60"/>
    <w:rsid w:val="00163373"/>
    <w:rsid w:val="001647D0"/>
    <w:rsid w:val="00164C8F"/>
    <w:rsid w:val="001657C4"/>
    <w:rsid w:val="00165DC2"/>
    <w:rsid w:val="00167964"/>
    <w:rsid w:val="00170E1A"/>
    <w:rsid w:val="00172335"/>
    <w:rsid w:val="00173D5D"/>
    <w:rsid w:val="001744B8"/>
    <w:rsid w:val="001753FB"/>
    <w:rsid w:val="001765B9"/>
    <w:rsid w:val="00177538"/>
    <w:rsid w:val="001776A7"/>
    <w:rsid w:val="00180169"/>
    <w:rsid w:val="00180284"/>
    <w:rsid w:val="00181A92"/>
    <w:rsid w:val="00181ADA"/>
    <w:rsid w:val="0018243B"/>
    <w:rsid w:val="001842EA"/>
    <w:rsid w:val="00184BD4"/>
    <w:rsid w:val="0018572F"/>
    <w:rsid w:val="001871B7"/>
    <w:rsid w:val="00190A4F"/>
    <w:rsid w:val="00190A61"/>
    <w:rsid w:val="00190B6A"/>
    <w:rsid w:val="0019380A"/>
    <w:rsid w:val="00193930"/>
    <w:rsid w:val="00193F94"/>
    <w:rsid w:val="00194CF1"/>
    <w:rsid w:val="00195FB0"/>
    <w:rsid w:val="00196363"/>
    <w:rsid w:val="00196D70"/>
    <w:rsid w:val="00197952"/>
    <w:rsid w:val="00197B98"/>
    <w:rsid w:val="001A1518"/>
    <w:rsid w:val="001A197B"/>
    <w:rsid w:val="001A2995"/>
    <w:rsid w:val="001A3D29"/>
    <w:rsid w:val="001A51D9"/>
    <w:rsid w:val="001A69BE"/>
    <w:rsid w:val="001A794B"/>
    <w:rsid w:val="001B05C6"/>
    <w:rsid w:val="001B192E"/>
    <w:rsid w:val="001B28CA"/>
    <w:rsid w:val="001B4188"/>
    <w:rsid w:val="001B4741"/>
    <w:rsid w:val="001B5F2F"/>
    <w:rsid w:val="001B6E7C"/>
    <w:rsid w:val="001C05A3"/>
    <w:rsid w:val="001C07B1"/>
    <w:rsid w:val="001C07C6"/>
    <w:rsid w:val="001C13FB"/>
    <w:rsid w:val="001C2460"/>
    <w:rsid w:val="001C37EA"/>
    <w:rsid w:val="001C4261"/>
    <w:rsid w:val="001C4A4D"/>
    <w:rsid w:val="001C68F0"/>
    <w:rsid w:val="001C69E8"/>
    <w:rsid w:val="001C6CCC"/>
    <w:rsid w:val="001C7BF4"/>
    <w:rsid w:val="001C7DB2"/>
    <w:rsid w:val="001D0079"/>
    <w:rsid w:val="001D174B"/>
    <w:rsid w:val="001D2F05"/>
    <w:rsid w:val="001D35F5"/>
    <w:rsid w:val="001D7AC3"/>
    <w:rsid w:val="001E1104"/>
    <w:rsid w:val="001E287C"/>
    <w:rsid w:val="001E2984"/>
    <w:rsid w:val="001E3BEF"/>
    <w:rsid w:val="001E4867"/>
    <w:rsid w:val="001E77EC"/>
    <w:rsid w:val="001F0F3A"/>
    <w:rsid w:val="001F158A"/>
    <w:rsid w:val="001F2BBB"/>
    <w:rsid w:val="001F3091"/>
    <w:rsid w:val="001F3791"/>
    <w:rsid w:val="001F46C4"/>
    <w:rsid w:val="001F5F4D"/>
    <w:rsid w:val="001F7B93"/>
    <w:rsid w:val="00201414"/>
    <w:rsid w:val="00203587"/>
    <w:rsid w:val="00204139"/>
    <w:rsid w:val="0020481B"/>
    <w:rsid w:val="00205CFF"/>
    <w:rsid w:val="0020610C"/>
    <w:rsid w:val="002071FE"/>
    <w:rsid w:val="00207A05"/>
    <w:rsid w:val="00207DA4"/>
    <w:rsid w:val="002100AC"/>
    <w:rsid w:val="002100FE"/>
    <w:rsid w:val="00212212"/>
    <w:rsid w:val="002130F8"/>
    <w:rsid w:val="002139C0"/>
    <w:rsid w:val="0021433A"/>
    <w:rsid w:val="00214E67"/>
    <w:rsid w:val="00214FE2"/>
    <w:rsid w:val="002152F6"/>
    <w:rsid w:val="00215611"/>
    <w:rsid w:val="00215860"/>
    <w:rsid w:val="00217273"/>
    <w:rsid w:val="00217274"/>
    <w:rsid w:val="00220103"/>
    <w:rsid w:val="002203AA"/>
    <w:rsid w:val="0022044D"/>
    <w:rsid w:val="00221297"/>
    <w:rsid w:val="00221443"/>
    <w:rsid w:val="00221847"/>
    <w:rsid w:val="00222136"/>
    <w:rsid w:val="00224989"/>
    <w:rsid w:val="00224E61"/>
    <w:rsid w:val="00225200"/>
    <w:rsid w:val="00225400"/>
    <w:rsid w:val="00225729"/>
    <w:rsid w:val="002266F4"/>
    <w:rsid w:val="00226E67"/>
    <w:rsid w:val="00226E78"/>
    <w:rsid w:val="00227477"/>
    <w:rsid w:val="002274D9"/>
    <w:rsid w:val="0023241A"/>
    <w:rsid w:val="0023313C"/>
    <w:rsid w:val="00235694"/>
    <w:rsid w:val="00235948"/>
    <w:rsid w:val="00236EE1"/>
    <w:rsid w:val="00237746"/>
    <w:rsid w:val="00237AE3"/>
    <w:rsid w:val="00237E99"/>
    <w:rsid w:val="00241396"/>
    <w:rsid w:val="002435C1"/>
    <w:rsid w:val="00245D15"/>
    <w:rsid w:val="00247949"/>
    <w:rsid w:val="002524AC"/>
    <w:rsid w:val="002545E1"/>
    <w:rsid w:val="00254E6C"/>
    <w:rsid w:val="00255171"/>
    <w:rsid w:val="00255643"/>
    <w:rsid w:val="0025566A"/>
    <w:rsid w:val="002564C6"/>
    <w:rsid w:val="0025669A"/>
    <w:rsid w:val="0026112B"/>
    <w:rsid w:val="002625B3"/>
    <w:rsid w:val="0026260E"/>
    <w:rsid w:val="002655BF"/>
    <w:rsid w:val="0026580C"/>
    <w:rsid w:val="0026710E"/>
    <w:rsid w:val="002677F2"/>
    <w:rsid w:val="00267D7E"/>
    <w:rsid w:val="00270704"/>
    <w:rsid w:val="00270896"/>
    <w:rsid w:val="00271801"/>
    <w:rsid w:val="002723E4"/>
    <w:rsid w:val="00273CF0"/>
    <w:rsid w:val="002740D7"/>
    <w:rsid w:val="00275EA5"/>
    <w:rsid w:val="002765BF"/>
    <w:rsid w:val="00277552"/>
    <w:rsid w:val="00277E6C"/>
    <w:rsid w:val="002809B0"/>
    <w:rsid w:val="00281018"/>
    <w:rsid w:val="00282F7B"/>
    <w:rsid w:val="002834BD"/>
    <w:rsid w:val="00283E35"/>
    <w:rsid w:val="0028405A"/>
    <w:rsid w:val="00284E3C"/>
    <w:rsid w:val="0028737D"/>
    <w:rsid w:val="00291260"/>
    <w:rsid w:val="00291D85"/>
    <w:rsid w:val="00292225"/>
    <w:rsid w:val="002938BB"/>
    <w:rsid w:val="0029407B"/>
    <w:rsid w:val="0029417D"/>
    <w:rsid w:val="00294525"/>
    <w:rsid w:val="00295803"/>
    <w:rsid w:val="00296145"/>
    <w:rsid w:val="002965F6"/>
    <w:rsid w:val="002A1882"/>
    <w:rsid w:val="002A1C2E"/>
    <w:rsid w:val="002A1C30"/>
    <w:rsid w:val="002A1DCF"/>
    <w:rsid w:val="002A40E9"/>
    <w:rsid w:val="002A45BD"/>
    <w:rsid w:val="002A69F3"/>
    <w:rsid w:val="002A76EA"/>
    <w:rsid w:val="002B0492"/>
    <w:rsid w:val="002B0B56"/>
    <w:rsid w:val="002B3601"/>
    <w:rsid w:val="002B3B01"/>
    <w:rsid w:val="002B40C9"/>
    <w:rsid w:val="002B49B4"/>
    <w:rsid w:val="002B49CE"/>
    <w:rsid w:val="002B51B9"/>
    <w:rsid w:val="002B51DC"/>
    <w:rsid w:val="002B5566"/>
    <w:rsid w:val="002B5D5F"/>
    <w:rsid w:val="002C0244"/>
    <w:rsid w:val="002C29D5"/>
    <w:rsid w:val="002C2A54"/>
    <w:rsid w:val="002C31EF"/>
    <w:rsid w:val="002C37D7"/>
    <w:rsid w:val="002C5A96"/>
    <w:rsid w:val="002C6276"/>
    <w:rsid w:val="002C67F5"/>
    <w:rsid w:val="002C6830"/>
    <w:rsid w:val="002C7A2F"/>
    <w:rsid w:val="002D0892"/>
    <w:rsid w:val="002D0B3B"/>
    <w:rsid w:val="002D2D94"/>
    <w:rsid w:val="002D3AB3"/>
    <w:rsid w:val="002D58DB"/>
    <w:rsid w:val="002E0B48"/>
    <w:rsid w:val="002E2032"/>
    <w:rsid w:val="002E45D2"/>
    <w:rsid w:val="002E4BDB"/>
    <w:rsid w:val="002E6377"/>
    <w:rsid w:val="002E6734"/>
    <w:rsid w:val="002E6C2D"/>
    <w:rsid w:val="002E7882"/>
    <w:rsid w:val="002F2007"/>
    <w:rsid w:val="002F2DC8"/>
    <w:rsid w:val="002F3B6B"/>
    <w:rsid w:val="002F65C4"/>
    <w:rsid w:val="0030195D"/>
    <w:rsid w:val="00302F6A"/>
    <w:rsid w:val="00306858"/>
    <w:rsid w:val="003072C9"/>
    <w:rsid w:val="00311CCC"/>
    <w:rsid w:val="00311F91"/>
    <w:rsid w:val="00313DC3"/>
    <w:rsid w:val="00315BC5"/>
    <w:rsid w:val="003204F0"/>
    <w:rsid w:val="003207A0"/>
    <w:rsid w:val="003212F2"/>
    <w:rsid w:val="003217DF"/>
    <w:rsid w:val="00321861"/>
    <w:rsid w:val="00322351"/>
    <w:rsid w:val="003236E7"/>
    <w:rsid w:val="00323843"/>
    <w:rsid w:val="003246EB"/>
    <w:rsid w:val="00324E59"/>
    <w:rsid w:val="00325A7F"/>
    <w:rsid w:val="00326408"/>
    <w:rsid w:val="003267EE"/>
    <w:rsid w:val="00326A82"/>
    <w:rsid w:val="00326F0B"/>
    <w:rsid w:val="003270DB"/>
    <w:rsid w:val="003276E1"/>
    <w:rsid w:val="00327910"/>
    <w:rsid w:val="00327D20"/>
    <w:rsid w:val="003306D4"/>
    <w:rsid w:val="00330EEA"/>
    <w:rsid w:val="00331C71"/>
    <w:rsid w:val="00331E7A"/>
    <w:rsid w:val="00332232"/>
    <w:rsid w:val="00332B27"/>
    <w:rsid w:val="00334052"/>
    <w:rsid w:val="00334FAF"/>
    <w:rsid w:val="0033503B"/>
    <w:rsid w:val="00335377"/>
    <w:rsid w:val="00335D3F"/>
    <w:rsid w:val="00335E4A"/>
    <w:rsid w:val="00335E5A"/>
    <w:rsid w:val="003361CC"/>
    <w:rsid w:val="00336688"/>
    <w:rsid w:val="003370D1"/>
    <w:rsid w:val="00337D3B"/>
    <w:rsid w:val="003405A2"/>
    <w:rsid w:val="00340938"/>
    <w:rsid w:val="0034154C"/>
    <w:rsid w:val="00342DD2"/>
    <w:rsid w:val="003430E5"/>
    <w:rsid w:val="00343B3C"/>
    <w:rsid w:val="00345E94"/>
    <w:rsid w:val="00346775"/>
    <w:rsid w:val="0034692D"/>
    <w:rsid w:val="0035122C"/>
    <w:rsid w:val="00351E49"/>
    <w:rsid w:val="0035264C"/>
    <w:rsid w:val="00353572"/>
    <w:rsid w:val="00353C86"/>
    <w:rsid w:val="0035406B"/>
    <w:rsid w:val="00355201"/>
    <w:rsid w:val="00355A0A"/>
    <w:rsid w:val="003566E8"/>
    <w:rsid w:val="00356EE7"/>
    <w:rsid w:val="00360186"/>
    <w:rsid w:val="003604C8"/>
    <w:rsid w:val="00361262"/>
    <w:rsid w:val="00363008"/>
    <w:rsid w:val="0036330F"/>
    <w:rsid w:val="00365F25"/>
    <w:rsid w:val="003668DC"/>
    <w:rsid w:val="003704CF"/>
    <w:rsid w:val="00370691"/>
    <w:rsid w:val="00372B70"/>
    <w:rsid w:val="00372E2A"/>
    <w:rsid w:val="003744BA"/>
    <w:rsid w:val="00374624"/>
    <w:rsid w:val="003746A9"/>
    <w:rsid w:val="0037482B"/>
    <w:rsid w:val="003766F9"/>
    <w:rsid w:val="003769A0"/>
    <w:rsid w:val="00380350"/>
    <w:rsid w:val="00380A37"/>
    <w:rsid w:val="00381906"/>
    <w:rsid w:val="003821F5"/>
    <w:rsid w:val="00384476"/>
    <w:rsid w:val="003854AB"/>
    <w:rsid w:val="0039459C"/>
    <w:rsid w:val="003945D6"/>
    <w:rsid w:val="003960DF"/>
    <w:rsid w:val="003968DB"/>
    <w:rsid w:val="003A06D1"/>
    <w:rsid w:val="003A07E5"/>
    <w:rsid w:val="003A0D88"/>
    <w:rsid w:val="003A32C7"/>
    <w:rsid w:val="003A4ECE"/>
    <w:rsid w:val="003A56DF"/>
    <w:rsid w:val="003A5A29"/>
    <w:rsid w:val="003A73AC"/>
    <w:rsid w:val="003A7B33"/>
    <w:rsid w:val="003B0B3B"/>
    <w:rsid w:val="003B1BA7"/>
    <w:rsid w:val="003B2111"/>
    <w:rsid w:val="003B2C05"/>
    <w:rsid w:val="003B3459"/>
    <w:rsid w:val="003B3CBE"/>
    <w:rsid w:val="003B5358"/>
    <w:rsid w:val="003B7200"/>
    <w:rsid w:val="003B7A3F"/>
    <w:rsid w:val="003C402B"/>
    <w:rsid w:val="003C4103"/>
    <w:rsid w:val="003C5794"/>
    <w:rsid w:val="003D0284"/>
    <w:rsid w:val="003D028F"/>
    <w:rsid w:val="003D05DD"/>
    <w:rsid w:val="003D09DB"/>
    <w:rsid w:val="003D155A"/>
    <w:rsid w:val="003D3B13"/>
    <w:rsid w:val="003D3CBE"/>
    <w:rsid w:val="003D3D2B"/>
    <w:rsid w:val="003D3DBC"/>
    <w:rsid w:val="003D5AC6"/>
    <w:rsid w:val="003D7122"/>
    <w:rsid w:val="003D7457"/>
    <w:rsid w:val="003D7E93"/>
    <w:rsid w:val="003E0BDD"/>
    <w:rsid w:val="003E0DF7"/>
    <w:rsid w:val="003E0F99"/>
    <w:rsid w:val="003E190A"/>
    <w:rsid w:val="003E2BA7"/>
    <w:rsid w:val="003E387C"/>
    <w:rsid w:val="003E5201"/>
    <w:rsid w:val="003E63C1"/>
    <w:rsid w:val="003E6E44"/>
    <w:rsid w:val="003F04A6"/>
    <w:rsid w:val="003F1A09"/>
    <w:rsid w:val="003F2322"/>
    <w:rsid w:val="003F2FE2"/>
    <w:rsid w:val="003F444A"/>
    <w:rsid w:val="003F5979"/>
    <w:rsid w:val="003F5E5E"/>
    <w:rsid w:val="003F6D21"/>
    <w:rsid w:val="003F6F5E"/>
    <w:rsid w:val="004017EF"/>
    <w:rsid w:val="0040215D"/>
    <w:rsid w:val="004021F3"/>
    <w:rsid w:val="00402813"/>
    <w:rsid w:val="004043F0"/>
    <w:rsid w:val="0040476F"/>
    <w:rsid w:val="00404D46"/>
    <w:rsid w:val="0040522E"/>
    <w:rsid w:val="004054BC"/>
    <w:rsid w:val="004054EB"/>
    <w:rsid w:val="004068CA"/>
    <w:rsid w:val="00406956"/>
    <w:rsid w:val="0040744B"/>
    <w:rsid w:val="00407CA9"/>
    <w:rsid w:val="004106C1"/>
    <w:rsid w:val="004116DB"/>
    <w:rsid w:val="00412548"/>
    <w:rsid w:val="00412848"/>
    <w:rsid w:val="00412BA4"/>
    <w:rsid w:val="00413803"/>
    <w:rsid w:val="0041487B"/>
    <w:rsid w:val="00414AEA"/>
    <w:rsid w:val="004165DD"/>
    <w:rsid w:val="00416950"/>
    <w:rsid w:val="00417A45"/>
    <w:rsid w:val="004201C0"/>
    <w:rsid w:val="00421011"/>
    <w:rsid w:val="00422E36"/>
    <w:rsid w:val="00423CC5"/>
    <w:rsid w:val="00424D2A"/>
    <w:rsid w:val="00425AF6"/>
    <w:rsid w:val="0042612C"/>
    <w:rsid w:val="00426876"/>
    <w:rsid w:val="00430833"/>
    <w:rsid w:val="00430CAD"/>
    <w:rsid w:val="00432290"/>
    <w:rsid w:val="004325A1"/>
    <w:rsid w:val="0043313D"/>
    <w:rsid w:val="004332EB"/>
    <w:rsid w:val="004339DB"/>
    <w:rsid w:val="004379AB"/>
    <w:rsid w:val="004407FC"/>
    <w:rsid w:val="00440F54"/>
    <w:rsid w:val="0044329F"/>
    <w:rsid w:val="00444873"/>
    <w:rsid w:val="00444F9F"/>
    <w:rsid w:val="00446041"/>
    <w:rsid w:val="004500DC"/>
    <w:rsid w:val="004506CC"/>
    <w:rsid w:val="004507C6"/>
    <w:rsid w:val="00452746"/>
    <w:rsid w:val="00452E32"/>
    <w:rsid w:val="00457208"/>
    <w:rsid w:val="0045723A"/>
    <w:rsid w:val="004575C6"/>
    <w:rsid w:val="00460379"/>
    <w:rsid w:val="00461C0E"/>
    <w:rsid w:val="0046276B"/>
    <w:rsid w:val="00463142"/>
    <w:rsid w:val="0046429D"/>
    <w:rsid w:val="00465055"/>
    <w:rsid w:val="004658CE"/>
    <w:rsid w:val="00465AAC"/>
    <w:rsid w:val="00471C02"/>
    <w:rsid w:val="00472ED7"/>
    <w:rsid w:val="004738C2"/>
    <w:rsid w:val="00473962"/>
    <w:rsid w:val="00473BEB"/>
    <w:rsid w:val="00473FF5"/>
    <w:rsid w:val="004742F5"/>
    <w:rsid w:val="00474725"/>
    <w:rsid w:val="00476003"/>
    <w:rsid w:val="00477405"/>
    <w:rsid w:val="004806A2"/>
    <w:rsid w:val="00480B9B"/>
    <w:rsid w:val="00480FDA"/>
    <w:rsid w:val="00483DE3"/>
    <w:rsid w:val="00483FD9"/>
    <w:rsid w:val="00484315"/>
    <w:rsid w:val="00487035"/>
    <w:rsid w:val="004901B3"/>
    <w:rsid w:val="0049191C"/>
    <w:rsid w:val="0049285B"/>
    <w:rsid w:val="004949C7"/>
    <w:rsid w:val="00494E22"/>
    <w:rsid w:val="0049704E"/>
    <w:rsid w:val="004A0F89"/>
    <w:rsid w:val="004A1249"/>
    <w:rsid w:val="004A1A54"/>
    <w:rsid w:val="004A3D16"/>
    <w:rsid w:val="004A699E"/>
    <w:rsid w:val="004A7065"/>
    <w:rsid w:val="004A7D9E"/>
    <w:rsid w:val="004B1EF6"/>
    <w:rsid w:val="004B28D3"/>
    <w:rsid w:val="004B4709"/>
    <w:rsid w:val="004B47B3"/>
    <w:rsid w:val="004B5FB9"/>
    <w:rsid w:val="004B7182"/>
    <w:rsid w:val="004B7938"/>
    <w:rsid w:val="004C22E9"/>
    <w:rsid w:val="004C28AE"/>
    <w:rsid w:val="004C4D9E"/>
    <w:rsid w:val="004C59EB"/>
    <w:rsid w:val="004C632A"/>
    <w:rsid w:val="004C6FDA"/>
    <w:rsid w:val="004C7EB7"/>
    <w:rsid w:val="004D12F9"/>
    <w:rsid w:val="004D231D"/>
    <w:rsid w:val="004D45C7"/>
    <w:rsid w:val="004D5C9D"/>
    <w:rsid w:val="004D6563"/>
    <w:rsid w:val="004D7203"/>
    <w:rsid w:val="004D749B"/>
    <w:rsid w:val="004D7BA4"/>
    <w:rsid w:val="004E103C"/>
    <w:rsid w:val="004E10E6"/>
    <w:rsid w:val="004E1679"/>
    <w:rsid w:val="004E21F0"/>
    <w:rsid w:val="004E2AAA"/>
    <w:rsid w:val="004E31FF"/>
    <w:rsid w:val="004E6008"/>
    <w:rsid w:val="004F05E8"/>
    <w:rsid w:val="004F16C0"/>
    <w:rsid w:val="004F21B4"/>
    <w:rsid w:val="004F3781"/>
    <w:rsid w:val="004F53D5"/>
    <w:rsid w:val="004F545A"/>
    <w:rsid w:val="004F671A"/>
    <w:rsid w:val="00501F8B"/>
    <w:rsid w:val="0050293A"/>
    <w:rsid w:val="005031BD"/>
    <w:rsid w:val="005039B3"/>
    <w:rsid w:val="00503E67"/>
    <w:rsid w:val="005051FD"/>
    <w:rsid w:val="0050698C"/>
    <w:rsid w:val="0051093C"/>
    <w:rsid w:val="00512490"/>
    <w:rsid w:val="00512557"/>
    <w:rsid w:val="00512A24"/>
    <w:rsid w:val="00513E68"/>
    <w:rsid w:val="00513EA0"/>
    <w:rsid w:val="005142D8"/>
    <w:rsid w:val="00515B7E"/>
    <w:rsid w:val="00516733"/>
    <w:rsid w:val="00516756"/>
    <w:rsid w:val="00516C47"/>
    <w:rsid w:val="00517BD7"/>
    <w:rsid w:val="00517E3A"/>
    <w:rsid w:val="00517F84"/>
    <w:rsid w:val="00520A6A"/>
    <w:rsid w:val="00522297"/>
    <w:rsid w:val="00523DB2"/>
    <w:rsid w:val="00524DC7"/>
    <w:rsid w:val="005250B2"/>
    <w:rsid w:val="00525B3C"/>
    <w:rsid w:val="00525DAA"/>
    <w:rsid w:val="0052672D"/>
    <w:rsid w:val="005269BD"/>
    <w:rsid w:val="00526D43"/>
    <w:rsid w:val="00526E75"/>
    <w:rsid w:val="00527EB0"/>
    <w:rsid w:val="00531705"/>
    <w:rsid w:val="00532C5B"/>
    <w:rsid w:val="00532D5C"/>
    <w:rsid w:val="0053554A"/>
    <w:rsid w:val="005356B5"/>
    <w:rsid w:val="00537568"/>
    <w:rsid w:val="00537978"/>
    <w:rsid w:val="00537C08"/>
    <w:rsid w:val="00540818"/>
    <w:rsid w:val="005440D3"/>
    <w:rsid w:val="0054568B"/>
    <w:rsid w:val="00545978"/>
    <w:rsid w:val="005463DF"/>
    <w:rsid w:val="00550C87"/>
    <w:rsid w:val="005514ED"/>
    <w:rsid w:val="0055230B"/>
    <w:rsid w:val="00553E0E"/>
    <w:rsid w:val="00554B50"/>
    <w:rsid w:val="005552C9"/>
    <w:rsid w:val="005556FB"/>
    <w:rsid w:val="00555729"/>
    <w:rsid w:val="00556502"/>
    <w:rsid w:val="005570AF"/>
    <w:rsid w:val="00560D09"/>
    <w:rsid w:val="00561E18"/>
    <w:rsid w:val="00563B2B"/>
    <w:rsid w:val="00564027"/>
    <w:rsid w:val="00564885"/>
    <w:rsid w:val="0056676F"/>
    <w:rsid w:val="00566984"/>
    <w:rsid w:val="00567674"/>
    <w:rsid w:val="00567761"/>
    <w:rsid w:val="00567831"/>
    <w:rsid w:val="005726AF"/>
    <w:rsid w:val="00572DCB"/>
    <w:rsid w:val="005735EA"/>
    <w:rsid w:val="00573C90"/>
    <w:rsid w:val="00574481"/>
    <w:rsid w:val="0057489B"/>
    <w:rsid w:val="0057544E"/>
    <w:rsid w:val="005770EE"/>
    <w:rsid w:val="0057735F"/>
    <w:rsid w:val="00577DB6"/>
    <w:rsid w:val="0058074C"/>
    <w:rsid w:val="0058079C"/>
    <w:rsid w:val="00581485"/>
    <w:rsid w:val="00581BAA"/>
    <w:rsid w:val="005820BA"/>
    <w:rsid w:val="00582C52"/>
    <w:rsid w:val="00584880"/>
    <w:rsid w:val="00585097"/>
    <w:rsid w:val="005866A6"/>
    <w:rsid w:val="005869D0"/>
    <w:rsid w:val="005877B4"/>
    <w:rsid w:val="00587C2F"/>
    <w:rsid w:val="00587C6F"/>
    <w:rsid w:val="005909F7"/>
    <w:rsid w:val="00592E18"/>
    <w:rsid w:val="00594321"/>
    <w:rsid w:val="00596EB1"/>
    <w:rsid w:val="005A0AF8"/>
    <w:rsid w:val="005A0F3F"/>
    <w:rsid w:val="005A1386"/>
    <w:rsid w:val="005A14C2"/>
    <w:rsid w:val="005A279F"/>
    <w:rsid w:val="005A2B30"/>
    <w:rsid w:val="005A682C"/>
    <w:rsid w:val="005A6F84"/>
    <w:rsid w:val="005B22EC"/>
    <w:rsid w:val="005B2ABC"/>
    <w:rsid w:val="005B424C"/>
    <w:rsid w:val="005B44A5"/>
    <w:rsid w:val="005B45F1"/>
    <w:rsid w:val="005B5D0D"/>
    <w:rsid w:val="005B735B"/>
    <w:rsid w:val="005B73AE"/>
    <w:rsid w:val="005C0BC0"/>
    <w:rsid w:val="005C1074"/>
    <w:rsid w:val="005C2076"/>
    <w:rsid w:val="005C2D09"/>
    <w:rsid w:val="005C36F2"/>
    <w:rsid w:val="005C3D17"/>
    <w:rsid w:val="005C4FF6"/>
    <w:rsid w:val="005C6517"/>
    <w:rsid w:val="005D0151"/>
    <w:rsid w:val="005D3618"/>
    <w:rsid w:val="005D484F"/>
    <w:rsid w:val="005D5C3D"/>
    <w:rsid w:val="005D73A7"/>
    <w:rsid w:val="005E089A"/>
    <w:rsid w:val="005E3C6C"/>
    <w:rsid w:val="005E3E16"/>
    <w:rsid w:val="005E4CA2"/>
    <w:rsid w:val="005E4F69"/>
    <w:rsid w:val="005E6022"/>
    <w:rsid w:val="005E66E4"/>
    <w:rsid w:val="005E761C"/>
    <w:rsid w:val="005E7897"/>
    <w:rsid w:val="005F03C6"/>
    <w:rsid w:val="005F050F"/>
    <w:rsid w:val="005F2DE3"/>
    <w:rsid w:val="005F33D4"/>
    <w:rsid w:val="005F3DEB"/>
    <w:rsid w:val="005F44A9"/>
    <w:rsid w:val="005F4635"/>
    <w:rsid w:val="005F591D"/>
    <w:rsid w:val="005F5E79"/>
    <w:rsid w:val="005F6420"/>
    <w:rsid w:val="005F7B6D"/>
    <w:rsid w:val="006000B4"/>
    <w:rsid w:val="00600D2C"/>
    <w:rsid w:val="00601818"/>
    <w:rsid w:val="006025C1"/>
    <w:rsid w:val="00603DC1"/>
    <w:rsid w:val="006056E9"/>
    <w:rsid w:val="006065D5"/>
    <w:rsid w:val="00606C43"/>
    <w:rsid w:val="00607321"/>
    <w:rsid w:val="00607967"/>
    <w:rsid w:val="00607AA0"/>
    <w:rsid w:val="00607E3C"/>
    <w:rsid w:val="0061089E"/>
    <w:rsid w:val="00611AC7"/>
    <w:rsid w:val="006133AE"/>
    <w:rsid w:val="00614C5E"/>
    <w:rsid w:val="00615080"/>
    <w:rsid w:val="006155FF"/>
    <w:rsid w:val="00615AF6"/>
    <w:rsid w:val="00616A5B"/>
    <w:rsid w:val="00616C6C"/>
    <w:rsid w:val="00617CFF"/>
    <w:rsid w:val="0062105F"/>
    <w:rsid w:val="00621C77"/>
    <w:rsid w:val="00622BD8"/>
    <w:rsid w:val="00622E10"/>
    <w:rsid w:val="00623E86"/>
    <w:rsid w:val="006251DE"/>
    <w:rsid w:val="00625CC2"/>
    <w:rsid w:val="00625F66"/>
    <w:rsid w:val="006263B5"/>
    <w:rsid w:val="0062679B"/>
    <w:rsid w:val="00630D22"/>
    <w:rsid w:val="00631C6C"/>
    <w:rsid w:val="00631D80"/>
    <w:rsid w:val="0063451F"/>
    <w:rsid w:val="006349E8"/>
    <w:rsid w:val="00635E99"/>
    <w:rsid w:val="00636F6B"/>
    <w:rsid w:val="006376B6"/>
    <w:rsid w:val="006379ED"/>
    <w:rsid w:val="00637FFC"/>
    <w:rsid w:val="00640AE2"/>
    <w:rsid w:val="00641DD1"/>
    <w:rsid w:val="00643157"/>
    <w:rsid w:val="0064368A"/>
    <w:rsid w:val="00643812"/>
    <w:rsid w:val="00644B7C"/>
    <w:rsid w:val="00644F07"/>
    <w:rsid w:val="00645F9B"/>
    <w:rsid w:val="00645FC1"/>
    <w:rsid w:val="006463E6"/>
    <w:rsid w:val="00646630"/>
    <w:rsid w:val="00647C55"/>
    <w:rsid w:val="00647F6A"/>
    <w:rsid w:val="0065119B"/>
    <w:rsid w:val="00652015"/>
    <w:rsid w:val="0065248E"/>
    <w:rsid w:val="006524D1"/>
    <w:rsid w:val="00653C30"/>
    <w:rsid w:val="00654F0C"/>
    <w:rsid w:val="006553AE"/>
    <w:rsid w:val="00656CA3"/>
    <w:rsid w:val="006605CA"/>
    <w:rsid w:val="006621DC"/>
    <w:rsid w:val="00662F72"/>
    <w:rsid w:val="006634F8"/>
    <w:rsid w:val="006637E8"/>
    <w:rsid w:val="006638DF"/>
    <w:rsid w:val="00663C48"/>
    <w:rsid w:val="006659FF"/>
    <w:rsid w:val="00665A94"/>
    <w:rsid w:val="0066716C"/>
    <w:rsid w:val="006725C6"/>
    <w:rsid w:val="00672AC2"/>
    <w:rsid w:val="00673016"/>
    <w:rsid w:val="0067334C"/>
    <w:rsid w:val="006733C5"/>
    <w:rsid w:val="00673E61"/>
    <w:rsid w:val="006741C1"/>
    <w:rsid w:val="00674A03"/>
    <w:rsid w:val="00676C9F"/>
    <w:rsid w:val="006811A9"/>
    <w:rsid w:val="006813C9"/>
    <w:rsid w:val="006821B5"/>
    <w:rsid w:val="0068370F"/>
    <w:rsid w:val="00683A18"/>
    <w:rsid w:val="0068476C"/>
    <w:rsid w:val="0068585F"/>
    <w:rsid w:val="00685B8A"/>
    <w:rsid w:val="006861E2"/>
    <w:rsid w:val="00686CD7"/>
    <w:rsid w:val="00687EEB"/>
    <w:rsid w:val="006902ED"/>
    <w:rsid w:val="00690851"/>
    <w:rsid w:val="00690C98"/>
    <w:rsid w:val="0069109B"/>
    <w:rsid w:val="00691C76"/>
    <w:rsid w:val="006949AC"/>
    <w:rsid w:val="00694E18"/>
    <w:rsid w:val="00696239"/>
    <w:rsid w:val="00697B92"/>
    <w:rsid w:val="006A0060"/>
    <w:rsid w:val="006A0695"/>
    <w:rsid w:val="006A0E7F"/>
    <w:rsid w:val="006A1719"/>
    <w:rsid w:val="006A1EE1"/>
    <w:rsid w:val="006A2F11"/>
    <w:rsid w:val="006A3B70"/>
    <w:rsid w:val="006A5728"/>
    <w:rsid w:val="006A73C1"/>
    <w:rsid w:val="006A7478"/>
    <w:rsid w:val="006B0E21"/>
    <w:rsid w:val="006B1BC1"/>
    <w:rsid w:val="006B1C56"/>
    <w:rsid w:val="006B1E44"/>
    <w:rsid w:val="006B2156"/>
    <w:rsid w:val="006B24AC"/>
    <w:rsid w:val="006B49EC"/>
    <w:rsid w:val="006B5C80"/>
    <w:rsid w:val="006B5DB7"/>
    <w:rsid w:val="006B66A9"/>
    <w:rsid w:val="006B7EEA"/>
    <w:rsid w:val="006C260B"/>
    <w:rsid w:val="006C2CD1"/>
    <w:rsid w:val="006C2F9B"/>
    <w:rsid w:val="006C7564"/>
    <w:rsid w:val="006C7B2E"/>
    <w:rsid w:val="006D173F"/>
    <w:rsid w:val="006D17B6"/>
    <w:rsid w:val="006D24DC"/>
    <w:rsid w:val="006D2511"/>
    <w:rsid w:val="006D352C"/>
    <w:rsid w:val="006D3655"/>
    <w:rsid w:val="006D3F0F"/>
    <w:rsid w:val="006D661A"/>
    <w:rsid w:val="006D6C4E"/>
    <w:rsid w:val="006D7EB6"/>
    <w:rsid w:val="006E0A31"/>
    <w:rsid w:val="006E0F90"/>
    <w:rsid w:val="006E17E3"/>
    <w:rsid w:val="006E2039"/>
    <w:rsid w:val="006E24F8"/>
    <w:rsid w:val="006E5F67"/>
    <w:rsid w:val="006F0715"/>
    <w:rsid w:val="006F096C"/>
    <w:rsid w:val="006F16F5"/>
    <w:rsid w:val="006F1E73"/>
    <w:rsid w:val="006F2262"/>
    <w:rsid w:val="006F25F3"/>
    <w:rsid w:val="006F3726"/>
    <w:rsid w:val="006F4758"/>
    <w:rsid w:val="006F4F97"/>
    <w:rsid w:val="006F58AC"/>
    <w:rsid w:val="006F70FC"/>
    <w:rsid w:val="006F7AAD"/>
    <w:rsid w:val="006F7D96"/>
    <w:rsid w:val="006F7F16"/>
    <w:rsid w:val="00701988"/>
    <w:rsid w:val="00702E52"/>
    <w:rsid w:val="00704950"/>
    <w:rsid w:val="00704B7D"/>
    <w:rsid w:val="00705DF7"/>
    <w:rsid w:val="00707079"/>
    <w:rsid w:val="00710181"/>
    <w:rsid w:val="00711E99"/>
    <w:rsid w:val="007122F6"/>
    <w:rsid w:val="00712CC8"/>
    <w:rsid w:val="00712ED7"/>
    <w:rsid w:val="00712EDC"/>
    <w:rsid w:val="0071427B"/>
    <w:rsid w:val="00715A2C"/>
    <w:rsid w:val="007170B3"/>
    <w:rsid w:val="00721358"/>
    <w:rsid w:val="007219F1"/>
    <w:rsid w:val="00721B97"/>
    <w:rsid w:val="00724660"/>
    <w:rsid w:val="007260E9"/>
    <w:rsid w:val="00726BFB"/>
    <w:rsid w:val="007302AA"/>
    <w:rsid w:val="00731D7E"/>
    <w:rsid w:val="00733EDC"/>
    <w:rsid w:val="00734AB9"/>
    <w:rsid w:val="00734DC7"/>
    <w:rsid w:val="007370EA"/>
    <w:rsid w:val="007371E4"/>
    <w:rsid w:val="007406CC"/>
    <w:rsid w:val="007407D5"/>
    <w:rsid w:val="00741E22"/>
    <w:rsid w:val="007432F7"/>
    <w:rsid w:val="0074359F"/>
    <w:rsid w:val="00747079"/>
    <w:rsid w:val="0075037B"/>
    <w:rsid w:val="00750E7F"/>
    <w:rsid w:val="00751482"/>
    <w:rsid w:val="00752107"/>
    <w:rsid w:val="007521D3"/>
    <w:rsid w:val="00752B34"/>
    <w:rsid w:val="0075620E"/>
    <w:rsid w:val="00756C5E"/>
    <w:rsid w:val="00760465"/>
    <w:rsid w:val="00763085"/>
    <w:rsid w:val="00763B55"/>
    <w:rsid w:val="007640E7"/>
    <w:rsid w:val="00764114"/>
    <w:rsid w:val="00764B80"/>
    <w:rsid w:val="0076524A"/>
    <w:rsid w:val="00765FB1"/>
    <w:rsid w:val="00767175"/>
    <w:rsid w:val="00767692"/>
    <w:rsid w:val="00770C12"/>
    <w:rsid w:val="00770C53"/>
    <w:rsid w:val="00771177"/>
    <w:rsid w:val="007712BE"/>
    <w:rsid w:val="0077183B"/>
    <w:rsid w:val="007719EB"/>
    <w:rsid w:val="00773A88"/>
    <w:rsid w:val="00774367"/>
    <w:rsid w:val="00774A4E"/>
    <w:rsid w:val="00775024"/>
    <w:rsid w:val="007757E1"/>
    <w:rsid w:val="00775F1C"/>
    <w:rsid w:val="007809C6"/>
    <w:rsid w:val="00781974"/>
    <w:rsid w:val="007823B6"/>
    <w:rsid w:val="007834E8"/>
    <w:rsid w:val="00784D4B"/>
    <w:rsid w:val="007854AC"/>
    <w:rsid w:val="007856A0"/>
    <w:rsid w:val="00785784"/>
    <w:rsid w:val="007868D0"/>
    <w:rsid w:val="007875F2"/>
    <w:rsid w:val="00787E62"/>
    <w:rsid w:val="00790D4C"/>
    <w:rsid w:val="0079115D"/>
    <w:rsid w:val="00791D4F"/>
    <w:rsid w:val="00792412"/>
    <w:rsid w:val="007937A6"/>
    <w:rsid w:val="007944CC"/>
    <w:rsid w:val="00794682"/>
    <w:rsid w:val="007A0270"/>
    <w:rsid w:val="007A2575"/>
    <w:rsid w:val="007A3E4B"/>
    <w:rsid w:val="007A49DA"/>
    <w:rsid w:val="007A7206"/>
    <w:rsid w:val="007A797E"/>
    <w:rsid w:val="007B0353"/>
    <w:rsid w:val="007B06C8"/>
    <w:rsid w:val="007B1CE7"/>
    <w:rsid w:val="007B2D8A"/>
    <w:rsid w:val="007B4907"/>
    <w:rsid w:val="007B6059"/>
    <w:rsid w:val="007B626B"/>
    <w:rsid w:val="007B6A87"/>
    <w:rsid w:val="007C001B"/>
    <w:rsid w:val="007C0613"/>
    <w:rsid w:val="007C1E38"/>
    <w:rsid w:val="007C1F0E"/>
    <w:rsid w:val="007C2308"/>
    <w:rsid w:val="007C303A"/>
    <w:rsid w:val="007C390E"/>
    <w:rsid w:val="007C3BA3"/>
    <w:rsid w:val="007C3EA1"/>
    <w:rsid w:val="007C4509"/>
    <w:rsid w:val="007C4601"/>
    <w:rsid w:val="007C7312"/>
    <w:rsid w:val="007C7CDE"/>
    <w:rsid w:val="007C7F59"/>
    <w:rsid w:val="007D0D61"/>
    <w:rsid w:val="007D335C"/>
    <w:rsid w:val="007D3892"/>
    <w:rsid w:val="007D3C13"/>
    <w:rsid w:val="007D3F6E"/>
    <w:rsid w:val="007D49F3"/>
    <w:rsid w:val="007D5657"/>
    <w:rsid w:val="007D5C9E"/>
    <w:rsid w:val="007E0E39"/>
    <w:rsid w:val="007E2246"/>
    <w:rsid w:val="007E2356"/>
    <w:rsid w:val="007E2AA8"/>
    <w:rsid w:val="007E3B0C"/>
    <w:rsid w:val="007E57AC"/>
    <w:rsid w:val="007E6836"/>
    <w:rsid w:val="007E7699"/>
    <w:rsid w:val="007E7C4D"/>
    <w:rsid w:val="007F1C9B"/>
    <w:rsid w:val="007F37F3"/>
    <w:rsid w:val="007F3E95"/>
    <w:rsid w:val="007F5A2E"/>
    <w:rsid w:val="007F5B45"/>
    <w:rsid w:val="007F5DE5"/>
    <w:rsid w:val="007F733D"/>
    <w:rsid w:val="00802E33"/>
    <w:rsid w:val="008035C9"/>
    <w:rsid w:val="008050FC"/>
    <w:rsid w:val="00805359"/>
    <w:rsid w:val="0080574F"/>
    <w:rsid w:val="0080693B"/>
    <w:rsid w:val="00810ED5"/>
    <w:rsid w:val="0081299C"/>
    <w:rsid w:val="008131F4"/>
    <w:rsid w:val="00814C0C"/>
    <w:rsid w:val="00815D5E"/>
    <w:rsid w:val="0081625B"/>
    <w:rsid w:val="008223D7"/>
    <w:rsid w:val="00822414"/>
    <w:rsid w:val="00823258"/>
    <w:rsid w:val="00823DD4"/>
    <w:rsid w:val="00825A0C"/>
    <w:rsid w:val="00825ACA"/>
    <w:rsid w:val="008260DB"/>
    <w:rsid w:val="008272FC"/>
    <w:rsid w:val="00827771"/>
    <w:rsid w:val="0083145D"/>
    <w:rsid w:val="008337F5"/>
    <w:rsid w:val="008350F5"/>
    <w:rsid w:val="0083551C"/>
    <w:rsid w:val="00837234"/>
    <w:rsid w:val="00837F3C"/>
    <w:rsid w:val="00840F5B"/>
    <w:rsid w:val="00841DE8"/>
    <w:rsid w:val="0084234C"/>
    <w:rsid w:val="008426BE"/>
    <w:rsid w:val="008429E9"/>
    <w:rsid w:val="00842C15"/>
    <w:rsid w:val="0084338F"/>
    <w:rsid w:val="008456AC"/>
    <w:rsid w:val="00845B48"/>
    <w:rsid w:val="008463F3"/>
    <w:rsid w:val="008471C1"/>
    <w:rsid w:val="008474C0"/>
    <w:rsid w:val="00847FC9"/>
    <w:rsid w:val="008502DD"/>
    <w:rsid w:val="00850329"/>
    <w:rsid w:val="00850418"/>
    <w:rsid w:val="0085269F"/>
    <w:rsid w:val="00852B86"/>
    <w:rsid w:val="00854023"/>
    <w:rsid w:val="00854DC3"/>
    <w:rsid w:val="00854F7D"/>
    <w:rsid w:val="008568E3"/>
    <w:rsid w:val="00857376"/>
    <w:rsid w:val="00857AF7"/>
    <w:rsid w:val="00857D91"/>
    <w:rsid w:val="008611E9"/>
    <w:rsid w:val="008615CF"/>
    <w:rsid w:val="008647D5"/>
    <w:rsid w:val="00865101"/>
    <w:rsid w:val="008667B1"/>
    <w:rsid w:val="00872041"/>
    <w:rsid w:val="00872DA8"/>
    <w:rsid w:val="008732FF"/>
    <w:rsid w:val="0087426A"/>
    <w:rsid w:val="0087698D"/>
    <w:rsid w:val="00880A28"/>
    <w:rsid w:val="00881778"/>
    <w:rsid w:val="008849A9"/>
    <w:rsid w:val="00884ABF"/>
    <w:rsid w:val="0088509E"/>
    <w:rsid w:val="008856F6"/>
    <w:rsid w:val="008862F1"/>
    <w:rsid w:val="008874E4"/>
    <w:rsid w:val="008876D5"/>
    <w:rsid w:val="00887DF9"/>
    <w:rsid w:val="00890F04"/>
    <w:rsid w:val="008910AF"/>
    <w:rsid w:val="008914B0"/>
    <w:rsid w:val="008917ED"/>
    <w:rsid w:val="00891B9C"/>
    <w:rsid w:val="008924B3"/>
    <w:rsid w:val="00892690"/>
    <w:rsid w:val="00892C46"/>
    <w:rsid w:val="00892CA5"/>
    <w:rsid w:val="00894790"/>
    <w:rsid w:val="00894923"/>
    <w:rsid w:val="00894997"/>
    <w:rsid w:val="008949DB"/>
    <w:rsid w:val="00894BA0"/>
    <w:rsid w:val="008950B2"/>
    <w:rsid w:val="00895E0C"/>
    <w:rsid w:val="00896045"/>
    <w:rsid w:val="008A12FC"/>
    <w:rsid w:val="008A159A"/>
    <w:rsid w:val="008A15B2"/>
    <w:rsid w:val="008A2318"/>
    <w:rsid w:val="008A39B3"/>
    <w:rsid w:val="008A3F55"/>
    <w:rsid w:val="008A4BEE"/>
    <w:rsid w:val="008A72C6"/>
    <w:rsid w:val="008A77CF"/>
    <w:rsid w:val="008B040D"/>
    <w:rsid w:val="008B0B3D"/>
    <w:rsid w:val="008B265D"/>
    <w:rsid w:val="008B3E50"/>
    <w:rsid w:val="008B5DEB"/>
    <w:rsid w:val="008B6871"/>
    <w:rsid w:val="008B70F5"/>
    <w:rsid w:val="008B72AD"/>
    <w:rsid w:val="008C0623"/>
    <w:rsid w:val="008C21BD"/>
    <w:rsid w:val="008C3425"/>
    <w:rsid w:val="008C6549"/>
    <w:rsid w:val="008C718D"/>
    <w:rsid w:val="008D0855"/>
    <w:rsid w:val="008D17C2"/>
    <w:rsid w:val="008D1C13"/>
    <w:rsid w:val="008D3350"/>
    <w:rsid w:val="008D3F29"/>
    <w:rsid w:val="008D4EC2"/>
    <w:rsid w:val="008D5570"/>
    <w:rsid w:val="008D791F"/>
    <w:rsid w:val="008D7B75"/>
    <w:rsid w:val="008E0D2D"/>
    <w:rsid w:val="008E1425"/>
    <w:rsid w:val="008E18B4"/>
    <w:rsid w:val="008E3F1D"/>
    <w:rsid w:val="008E56A7"/>
    <w:rsid w:val="008E6039"/>
    <w:rsid w:val="008E722D"/>
    <w:rsid w:val="008E7F85"/>
    <w:rsid w:val="008F19ED"/>
    <w:rsid w:val="008F2468"/>
    <w:rsid w:val="008F3657"/>
    <w:rsid w:val="008F4A27"/>
    <w:rsid w:val="008F4C2A"/>
    <w:rsid w:val="008F584E"/>
    <w:rsid w:val="008F5ECD"/>
    <w:rsid w:val="008F7637"/>
    <w:rsid w:val="008F7B42"/>
    <w:rsid w:val="00900BD4"/>
    <w:rsid w:val="0090274B"/>
    <w:rsid w:val="00904453"/>
    <w:rsid w:val="00904896"/>
    <w:rsid w:val="00906B51"/>
    <w:rsid w:val="00911A02"/>
    <w:rsid w:val="0091249A"/>
    <w:rsid w:val="009126ED"/>
    <w:rsid w:val="009129DC"/>
    <w:rsid w:val="00912BD6"/>
    <w:rsid w:val="00912E63"/>
    <w:rsid w:val="00913655"/>
    <w:rsid w:val="00914F1B"/>
    <w:rsid w:val="009169EA"/>
    <w:rsid w:val="00916BA6"/>
    <w:rsid w:val="00917133"/>
    <w:rsid w:val="00920189"/>
    <w:rsid w:val="009218B4"/>
    <w:rsid w:val="009233A0"/>
    <w:rsid w:val="009240F8"/>
    <w:rsid w:val="009246EC"/>
    <w:rsid w:val="00924B91"/>
    <w:rsid w:val="00925209"/>
    <w:rsid w:val="00925492"/>
    <w:rsid w:val="00926295"/>
    <w:rsid w:val="0092694B"/>
    <w:rsid w:val="00927062"/>
    <w:rsid w:val="00927674"/>
    <w:rsid w:val="00927EA8"/>
    <w:rsid w:val="009314E3"/>
    <w:rsid w:val="00932F2C"/>
    <w:rsid w:val="00933959"/>
    <w:rsid w:val="00935BE1"/>
    <w:rsid w:val="0093638C"/>
    <w:rsid w:val="00936491"/>
    <w:rsid w:val="00942463"/>
    <w:rsid w:val="0094254D"/>
    <w:rsid w:val="00943465"/>
    <w:rsid w:val="0094455C"/>
    <w:rsid w:val="00944FC7"/>
    <w:rsid w:val="009452F3"/>
    <w:rsid w:val="00946949"/>
    <w:rsid w:val="00946CC7"/>
    <w:rsid w:val="00947003"/>
    <w:rsid w:val="0094734C"/>
    <w:rsid w:val="009501B7"/>
    <w:rsid w:val="009513D1"/>
    <w:rsid w:val="00953394"/>
    <w:rsid w:val="0095460A"/>
    <w:rsid w:val="00954ED6"/>
    <w:rsid w:val="00957D46"/>
    <w:rsid w:val="00960374"/>
    <w:rsid w:val="0096088B"/>
    <w:rsid w:val="009610A9"/>
    <w:rsid w:val="00963BA0"/>
    <w:rsid w:val="00963DC4"/>
    <w:rsid w:val="00964622"/>
    <w:rsid w:val="009648CF"/>
    <w:rsid w:val="00964A47"/>
    <w:rsid w:val="00965F36"/>
    <w:rsid w:val="00966F2A"/>
    <w:rsid w:val="0096763D"/>
    <w:rsid w:val="00967FD5"/>
    <w:rsid w:val="0097136D"/>
    <w:rsid w:val="00972E86"/>
    <w:rsid w:val="00973D91"/>
    <w:rsid w:val="009746D3"/>
    <w:rsid w:val="00976653"/>
    <w:rsid w:val="00976C0C"/>
    <w:rsid w:val="009772DA"/>
    <w:rsid w:val="0097785E"/>
    <w:rsid w:val="00977D3A"/>
    <w:rsid w:val="00977D8C"/>
    <w:rsid w:val="009806CB"/>
    <w:rsid w:val="00981533"/>
    <w:rsid w:val="0098217C"/>
    <w:rsid w:val="009829D3"/>
    <w:rsid w:val="00985A5D"/>
    <w:rsid w:val="00991A6C"/>
    <w:rsid w:val="00991DB6"/>
    <w:rsid w:val="009942A6"/>
    <w:rsid w:val="009969DC"/>
    <w:rsid w:val="009A017A"/>
    <w:rsid w:val="009A0C47"/>
    <w:rsid w:val="009A1880"/>
    <w:rsid w:val="009A26E8"/>
    <w:rsid w:val="009A31D0"/>
    <w:rsid w:val="009A5394"/>
    <w:rsid w:val="009A622B"/>
    <w:rsid w:val="009A68AB"/>
    <w:rsid w:val="009B2BAF"/>
    <w:rsid w:val="009B34D6"/>
    <w:rsid w:val="009B40CB"/>
    <w:rsid w:val="009B4DDA"/>
    <w:rsid w:val="009B57B6"/>
    <w:rsid w:val="009C008A"/>
    <w:rsid w:val="009C29D7"/>
    <w:rsid w:val="009C5202"/>
    <w:rsid w:val="009C63C6"/>
    <w:rsid w:val="009D143D"/>
    <w:rsid w:val="009D216F"/>
    <w:rsid w:val="009D2345"/>
    <w:rsid w:val="009D4DF0"/>
    <w:rsid w:val="009D577B"/>
    <w:rsid w:val="009D672C"/>
    <w:rsid w:val="009D6F09"/>
    <w:rsid w:val="009E0112"/>
    <w:rsid w:val="009E05CF"/>
    <w:rsid w:val="009E06DE"/>
    <w:rsid w:val="009E0FF5"/>
    <w:rsid w:val="009E2E6E"/>
    <w:rsid w:val="009E3899"/>
    <w:rsid w:val="009E39FC"/>
    <w:rsid w:val="009E4C36"/>
    <w:rsid w:val="009E5672"/>
    <w:rsid w:val="009E5B4F"/>
    <w:rsid w:val="009E7077"/>
    <w:rsid w:val="009F1208"/>
    <w:rsid w:val="009F2209"/>
    <w:rsid w:val="009F2710"/>
    <w:rsid w:val="009F272D"/>
    <w:rsid w:val="009F3385"/>
    <w:rsid w:val="009F5A6F"/>
    <w:rsid w:val="009F611B"/>
    <w:rsid w:val="009F69FC"/>
    <w:rsid w:val="00A004E1"/>
    <w:rsid w:val="00A010F1"/>
    <w:rsid w:val="00A022C2"/>
    <w:rsid w:val="00A032DE"/>
    <w:rsid w:val="00A033F0"/>
    <w:rsid w:val="00A039DE"/>
    <w:rsid w:val="00A04D98"/>
    <w:rsid w:val="00A0555F"/>
    <w:rsid w:val="00A07009"/>
    <w:rsid w:val="00A071D7"/>
    <w:rsid w:val="00A1223E"/>
    <w:rsid w:val="00A13F00"/>
    <w:rsid w:val="00A16AB6"/>
    <w:rsid w:val="00A17D55"/>
    <w:rsid w:val="00A17F57"/>
    <w:rsid w:val="00A20CC6"/>
    <w:rsid w:val="00A20F70"/>
    <w:rsid w:val="00A21672"/>
    <w:rsid w:val="00A21818"/>
    <w:rsid w:val="00A21A71"/>
    <w:rsid w:val="00A222A0"/>
    <w:rsid w:val="00A23660"/>
    <w:rsid w:val="00A252EF"/>
    <w:rsid w:val="00A2584D"/>
    <w:rsid w:val="00A268E2"/>
    <w:rsid w:val="00A3009B"/>
    <w:rsid w:val="00A3040E"/>
    <w:rsid w:val="00A306F1"/>
    <w:rsid w:val="00A31BD2"/>
    <w:rsid w:val="00A32D39"/>
    <w:rsid w:val="00A32F90"/>
    <w:rsid w:val="00A33CD3"/>
    <w:rsid w:val="00A34203"/>
    <w:rsid w:val="00A345BC"/>
    <w:rsid w:val="00A35151"/>
    <w:rsid w:val="00A35A1F"/>
    <w:rsid w:val="00A35F4A"/>
    <w:rsid w:val="00A35F73"/>
    <w:rsid w:val="00A361A1"/>
    <w:rsid w:val="00A36E35"/>
    <w:rsid w:val="00A378CF"/>
    <w:rsid w:val="00A401AF"/>
    <w:rsid w:val="00A423CB"/>
    <w:rsid w:val="00A42476"/>
    <w:rsid w:val="00A43110"/>
    <w:rsid w:val="00A4394E"/>
    <w:rsid w:val="00A45197"/>
    <w:rsid w:val="00A4584D"/>
    <w:rsid w:val="00A45EFC"/>
    <w:rsid w:val="00A45FC8"/>
    <w:rsid w:val="00A47BB6"/>
    <w:rsid w:val="00A47E56"/>
    <w:rsid w:val="00A506FF"/>
    <w:rsid w:val="00A51A49"/>
    <w:rsid w:val="00A52A7B"/>
    <w:rsid w:val="00A52F27"/>
    <w:rsid w:val="00A55B39"/>
    <w:rsid w:val="00A55CCF"/>
    <w:rsid w:val="00A56059"/>
    <w:rsid w:val="00A57695"/>
    <w:rsid w:val="00A5778B"/>
    <w:rsid w:val="00A577F4"/>
    <w:rsid w:val="00A60D8A"/>
    <w:rsid w:val="00A61347"/>
    <w:rsid w:val="00A61954"/>
    <w:rsid w:val="00A62656"/>
    <w:rsid w:val="00A630EC"/>
    <w:rsid w:val="00A63687"/>
    <w:rsid w:val="00A64389"/>
    <w:rsid w:val="00A6528E"/>
    <w:rsid w:val="00A65AB2"/>
    <w:rsid w:val="00A700C3"/>
    <w:rsid w:val="00A701F7"/>
    <w:rsid w:val="00A70C77"/>
    <w:rsid w:val="00A711AA"/>
    <w:rsid w:val="00A71FD3"/>
    <w:rsid w:val="00A73460"/>
    <w:rsid w:val="00A741CC"/>
    <w:rsid w:val="00A753AB"/>
    <w:rsid w:val="00A75D8B"/>
    <w:rsid w:val="00A75FE4"/>
    <w:rsid w:val="00A77427"/>
    <w:rsid w:val="00A807D2"/>
    <w:rsid w:val="00A80E23"/>
    <w:rsid w:val="00A814D2"/>
    <w:rsid w:val="00A828CE"/>
    <w:rsid w:val="00A8323C"/>
    <w:rsid w:val="00A84011"/>
    <w:rsid w:val="00A84318"/>
    <w:rsid w:val="00A87306"/>
    <w:rsid w:val="00A910EF"/>
    <w:rsid w:val="00A912FA"/>
    <w:rsid w:val="00A93719"/>
    <w:rsid w:val="00A94FCE"/>
    <w:rsid w:val="00A964EE"/>
    <w:rsid w:val="00A96DAB"/>
    <w:rsid w:val="00A97286"/>
    <w:rsid w:val="00AA1374"/>
    <w:rsid w:val="00AA3361"/>
    <w:rsid w:val="00AA3D77"/>
    <w:rsid w:val="00AA4111"/>
    <w:rsid w:val="00AA6758"/>
    <w:rsid w:val="00AA733D"/>
    <w:rsid w:val="00AA7D9F"/>
    <w:rsid w:val="00AB0106"/>
    <w:rsid w:val="00AB0DB4"/>
    <w:rsid w:val="00AB0E31"/>
    <w:rsid w:val="00AB1442"/>
    <w:rsid w:val="00AB1CD7"/>
    <w:rsid w:val="00AB2B0C"/>
    <w:rsid w:val="00AB4021"/>
    <w:rsid w:val="00AB5990"/>
    <w:rsid w:val="00AB71C9"/>
    <w:rsid w:val="00AB7617"/>
    <w:rsid w:val="00AB7AA4"/>
    <w:rsid w:val="00AC0A34"/>
    <w:rsid w:val="00AC0F24"/>
    <w:rsid w:val="00AC108E"/>
    <w:rsid w:val="00AC5C20"/>
    <w:rsid w:val="00AC6CCF"/>
    <w:rsid w:val="00AC6DF0"/>
    <w:rsid w:val="00AC7EDB"/>
    <w:rsid w:val="00AD1E44"/>
    <w:rsid w:val="00AD230E"/>
    <w:rsid w:val="00AD25E8"/>
    <w:rsid w:val="00AD2E93"/>
    <w:rsid w:val="00AD354B"/>
    <w:rsid w:val="00AD4745"/>
    <w:rsid w:val="00AD4976"/>
    <w:rsid w:val="00AD51EB"/>
    <w:rsid w:val="00AD57EB"/>
    <w:rsid w:val="00AD5B35"/>
    <w:rsid w:val="00AD5B75"/>
    <w:rsid w:val="00AE0E36"/>
    <w:rsid w:val="00AE18A2"/>
    <w:rsid w:val="00AE1F04"/>
    <w:rsid w:val="00AE2062"/>
    <w:rsid w:val="00AE33D6"/>
    <w:rsid w:val="00AE3403"/>
    <w:rsid w:val="00AE40E6"/>
    <w:rsid w:val="00AE4845"/>
    <w:rsid w:val="00AE6F34"/>
    <w:rsid w:val="00AE7252"/>
    <w:rsid w:val="00AF0FD3"/>
    <w:rsid w:val="00AF3A07"/>
    <w:rsid w:val="00AF4B68"/>
    <w:rsid w:val="00AF4B8E"/>
    <w:rsid w:val="00AF50A7"/>
    <w:rsid w:val="00AF5437"/>
    <w:rsid w:val="00AF55C9"/>
    <w:rsid w:val="00AF5C42"/>
    <w:rsid w:val="00AF7507"/>
    <w:rsid w:val="00AF7A0D"/>
    <w:rsid w:val="00B0053D"/>
    <w:rsid w:val="00B00A4F"/>
    <w:rsid w:val="00B01D6B"/>
    <w:rsid w:val="00B02A70"/>
    <w:rsid w:val="00B042B6"/>
    <w:rsid w:val="00B045AA"/>
    <w:rsid w:val="00B06A9D"/>
    <w:rsid w:val="00B115A7"/>
    <w:rsid w:val="00B11706"/>
    <w:rsid w:val="00B13503"/>
    <w:rsid w:val="00B1560D"/>
    <w:rsid w:val="00B15CA4"/>
    <w:rsid w:val="00B165CF"/>
    <w:rsid w:val="00B20968"/>
    <w:rsid w:val="00B21A51"/>
    <w:rsid w:val="00B22541"/>
    <w:rsid w:val="00B233C5"/>
    <w:rsid w:val="00B24339"/>
    <w:rsid w:val="00B24611"/>
    <w:rsid w:val="00B253EA"/>
    <w:rsid w:val="00B275B4"/>
    <w:rsid w:val="00B27A7A"/>
    <w:rsid w:val="00B27B5A"/>
    <w:rsid w:val="00B27E58"/>
    <w:rsid w:val="00B305E2"/>
    <w:rsid w:val="00B3082E"/>
    <w:rsid w:val="00B31E7A"/>
    <w:rsid w:val="00B32974"/>
    <w:rsid w:val="00B34142"/>
    <w:rsid w:val="00B347B1"/>
    <w:rsid w:val="00B3480D"/>
    <w:rsid w:val="00B35276"/>
    <w:rsid w:val="00B36C0F"/>
    <w:rsid w:val="00B402E9"/>
    <w:rsid w:val="00B406EB"/>
    <w:rsid w:val="00B4429D"/>
    <w:rsid w:val="00B459E6"/>
    <w:rsid w:val="00B475E6"/>
    <w:rsid w:val="00B47A8F"/>
    <w:rsid w:val="00B47DCD"/>
    <w:rsid w:val="00B50185"/>
    <w:rsid w:val="00B5101F"/>
    <w:rsid w:val="00B5157A"/>
    <w:rsid w:val="00B52B43"/>
    <w:rsid w:val="00B52C8F"/>
    <w:rsid w:val="00B54473"/>
    <w:rsid w:val="00B551AA"/>
    <w:rsid w:val="00B561A9"/>
    <w:rsid w:val="00B57960"/>
    <w:rsid w:val="00B6163C"/>
    <w:rsid w:val="00B62429"/>
    <w:rsid w:val="00B63883"/>
    <w:rsid w:val="00B64282"/>
    <w:rsid w:val="00B64486"/>
    <w:rsid w:val="00B64DF9"/>
    <w:rsid w:val="00B65AAD"/>
    <w:rsid w:val="00B67DB6"/>
    <w:rsid w:val="00B703F7"/>
    <w:rsid w:val="00B710DC"/>
    <w:rsid w:val="00B71541"/>
    <w:rsid w:val="00B716BD"/>
    <w:rsid w:val="00B73F2A"/>
    <w:rsid w:val="00B74168"/>
    <w:rsid w:val="00B76406"/>
    <w:rsid w:val="00B767A4"/>
    <w:rsid w:val="00B76D41"/>
    <w:rsid w:val="00B77F59"/>
    <w:rsid w:val="00B803CE"/>
    <w:rsid w:val="00B8080F"/>
    <w:rsid w:val="00B8287A"/>
    <w:rsid w:val="00B82AC2"/>
    <w:rsid w:val="00B845A4"/>
    <w:rsid w:val="00B84752"/>
    <w:rsid w:val="00B85C59"/>
    <w:rsid w:val="00B85CEF"/>
    <w:rsid w:val="00B86F60"/>
    <w:rsid w:val="00B87E7E"/>
    <w:rsid w:val="00B90401"/>
    <w:rsid w:val="00B9051A"/>
    <w:rsid w:val="00B92A5D"/>
    <w:rsid w:val="00B93BB3"/>
    <w:rsid w:val="00B93CC6"/>
    <w:rsid w:val="00B952AD"/>
    <w:rsid w:val="00B96E9F"/>
    <w:rsid w:val="00B97E2F"/>
    <w:rsid w:val="00BA107E"/>
    <w:rsid w:val="00BA135D"/>
    <w:rsid w:val="00BA2D79"/>
    <w:rsid w:val="00BA3304"/>
    <w:rsid w:val="00BA3DDC"/>
    <w:rsid w:val="00BA5687"/>
    <w:rsid w:val="00BA6374"/>
    <w:rsid w:val="00BA67C9"/>
    <w:rsid w:val="00BA6A5F"/>
    <w:rsid w:val="00BA6CBE"/>
    <w:rsid w:val="00BA7BDE"/>
    <w:rsid w:val="00BB0E07"/>
    <w:rsid w:val="00BB22D9"/>
    <w:rsid w:val="00BB2614"/>
    <w:rsid w:val="00BB2F07"/>
    <w:rsid w:val="00BB3AAC"/>
    <w:rsid w:val="00BB3D7A"/>
    <w:rsid w:val="00BB3F4B"/>
    <w:rsid w:val="00BB4CEC"/>
    <w:rsid w:val="00BC04C3"/>
    <w:rsid w:val="00BC05FD"/>
    <w:rsid w:val="00BC111C"/>
    <w:rsid w:val="00BC1327"/>
    <w:rsid w:val="00BC13A4"/>
    <w:rsid w:val="00BC184F"/>
    <w:rsid w:val="00BC1E10"/>
    <w:rsid w:val="00BC1F1F"/>
    <w:rsid w:val="00BC33F1"/>
    <w:rsid w:val="00BC3815"/>
    <w:rsid w:val="00BD2148"/>
    <w:rsid w:val="00BD255D"/>
    <w:rsid w:val="00BD3513"/>
    <w:rsid w:val="00BD36C7"/>
    <w:rsid w:val="00BD4458"/>
    <w:rsid w:val="00BD5093"/>
    <w:rsid w:val="00BD5B7E"/>
    <w:rsid w:val="00BE029A"/>
    <w:rsid w:val="00BE0E3F"/>
    <w:rsid w:val="00BE1288"/>
    <w:rsid w:val="00BE1F29"/>
    <w:rsid w:val="00BE2524"/>
    <w:rsid w:val="00BE36AD"/>
    <w:rsid w:val="00BE456A"/>
    <w:rsid w:val="00BE4CCD"/>
    <w:rsid w:val="00BE4F1A"/>
    <w:rsid w:val="00BE56FE"/>
    <w:rsid w:val="00BE6467"/>
    <w:rsid w:val="00BE6DBC"/>
    <w:rsid w:val="00BE7AFC"/>
    <w:rsid w:val="00BF0AA8"/>
    <w:rsid w:val="00BF0B11"/>
    <w:rsid w:val="00BF3C24"/>
    <w:rsid w:val="00BF4AEA"/>
    <w:rsid w:val="00BF5051"/>
    <w:rsid w:val="00C01824"/>
    <w:rsid w:val="00C0412F"/>
    <w:rsid w:val="00C0470D"/>
    <w:rsid w:val="00C0539D"/>
    <w:rsid w:val="00C06BA5"/>
    <w:rsid w:val="00C10A71"/>
    <w:rsid w:val="00C14924"/>
    <w:rsid w:val="00C14B44"/>
    <w:rsid w:val="00C158F6"/>
    <w:rsid w:val="00C178D9"/>
    <w:rsid w:val="00C178EF"/>
    <w:rsid w:val="00C21154"/>
    <w:rsid w:val="00C21BF0"/>
    <w:rsid w:val="00C21D04"/>
    <w:rsid w:val="00C22EB7"/>
    <w:rsid w:val="00C23846"/>
    <w:rsid w:val="00C2548E"/>
    <w:rsid w:val="00C268EF"/>
    <w:rsid w:val="00C27422"/>
    <w:rsid w:val="00C32621"/>
    <w:rsid w:val="00C32C55"/>
    <w:rsid w:val="00C34596"/>
    <w:rsid w:val="00C34CC1"/>
    <w:rsid w:val="00C3634E"/>
    <w:rsid w:val="00C367E0"/>
    <w:rsid w:val="00C36DA8"/>
    <w:rsid w:val="00C406A0"/>
    <w:rsid w:val="00C408C7"/>
    <w:rsid w:val="00C41920"/>
    <w:rsid w:val="00C45082"/>
    <w:rsid w:val="00C45FEE"/>
    <w:rsid w:val="00C4604E"/>
    <w:rsid w:val="00C46C94"/>
    <w:rsid w:val="00C46D23"/>
    <w:rsid w:val="00C5039D"/>
    <w:rsid w:val="00C50E1E"/>
    <w:rsid w:val="00C523D9"/>
    <w:rsid w:val="00C53134"/>
    <w:rsid w:val="00C55D85"/>
    <w:rsid w:val="00C56401"/>
    <w:rsid w:val="00C56B78"/>
    <w:rsid w:val="00C57497"/>
    <w:rsid w:val="00C60C46"/>
    <w:rsid w:val="00C610FB"/>
    <w:rsid w:val="00C61138"/>
    <w:rsid w:val="00C64170"/>
    <w:rsid w:val="00C64EEF"/>
    <w:rsid w:val="00C67189"/>
    <w:rsid w:val="00C672C5"/>
    <w:rsid w:val="00C67937"/>
    <w:rsid w:val="00C7188F"/>
    <w:rsid w:val="00C718DA"/>
    <w:rsid w:val="00C72D10"/>
    <w:rsid w:val="00C72F52"/>
    <w:rsid w:val="00C73D20"/>
    <w:rsid w:val="00C7452D"/>
    <w:rsid w:val="00C745DF"/>
    <w:rsid w:val="00C74758"/>
    <w:rsid w:val="00C76FE2"/>
    <w:rsid w:val="00C77E10"/>
    <w:rsid w:val="00C80C24"/>
    <w:rsid w:val="00C81478"/>
    <w:rsid w:val="00C814D6"/>
    <w:rsid w:val="00C820D4"/>
    <w:rsid w:val="00C82589"/>
    <w:rsid w:val="00C82D0F"/>
    <w:rsid w:val="00C83764"/>
    <w:rsid w:val="00C8441B"/>
    <w:rsid w:val="00C8499C"/>
    <w:rsid w:val="00C85C65"/>
    <w:rsid w:val="00C861D4"/>
    <w:rsid w:val="00C86D1A"/>
    <w:rsid w:val="00C86F20"/>
    <w:rsid w:val="00C86F4F"/>
    <w:rsid w:val="00C8731C"/>
    <w:rsid w:val="00C91223"/>
    <w:rsid w:val="00C9291F"/>
    <w:rsid w:val="00C96622"/>
    <w:rsid w:val="00C96FCF"/>
    <w:rsid w:val="00C97B5F"/>
    <w:rsid w:val="00CA070B"/>
    <w:rsid w:val="00CA1A1F"/>
    <w:rsid w:val="00CA5252"/>
    <w:rsid w:val="00CA5F2C"/>
    <w:rsid w:val="00CA74AB"/>
    <w:rsid w:val="00CB0417"/>
    <w:rsid w:val="00CB0856"/>
    <w:rsid w:val="00CB091F"/>
    <w:rsid w:val="00CB5B19"/>
    <w:rsid w:val="00CB7582"/>
    <w:rsid w:val="00CB7BA7"/>
    <w:rsid w:val="00CB7BDA"/>
    <w:rsid w:val="00CC1083"/>
    <w:rsid w:val="00CC17EE"/>
    <w:rsid w:val="00CC2D0C"/>
    <w:rsid w:val="00CC2E77"/>
    <w:rsid w:val="00CC3A84"/>
    <w:rsid w:val="00CC5C6F"/>
    <w:rsid w:val="00CC6BAE"/>
    <w:rsid w:val="00CC7032"/>
    <w:rsid w:val="00CC7612"/>
    <w:rsid w:val="00CD0038"/>
    <w:rsid w:val="00CD2C0D"/>
    <w:rsid w:val="00CD2DB8"/>
    <w:rsid w:val="00CD31F0"/>
    <w:rsid w:val="00CD4AB8"/>
    <w:rsid w:val="00CD5552"/>
    <w:rsid w:val="00CD5A41"/>
    <w:rsid w:val="00CD6516"/>
    <w:rsid w:val="00CE1471"/>
    <w:rsid w:val="00CE16A1"/>
    <w:rsid w:val="00CE1B29"/>
    <w:rsid w:val="00CE29A1"/>
    <w:rsid w:val="00CE2C95"/>
    <w:rsid w:val="00CE2DB8"/>
    <w:rsid w:val="00CE4030"/>
    <w:rsid w:val="00CE5FE2"/>
    <w:rsid w:val="00CE7B1F"/>
    <w:rsid w:val="00CF020D"/>
    <w:rsid w:val="00CF20F8"/>
    <w:rsid w:val="00CF2B49"/>
    <w:rsid w:val="00CF327F"/>
    <w:rsid w:val="00CF3909"/>
    <w:rsid w:val="00CF5A05"/>
    <w:rsid w:val="00CF6024"/>
    <w:rsid w:val="00CF6C05"/>
    <w:rsid w:val="00CF72E3"/>
    <w:rsid w:val="00D00D9E"/>
    <w:rsid w:val="00D0112C"/>
    <w:rsid w:val="00D01A80"/>
    <w:rsid w:val="00D01AC6"/>
    <w:rsid w:val="00D01DD4"/>
    <w:rsid w:val="00D027CA"/>
    <w:rsid w:val="00D03D54"/>
    <w:rsid w:val="00D04456"/>
    <w:rsid w:val="00D05395"/>
    <w:rsid w:val="00D05442"/>
    <w:rsid w:val="00D0601F"/>
    <w:rsid w:val="00D07560"/>
    <w:rsid w:val="00D07703"/>
    <w:rsid w:val="00D10D85"/>
    <w:rsid w:val="00D11FEE"/>
    <w:rsid w:val="00D12E47"/>
    <w:rsid w:val="00D14B68"/>
    <w:rsid w:val="00D1526D"/>
    <w:rsid w:val="00D15FA7"/>
    <w:rsid w:val="00D1662B"/>
    <w:rsid w:val="00D16C47"/>
    <w:rsid w:val="00D17256"/>
    <w:rsid w:val="00D212D8"/>
    <w:rsid w:val="00D2193A"/>
    <w:rsid w:val="00D22474"/>
    <w:rsid w:val="00D2360C"/>
    <w:rsid w:val="00D26400"/>
    <w:rsid w:val="00D26D40"/>
    <w:rsid w:val="00D26F4D"/>
    <w:rsid w:val="00D2795D"/>
    <w:rsid w:val="00D27CDF"/>
    <w:rsid w:val="00D307FC"/>
    <w:rsid w:val="00D315A4"/>
    <w:rsid w:val="00D32707"/>
    <w:rsid w:val="00D32BDA"/>
    <w:rsid w:val="00D32DBC"/>
    <w:rsid w:val="00D33346"/>
    <w:rsid w:val="00D3460A"/>
    <w:rsid w:val="00D36B38"/>
    <w:rsid w:val="00D37363"/>
    <w:rsid w:val="00D377A6"/>
    <w:rsid w:val="00D41133"/>
    <w:rsid w:val="00D42AE8"/>
    <w:rsid w:val="00D46952"/>
    <w:rsid w:val="00D47B19"/>
    <w:rsid w:val="00D47C44"/>
    <w:rsid w:val="00D5012E"/>
    <w:rsid w:val="00D52AF3"/>
    <w:rsid w:val="00D53EA2"/>
    <w:rsid w:val="00D54601"/>
    <w:rsid w:val="00D549BD"/>
    <w:rsid w:val="00D54C66"/>
    <w:rsid w:val="00D60333"/>
    <w:rsid w:val="00D60B95"/>
    <w:rsid w:val="00D622AC"/>
    <w:rsid w:val="00D66243"/>
    <w:rsid w:val="00D666E2"/>
    <w:rsid w:val="00D6747F"/>
    <w:rsid w:val="00D700FD"/>
    <w:rsid w:val="00D7037E"/>
    <w:rsid w:val="00D7092F"/>
    <w:rsid w:val="00D71A1C"/>
    <w:rsid w:val="00D73488"/>
    <w:rsid w:val="00D74C8C"/>
    <w:rsid w:val="00D76CAC"/>
    <w:rsid w:val="00D76F3A"/>
    <w:rsid w:val="00D80109"/>
    <w:rsid w:val="00D8071B"/>
    <w:rsid w:val="00D80727"/>
    <w:rsid w:val="00D81702"/>
    <w:rsid w:val="00D817E4"/>
    <w:rsid w:val="00D81AC2"/>
    <w:rsid w:val="00D8421D"/>
    <w:rsid w:val="00D84A8F"/>
    <w:rsid w:val="00D84CD3"/>
    <w:rsid w:val="00D854CF"/>
    <w:rsid w:val="00D8636F"/>
    <w:rsid w:val="00D87204"/>
    <w:rsid w:val="00D879BE"/>
    <w:rsid w:val="00D879F2"/>
    <w:rsid w:val="00D90E04"/>
    <w:rsid w:val="00D91D07"/>
    <w:rsid w:val="00D93EE5"/>
    <w:rsid w:val="00D96C0F"/>
    <w:rsid w:val="00D96D39"/>
    <w:rsid w:val="00D96F02"/>
    <w:rsid w:val="00D97DAA"/>
    <w:rsid w:val="00DA03F6"/>
    <w:rsid w:val="00DA055D"/>
    <w:rsid w:val="00DA093C"/>
    <w:rsid w:val="00DA18E0"/>
    <w:rsid w:val="00DA25F1"/>
    <w:rsid w:val="00DA4169"/>
    <w:rsid w:val="00DA4C95"/>
    <w:rsid w:val="00DA7447"/>
    <w:rsid w:val="00DA7B2E"/>
    <w:rsid w:val="00DB0625"/>
    <w:rsid w:val="00DB10D1"/>
    <w:rsid w:val="00DB1BB4"/>
    <w:rsid w:val="00DB33C0"/>
    <w:rsid w:val="00DB42C1"/>
    <w:rsid w:val="00DB45E9"/>
    <w:rsid w:val="00DB6684"/>
    <w:rsid w:val="00DB70D8"/>
    <w:rsid w:val="00DC01B0"/>
    <w:rsid w:val="00DC0BDE"/>
    <w:rsid w:val="00DC140B"/>
    <w:rsid w:val="00DC1573"/>
    <w:rsid w:val="00DC30C5"/>
    <w:rsid w:val="00DC4083"/>
    <w:rsid w:val="00DC4C11"/>
    <w:rsid w:val="00DC6436"/>
    <w:rsid w:val="00DD0ABA"/>
    <w:rsid w:val="00DD150E"/>
    <w:rsid w:val="00DD1660"/>
    <w:rsid w:val="00DD1D56"/>
    <w:rsid w:val="00DD2046"/>
    <w:rsid w:val="00DD32FA"/>
    <w:rsid w:val="00DD381C"/>
    <w:rsid w:val="00DD4251"/>
    <w:rsid w:val="00DD428F"/>
    <w:rsid w:val="00DD4581"/>
    <w:rsid w:val="00DD7828"/>
    <w:rsid w:val="00DD7DF9"/>
    <w:rsid w:val="00DE0730"/>
    <w:rsid w:val="00DE1215"/>
    <w:rsid w:val="00DE1AB2"/>
    <w:rsid w:val="00DE1D82"/>
    <w:rsid w:val="00DE25A3"/>
    <w:rsid w:val="00DE27F3"/>
    <w:rsid w:val="00DE3883"/>
    <w:rsid w:val="00DE3A67"/>
    <w:rsid w:val="00DE42D2"/>
    <w:rsid w:val="00DE49EA"/>
    <w:rsid w:val="00DE4E90"/>
    <w:rsid w:val="00DE52E2"/>
    <w:rsid w:val="00DE6025"/>
    <w:rsid w:val="00DE662A"/>
    <w:rsid w:val="00DF14CC"/>
    <w:rsid w:val="00DF343B"/>
    <w:rsid w:val="00DF37EC"/>
    <w:rsid w:val="00DF391F"/>
    <w:rsid w:val="00DF5571"/>
    <w:rsid w:val="00DF5B37"/>
    <w:rsid w:val="00DF79AC"/>
    <w:rsid w:val="00E00862"/>
    <w:rsid w:val="00E00B98"/>
    <w:rsid w:val="00E02147"/>
    <w:rsid w:val="00E10213"/>
    <w:rsid w:val="00E10347"/>
    <w:rsid w:val="00E15453"/>
    <w:rsid w:val="00E155FB"/>
    <w:rsid w:val="00E15F98"/>
    <w:rsid w:val="00E20092"/>
    <w:rsid w:val="00E20D98"/>
    <w:rsid w:val="00E218AB"/>
    <w:rsid w:val="00E22A7A"/>
    <w:rsid w:val="00E23F75"/>
    <w:rsid w:val="00E268BB"/>
    <w:rsid w:val="00E305FC"/>
    <w:rsid w:val="00E30E49"/>
    <w:rsid w:val="00E314A6"/>
    <w:rsid w:val="00E31F59"/>
    <w:rsid w:val="00E33511"/>
    <w:rsid w:val="00E33CCE"/>
    <w:rsid w:val="00E33E58"/>
    <w:rsid w:val="00E345FA"/>
    <w:rsid w:val="00E35B6A"/>
    <w:rsid w:val="00E364CB"/>
    <w:rsid w:val="00E373A9"/>
    <w:rsid w:val="00E431C6"/>
    <w:rsid w:val="00E436D5"/>
    <w:rsid w:val="00E43D0E"/>
    <w:rsid w:val="00E44ADB"/>
    <w:rsid w:val="00E44B17"/>
    <w:rsid w:val="00E44BFD"/>
    <w:rsid w:val="00E45AF1"/>
    <w:rsid w:val="00E45E40"/>
    <w:rsid w:val="00E46D62"/>
    <w:rsid w:val="00E47EE1"/>
    <w:rsid w:val="00E50FB3"/>
    <w:rsid w:val="00E51E17"/>
    <w:rsid w:val="00E52334"/>
    <w:rsid w:val="00E53B0E"/>
    <w:rsid w:val="00E61B19"/>
    <w:rsid w:val="00E624AF"/>
    <w:rsid w:val="00E62912"/>
    <w:rsid w:val="00E629B4"/>
    <w:rsid w:val="00E637BD"/>
    <w:rsid w:val="00E65F73"/>
    <w:rsid w:val="00E663E5"/>
    <w:rsid w:val="00E718A3"/>
    <w:rsid w:val="00E72470"/>
    <w:rsid w:val="00E7247F"/>
    <w:rsid w:val="00E74797"/>
    <w:rsid w:val="00E74BA1"/>
    <w:rsid w:val="00E76B87"/>
    <w:rsid w:val="00E777ED"/>
    <w:rsid w:val="00E77B0D"/>
    <w:rsid w:val="00E80534"/>
    <w:rsid w:val="00E82F7A"/>
    <w:rsid w:val="00E8499C"/>
    <w:rsid w:val="00E87FA4"/>
    <w:rsid w:val="00E924F8"/>
    <w:rsid w:val="00E9256E"/>
    <w:rsid w:val="00E93760"/>
    <w:rsid w:val="00E93DF0"/>
    <w:rsid w:val="00E949B5"/>
    <w:rsid w:val="00E94A31"/>
    <w:rsid w:val="00E966E3"/>
    <w:rsid w:val="00E97323"/>
    <w:rsid w:val="00E9779F"/>
    <w:rsid w:val="00E97C59"/>
    <w:rsid w:val="00EA02C3"/>
    <w:rsid w:val="00EA03C4"/>
    <w:rsid w:val="00EA0B86"/>
    <w:rsid w:val="00EA0BE4"/>
    <w:rsid w:val="00EA16E7"/>
    <w:rsid w:val="00EA1B80"/>
    <w:rsid w:val="00EA3F9C"/>
    <w:rsid w:val="00EA5F8E"/>
    <w:rsid w:val="00EA75CB"/>
    <w:rsid w:val="00EB02B4"/>
    <w:rsid w:val="00EB02CA"/>
    <w:rsid w:val="00EB1001"/>
    <w:rsid w:val="00EB12EE"/>
    <w:rsid w:val="00EB1E07"/>
    <w:rsid w:val="00EB2BEC"/>
    <w:rsid w:val="00EB2C84"/>
    <w:rsid w:val="00EB309A"/>
    <w:rsid w:val="00EB5278"/>
    <w:rsid w:val="00EB5F44"/>
    <w:rsid w:val="00EB6476"/>
    <w:rsid w:val="00EB7364"/>
    <w:rsid w:val="00EC1209"/>
    <w:rsid w:val="00EC12C3"/>
    <w:rsid w:val="00EC1EEA"/>
    <w:rsid w:val="00EC3DFC"/>
    <w:rsid w:val="00EC593A"/>
    <w:rsid w:val="00EC778E"/>
    <w:rsid w:val="00ED0671"/>
    <w:rsid w:val="00ED07C0"/>
    <w:rsid w:val="00ED3757"/>
    <w:rsid w:val="00ED39B2"/>
    <w:rsid w:val="00ED63B2"/>
    <w:rsid w:val="00ED6923"/>
    <w:rsid w:val="00ED7117"/>
    <w:rsid w:val="00EE02C2"/>
    <w:rsid w:val="00EE19E1"/>
    <w:rsid w:val="00EE5DC1"/>
    <w:rsid w:val="00EE5EE8"/>
    <w:rsid w:val="00EE601E"/>
    <w:rsid w:val="00EE7C2A"/>
    <w:rsid w:val="00EF13FF"/>
    <w:rsid w:val="00EF1AE0"/>
    <w:rsid w:val="00EF3D0A"/>
    <w:rsid w:val="00EF543A"/>
    <w:rsid w:val="00EF7B4E"/>
    <w:rsid w:val="00EF7F12"/>
    <w:rsid w:val="00F02728"/>
    <w:rsid w:val="00F0352E"/>
    <w:rsid w:val="00F04F2C"/>
    <w:rsid w:val="00F05608"/>
    <w:rsid w:val="00F057CF"/>
    <w:rsid w:val="00F068B2"/>
    <w:rsid w:val="00F0777C"/>
    <w:rsid w:val="00F10266"/>
    <w:rsid w:val="00F10E15"/>
    <w:rsid w:val="00F115F2"/>
    <w:rsid w:val="00F11A89"/>
    <w:rsid w:val="00F12B18"/>
    <w:rsid w:val="00F12E1C"/>
    <w:rsid w:val="00F165EC"/>
    <w:rsid w:val="00F168E2"/>
    <w:rsid w:val="00F17007"/>
    <w:rsid w:val="00F179C9"/>
    <w:rsid w:val="00F17CF8"/>
    <w:rsid w:val="00F236C9"/>
    <w:rsid w:val="00F24654"/>
    <w:rsid w:val="00F24D85"/>
    <w:rsid w:val="00F256DD"/>
    <w:rsid w:val="00F2714E"/>
    <w:rsid w:val="00F3307E"/>
    <w:rsid w:val="00F36098"/>
    <w:rsid w:val="00F366D6"/>
    <w:rsid w:val="00F367FE"/>
    <w:rsid w:val="00F37AC2"/>
    <w:rsid w:val="00F415E2"/>
    <w:rsid w:val="00F4319C"/>
    <w:rsid w:val="00F4427C"/>
    <w:rsid w:val="00F45D0B"/>
    <w:rsid w:val="00F47AAB"/>
    <w:rsid w:val="00F47B2B"/>
    <w:rsid w:val="00F5017C"/>
    <w:rsid w:val="00F50934"/>
    <w:rsid w:val="00F51A52"/>
    <w:rsid w:val="00F530CB"/>
    <w:rsid w:val="00F53502"/>
    <w:rsid w:val="00F53D9B"/>
    <w:rsid w:val="00F53E68"/>
    <w:rsid w:val="00F552DD"/>
    <w:rsid w:val="00F55350"/>
    <w:rsid w:val="00F55BC2"/>
    <w:rsid w:val="00F56B7F"/>
    <w:rsid w:val="00F5718D"/>
    <w:rsid w:val="00F5779C"/>
    <w:rsid w:val="00F57A05"/>
    <w:rsid w:val="00F57F11"/>
    <w:rsid w:val="00F60B28"/>
    <w:rsid w:val="00F60F48"/>
    <w:rsid w:val="00F6102E"/>
    <w:rsid w:val="00F61C15"/>
    <w:rsid w:val="00F62BB0"/>
    <w:rsid w:val="00F63346"/>
    <w:rsid w:val="00F64232"/>
    <w:rsid w:val="00F642E3"/>
    <w:rsid w:val="00F657B4"/>
    <w:rsid w:val="00F66282"/>
    <w:rsid w:val="00F66EDE"/>
    <w:rsid w:val="00F6732E"/>
    <w:rsid w:val="00F67736"/>
    <w:rsid w:val="00F70980"/>
    <w:rsid w:val="00F717AE"/>
    <w:rsid w:val="00F727FF"/>
    <w:rsid w:val="00F736D5"/>
    <w:rsid w:val="00F740A9"/>
    <w:rsid w:val="00F743AD"/>
    <w:rsid w:val="00F748D8"/>
    <w:rsid w:val="00F75076"/>
    <w:rsid w:val="00F76E99"/>
    <w:rsid w:val="00F77391"/>
    <w:rsid w:val="00F77895"/>
    <w:rsid w:val="00F77EF4"/>
    <w:rsid w:val="00F80724"/>
    <w:rsid w:val="00F84152"/>
    <w:rsid w:val="00F842AE"/>
    <w:rsid w:val="00F85FDE"/>
    <w:rsid w:val="00F87374"/>
    <w:rsid w:val="00F877B4"/>
    <w:rsid w:val="00F904F4"/>
    <w:rsid w:val="00F91282"/>
    <w:rsid w:val="00F925E2"/>
    <w:rsid w:val="00F960B5"/>
    <w:rsid w:val="00F96D83"/>
    <w:rsid w:val="00F975F1"/>
    <w:rsid w:val="00FA00BC"/>
    <w:rsid w:val="00FA0897"/>
    <w:rsid w:val="00FA317F"/>
    <w:rsid w:val="00FA431F"/>
    <w:rsid w:val="00FA49A4"/>
    <w:rsid w:val="00FA4BEF"/>
    <w:rsid w:val="00FA57A5"/>
    <w:rsid w:val="00FA7C70"/>
    <w:rsid w:val="00FB2BB2"/>
    <w:rsid w:val="00FB347F"/>
    <w:rsid w:val="00FB3705"/>
    <w:rsid w:val="00FB3973"/>
    <w:rsid w:val="00FB56E1"/>
    <w:rsid w:val="00FB7614"/>
    <w:rsid w:val="00FC0D54"/>
    <w:rsid w:val="00FC1334"/>
    <w:rsid w:val="00FC1438"/>
    <w:rsid w:val="00FC23CC"/>
    <w:rsid w:val="00FC3D59"/>
    <w:rsid w:val="00FC4D6C"/>
    <w:rsid w:val="00FC502C"/>
    <w:rsid w:val="00FC59BA"/>
    <w:rsid w:val="00FC618B"/>
    <w:rsid w:val="00FC7254"/>
    <w:rsid w:val="00FD033A"/>
    <w:rsid w:val="00FD0F17"/>
    <w:rsid w:val="00FD4A85"/>
    <w:rsid w:val="00FD5B77"/>
    <w:rsid w:val="00FD64F9"/>
    <w:rsid w:val="00FD738A"/>
    <w:rsid w:val="00FD77F7"/>
    <w:rsid w:val="00FD7A6F"/>
    <w:rsid w:val="00FE0F20"/>
    <w:rsid w:val="00FE1274"/>
    <w:rsid w:val="00FE38C0"/>
    <w:rsid w:val="00FE396E"/>
    <w:rsid w:val="00FE4244"/>
    <w:rsid w:val="00FE55CF"/>
    <w:rsid w:val="00FE5EC1"/>
    <w:rsid w:val="00FE6867"/>
    <w:rsid w:val="00FF04E6"/>
    <w:rsid w:val="00FF177D"/>
    <w:rsid w:val="00FF3096"/>
    <w:rsid w:val="00FF78E5"/>
    <w:rsid w:val="00FF7E6E"/>
    <w:rsid w:val="018424C5"/>
    <w:rsid w:val="032D4AEB"/>
    <w:rsid w:val="048D4B99"/>
    <w:rsid w:val="04944D19"/>
    <w:rsid w:val="04E94D06"/>
    <w:rsid w:val="05376B55"/>
    <w:rsid w:val="05FA5EE4"/>
    <w:rsid w:val="0AA40731"/>
    <w:rsid w:val="0CF134CB"/>
    <w:rsid w:val="0E3F694A"/>
    <w:rsid w:val="0E552CC4"/>
    <w:rsid w:val="0E6A2939"/>
    <w:rsid w:val="0E8C4557"/>
    <w:rsid w:val="0ECD459F"/>
    <w:rsid w:val="0F7C2CF7"/>
    <w:rsid w:val="0F962E46"/>
    <w:rsid w:val="108967C9"/>
    <w:rsid w:val="10E52775"/>
    <w:rsid w:val="10F02794"/>
    <w:rsid w:val="143F43D1"/>
    <w:rsid w:val="14F6035C"/>
    <w:rsid w:val="16623636"/>
    <w:rsid w:val="196F039E"/>
    <w:rsid w:val="1B073C71"/>
    <w:rsid w:val="1D241FFF"/>
    <w:rsid w:val="1F024CEE"/>
    <w:rsid w:val="21D3307D"/>
    <w:rsid w:val="234E01A9"/>
    <w:rsid w:val="23DE7B49"/>
    <w:rsid w:val="24A06EED"/>
    <w:rsid w:val="255917DB"/>
    <w:rsid w:val="25C12847"/>
    <w:rsid w:val="25DB6EBB"/>
    <w:rsid w:val="28B430AA"/>
    <w:rsid w:val="2A7428CD"/>
    <w:rsid w:val="2B053749"/>
    <w:rsid w:val="2C0D3AE9"/>
    <w:rsid w:val="2CFF5E8D"/>
    <w:rsid w:val="2DA841F8"/>
    <w:rsid w:val="2E4C7D92"/>
    <w:rsid w:val="2ED81E8B"/>
    <w:rsid w:val="2FDC0DFE"/>
    <w:rsid w:val="2FF061F9"/>
    <w:rsid w:val="30DC4C5C"/>
    <w:rsid w:val="35EB1C16"/>
    <w:rsid w:val="3628078E"/>
    <w:rsid w:val="368B6320"/>
    <w:rsid w:val="36D33298"/>
    <w:rsid w:val="37116F11"/>
    <w:rsid w:val="38A504FE"/>
    <w:rsid w:val="3A4D7261"/>
    <w:rsid w:val="3AC56A51"/>
    <w:rsid w:val="3C3C2724"/>
    <w:rsid w:val="3D75478D"/>
    <w:rsid w:val="3E17425F"/>
    <w:rsid w:val="3EFB4467"/>
    <w:rsid w:val="40F33265"/>
    <w:rsid w:val="41843665"/>
    <w:rsid w:val="4213485E"/>
    <w:rsid w:val="4497106C"/>
    <w:rsid w:val="453F0801"/>
    <w:rsid w:val="48B3438D"/>
    <w:rsid w:val="49205A4E"/>
    <w:rsid w:val="494035E4"/>
    <w:rsid w:val="4A2B030E"/>
    <w:rsid w:val="4A407EA2"/>
    <w:rsid w:val="4F8B48D6"/>
    <w:rsid w:val="50E85C65"/>
    <w:rsid w:val="550F6382"/>
    <w:rsid w:val="55B32FF8"/>
    <w:rsid w:val="5704218A"/>
    <w:rsid w:val="57085C4B"/>
    <w:rsid w:val="58B940B1"/>
    <w:rsid w:val="5AB1392F"/>
    <w:rsid w:val="5B982D93"/>
    <w:rsid w:val="5DEC1935"/>
    <w:rsid w:val="5F1C15B8"/>
    <w:rsid w:val="61653D96"/>
    <w:rsid w:val="626E3513"/>
    <w:rsid w:val="64E96255"/>
    <w:rsid w:val="672E3660"/>
    <w:rsid w:val="6BBC5784"/>
    <w:rsid w:val="6F2D2836"/>
    <w:rsid w:val="72813D6C"/>
    <w:rsid w:val="73E8713C"/>
    <w:rsid w:val="748F1466"/>
    <w:rsid w:val="74E536DF"/>
    <w:rsid w:val="757271FA"/>
    <w:rsid w:val="758C7227"/>
    <w:rsid w:val="76C5529B"/>
    <w:rsid w:val="780441A6"/>
    <w:rsid w:val="78076767"/>
    <w:rsid w:val="788A03B6"/>
    <w:rsid w:val="7ACC6A3E"/>
    <w:rsid w:val="7DBD69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qFormat="1" w:unhideWhenUsed="0"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3"/>
    <w:qFormat/>
    <w:uiPriority w:val="9"/>
    <w:pPr>
      <w:keepNext/>
      <w:keepLines/>
      <w:spacing w:before="340" w:after="330" w:line="576" w:lineRule="auto"/>
      <w:outlineLvl w:val="0"/>
    </w:pPr>
    <w:rPr>
      <w:rFonts w:eastAsia="黑体"/>
      <w:b/>
      <w:kern w:val="44"/>
      <w:sz w:val="28"/>
    </w:rPr>
  </w:style>
  <w:style w:type="paragraph" w:styleId="4">
    <w:name w:val="heading 2"/>
    <w:basedOn w:val="1"/>
    <w:next w:val="1"/>
    <w:qFormat/>
    <w:uiPriority w:val="9"/>
    <w:pPr>
      <w:keepNext/>
      <w:tabs>
        <w:tab w:val="left" w:pos="570"/>
      </w:tabs>
      <w:spacing w:line="360" w:lineRule="auto"/>
      <w:ind w:firstLine="540"/>
      <w:jc w:val="center"/>
      <w:outlineLvl w:val="1"/>
    </w:pPr>
    <w:rPr>
      <w:rFonts w:eastAsia="黑体"/>
      <w:sz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1152" w:hanging="1152"/>
      <w:outlineLvl w:val="5"/>
    </w:pPr>
    <w:rPr>
      <w:rFonts w:ascii="Arial" w:hAnsi="Arial" w:eastAsia="黑体"/>
      <w:b/>
      <w:bCs/>
      <w:sz w:val="24"/>
      <w:szCs w:val="24"/>
    </w:rPr>
  </w:style>
  <w:style w:type="paragraph" w:styleId="9">
    <w:name w:val="heading 7"/>
    <w:basedOn w:val="1"/>
    <w:next w:val="1"/>
    <w:qFormat/>
    <w:uiPriority w:val="0"/>
    <w:pPr>
      <w:keepNext/>
      <w:keepLines/>
      <w:tabs>
        <w:tab w:val="left" w:pos="1296"/>
      </w:tabs>
      <w:spacing w:before="240" w:after="64" w:line="320" w:lineRule="auto"/>
      <w:ind w:left="1296" w:hanging="1296"/>
      <w:outlineLvl w:val="6"/>
    </w:pPr>
    <w:rPr>
      <w:b/>
      <w:bCs/>
      <w:sz w:val="24"/>
      <w:szCs w:val="24"/>
    </w:rPr>
  </w:style>
  <w:style w:type="paragraph" w:styleId="10">
    <w:name w:val="heading 8"/>
    <w:basedOn w:val="1"/>
    <w:next w:val="1"/>
    <w:qFormat/>
    <w:uiPriority w:val="0"/>
    <w:pPr>
      <w:keepNext/>
      <w:keepLines/>
      <w:tabs>
        <w:tab w:val="left" w:pos="1440"/>
      </w:tabs>
      <w:spacing w:before="240" w:after="64" w:line="320" w:lineRule="auto"/>
      <w:ind w:left="1440" w:hanging="1440"/>
      <w:outlineLvl w:val="7"/>
    </w:pPr>
    <w:rPr>
      <w:rFonts w:ascii="Arial" w:hAnsi="Arial" w:eastAsia="黑体"/>
      <w:sz w:val="24"/>
      <w:szCs w:val="24"/>
    </w:rPr>
  </w:style>
  <w:style w:type="paragraph" w:styleId="11">
    <w:name w:val="heading 9"/>
    <w:basedOn w:val="1"/>
    <w:next w:val="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8"/>
    <w:qFormat/>
    <w:uiPriority w:val="0"/>
    <w:pPr>
      <w:spacing w:line="360" w:lineRule="auto"/>
    </w:pPr>
    <w:rPr>
      <w:rFonts w:ascii="Arial" w:hAnsi="Arial"/>
      <w:sz w:val="30"/>
    </w:rPr>
  </w:style>
  <w:style w:type="paragraph" w:styleId="12">
    <w:name w:val="List 3"/>
    <w:basedOn w:val="1"/>
    <w:qFormat/>
    <w:uiPriority w:val="0"/>
    <w:pPr>
      <w:ind w:left="100" w:leftChars="400" w:hanging="200" w:hangingChars="200"/>
    </w:pPr>
  </w:style>
  <w:style w:type="paragraph" w:styleId="13">
    <w:name w:val="Normal Indent"/>
    <w:basedOn w:val="1"/>
    <w:link w:val="66"/>
    <w:qFormat/>
    <w:uiPriority w:val="0"/>
    <w:pPr>
      <w:ind w:firstLine="420"/>
    </w:pPr>
  </w:style>
  <w:style w:type="paragraph" w:styleId="14">
    <w:name w:val="caption"/>
    <w:basedOn w:val="1"/>
    <w:next w:val="1"/>
    <w:qFormat/>
    <w:uiPriority w:val="0"/>
    <w:pPr>
      <w:spacing w:line="480" w:lineRule="auto"/>
    </w:pPr>
    <w:rPr>
      <w:rFonts w:ascii="华文中宋" w:hAnsi="华文中宋" w:eastAsia="华文中宋"/>
      <w:sz w:val="36"/>
    </w:rPr>
  </w:style>
  <w:style w:type="paragraph" w:styleId="15">
    <w:name w:val="List Bullet"/>
    <w:basedOn w:val="1"/>
    <w:qFormat/>
    <w:uiPriority w:val="0"/>
    <w:pPr>
      <w:numPr>
        <w:ilvl w:val="0"/>
        <w:numId w:val="1"/>
      </w:numPr>
    </w:pPr>
  </w:style>
  <w:style w:type="paragraph" w:styleId="16">
    <w:name w:val="Document Map"/>
    <w:basedOn w:val="1"/>
    <w:link w:val="71"/>
    <w:qFormat/>
    <w:uiPriority w:val="0"/>
    <w:pPr>
      <w:shd w:val="clear" w:color="auto" w:fill="000080"/>
    </w:pPr>
  </w:style>
  <w:style w:type="paragraph" w:styleId="17">
    <w:name w:val="annotation text"/>
    <w:basedOn w:val="1"/>
    <w:link w:val="97"/>
    <w:qFormat/>
    <w:uiPriority w:val="99"/>
    <w:pPr>
      <w:jc w:val="left"/>
    </w:pPr>
    <w:rPr>
      <w:szCs w:val="24"/>
    </w:rPr>
  </w:style>
  <w:style w:type="paragraph" w:styleId="18">
    <w:name w:val="Body Text 3"/>
    <w:basedOn w:val="1"/>
    <w:qFormat/>
    <w:uiPriority w:val="0"/>
    <w:pPr>
      <w:spacing w:after="120"/>
    </w:pPr>
    <w:rPr>
      <w:sz w:val="16"/>
      <w:szCs w:val="16"/>
    </w:rPr>
  </w:style>
  <w:style w:type="paragraph" w:styleId="19">
    <w:name w:val="Body Text Indent"/>
    <w:basedOn w:val="1"/>
    <w:next w:val="20"/>
    <w:qFormat/>
    <w:uiPriority w:val="0"/>
    <w:pPr>
      <w:widowControl/>
      <w:spacing w:line="609" w:lineRule="exact"/>
      <w:ind w:firstLine="640" w:firstLineChars="200"/>
    </w:pPr>
    <w:rPr>
      <w:rFonts w:hAnsi="宋体"/>
      <w:sz w:val="32"/>
    </w:rPr>
  </w:style>
  <w:style w:type="paragraph" w:styleId="20">
    <w:name w:val="Body Text Indent 3"/>
    <w:basedOn w:val="1"/>
    <w:next w:val="1"/>
    <w:qFormat/>
    <w:uiPriority w:val="0"/>
    <w:pPr>
      <w:spacing w:after="120"/>
      <w:ind w:left="420" w:leftChars="200"/>
    </w:pPr>
    <w:rPr>
      <w:sz w:val="16"/>
    </w:rPr>
  </w:style>
  <w:style w:type="paragraph" w:styleId="21">
    <w:name w:val="toc 5"/>
    <w:basedOn w:val="1"/>
    <w:next w:val="1"/>
    <w:semiHidden/>
    <w:qFormat/>
    <w:uiPriority w:val="0"/>
    <w:pPr>
      <w:ind w:left="1680" w:leftChars="800"/>
    </w:pPr>
    <w:rPr>
      <w:szCs w:val="24"/>
    </w:rPr>
  </w:style>
  <w:style w:type="paragraph" w:styleId="22">
    <w:name w:val="toc 3"/>
    <w:basedOn w:val="1"/>
    <w:next w:val="1"/>
    <w:qFormat/>
    <w:uiPriority w:val="39"/>
    <w:pPr>
      <w:tabs>
        <w:tab w:val="right" w:leader="dot" w:pos="8280"/>
      </w:tabs>
      <w:ind w:firstLine="840" w:firstLineChars="400"/>
    </w:pPr>
  </w:style>
  <w:style w:type="paragraph" w:styleId="23">
    <w:name w:val="Plain Text"/>
    <w:basedOn w:val="1"/>
    <w:link w:val="82"/>
    <w:qFormat/>
    <w:uiPriority w:val="0"/>
    <w:rPr>
      <w:rFonts w:ascii="宋体" w:hAnsi="Courier New"/>
    </w:rPr>
  </w:style>
  <w:style w:type="paragraph" w:styleId="24">
    <w:name w:val="Date"/>
    <w:basedOn w:val="1"/>
    <w:next w:val="1"/>
    <w:qFormat/>
    <w:uiPriority w:val="0"/>
    <w:rPr>
      <w:sz w:val="44"/>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4"/>
    <w:qFormat/>
    <w:uiPriority w:val="99"/>
    <w:rPr>
      <w:sz w:val="18"/>
      <w:szCs w:val="18"/>
    </w:rPr>
  </w:style>
  <w:style w:type="paragraph" w:styleId="27">
    <w:name w:val="footer"/>
    <w:basedOn w:val="1"/>
    <w:link w:val="69"/>
    <w:qFormat/>
    <w:uiPriority w:val="99"/>
    <w:pPr>
      <w:tabs>
        <w:tab w:val="center" w:pos="4153"/>
        <w:tab w:val="right" w:pos="8306"/>
      </w:tabs>
      <w:snapToGrid w:val="0"/>
      <w:jc w:val="left"/>
    </w:pPr>
    <w:rPr>
      <w:sz w:val="18"/>
    </w:rPr>
  </w:style>
  <w:style w:type="paragraph" w:styleId="28">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9">
    <w:name w:val="Signature"/>
    <w:basedOn w:val="1"/>
    <w:qFormat/>
    <w:uiPriority w:val="0"/>
    <w:pPr>
      <w:ind w:left="4320"/>
    </w:pPr>
    <w:rPr>
      <w:rFonts w:eastAsia="楷体_GB2312"/>
    </w:rPr>
  </w:style>
  <w:style w:type="paragraph" w:styleId="30">
    <w:name w:val="toc 1"/>
    <w:basedOn w:val="1"/>
    <w:next w:val="1"/>
    <w:qFormat/>
    <w:uiPriority w:val="39"/>
    <w:pPr>
      <w:tabs>
        <w:tab w:val="right" w:leader="dot" w:pos="8267"/>
        <w:tab w:val="right" w:pos="9030"/>
      </w:tabs>
      <w:spacing w:before="120" w:after="120" w:line="240" w:lineRule="atLeast"/>
      <w:jc w:val="left"/>
    </w:pPr>
    <w:rPr>
      <w:rFonts w:ascii="黑体" w:hAnsi="宋体" w:eastAsia="黑体"/>
      <w:b/>
      <w:caps/>
      <w:sz w:val="28"/>
    </w:rPr>
  </w:style>
  <w:style w:type="paragraph" w:styleId="31">
    <w:name w:val="index heading"/>
    <w:basedOn w:val="1"/>
    <w:next w:val="32"/>
    <w:semiHidden/>
    <w:qFormat/>
    <w:uiPriority w:val="0"/>
  </w:style>
  <w:style w:type="paragraph" w:styleId="32">
    <w:name w:val="index 1"/>
    <w:basedOn w:val="1"/>
    <w:next w:val="1"/>
    <w:semiHidden/>
    <w:qFormat/>
    <w:uiPriority w:val="0"/>
    <w:pPr>
      <w:ind w:left="210" w:hanging="210"/>
      <w:jc w:val="left"/>
    </w:pPr>
  </w:style>
  <w:style w:type="paragraph" w:styleId="3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34">
    <w:name w:val="List"/>
    <w:basedOn w:val="1"/>
    <w:qFormat/>
    <w:uiPriority w:val="0"/>
    <w:pPr>
      <w:ind w:left="200" w:hanging="200" w:hangingChars="200"/>
    </w:pPr>
  </w:style>
  <w:style w:type="paragraph" w:styleId="35">
    <w:name w:val="table of figures"/>
    <w:basedOn w:val="1"/>
    <w:next w:val="1"/>
    <w:semiHidden/>
    <w:qFormat/>
    <w:uiPriority w:val="0"/>
    <w:pPr>
      <w:ind w:left="200" w:leftChars="200" w:hanging="200" w:hangingChars="200"/>
    </w:pPr>
  </w:style>
  <w:style w:type="paragraph" w:styleId="36">
    <w:name w:val="toc 2"/>
    <w:basedOn w:val="1"/>
    <w:next w:val="1"/>
    <w:qFormat/>
    <w:uiPriority w:val="39"/>
    <w:pPr>
      <w:tabs>
        <w:tab w:val="left" w:pos="720"/>
        <w:tab w:val="right" w:leader="dot" w:pos="8267"/>
      </w:tabs>
      <w:spacing w:line="420" w:lineRule="exact"/>
      <w:ind w:left="2" w:leftChars="-85" w:hanging="180" w:hangingChars="75"/>
      <w:jc w:val="center"/>
    </w:pPr>
    <w:rPr>
      <w:rFonts w:ascii="华文中宋" w:hAnsi="华文中宋" w:eastAsia="华文中宋"/>
      <w:sz w:val="28"/>
    </w:rPr>
  </w:style>
  <w:style w:type="paragraph" w:styleId="37">
    <w:name w:val="Body Text 2"/>
    <w:basedOn w:val="1"/>
    <w:link w:val="54"/>
    <w:qFormat/>
    <w:uiPriority w:val="0"/>
    <w:pPr>
      <w:spacing w:after="120" w:line="480" w:lineRule="auto"/>
    </w:pPr>
  </w:style>
  <w:style w:type="paragraph" w:styleId="3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9">
    <w:name w:val="Normal (Web)"/>
    <w:basedOn w:val="1"/>
    <w:qFormat/>
    <w:uiPriority w:val="99"/>
    <w:pPr>
      <w:widowControl/>
      <w:spacing w:before="100" w:beforeAutospacing="1" w:after="100" w:afterAutospacing="1"/>
      <w:jc w:val="left"/>
    </w:pPr>
    <w:rPr>
      <w:rFonts w:hint="eastAsia" w:ascii="宋体" w:hAnsi="宋体"/>
      <w:kern w:val="0"/>
      <w:sz w:val="18"/>
    </w:rPr>
  </w:style>
  <w:style w:type="paragraph" w:styleId="40">
    <w:name w:val="Title"/>
    <w:basedOn w:val="1"/>
    <w:link w:val="89"/>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41">
    <w:name w:val="annotation subject"/>
    <w:basedOn w:val="17"/>
    <w:next w:val="17"/>
    <w:link w:val="85"/>
    <w:qFormat/>
    <w:uiPriority w:val="99"/>
    <w:pPr>
      <w:widowControl/>
    </w:pPr>
    <w:rPr>
      <w:b/>
      <w:bCs/>
    </w:rPr>
  </w:style>
  <w:style w:type="paragraph" w:styleId="42">
    <w:name w:val="Body Text First Indent"/>
    <w:basedOn w:val="2"/>
    <w:qFormat/>
    <w:uiPriority w:val="0"/>
    <w:pPr>
      <w:spacing w:after="120" w:line="240" w:lineRule="auto"/>
      <w:ind w:firstLine="420"/>
    </w:pPr>
    <w:rPr>
      <w:rFonts w:ascii="Times New Roman" w:hAnsi="Times New Roman"/>
      <w:sz w:val="21"/>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b/>
      <w:bCs/>
    </w:rPr>
  </w:style>
  <w:style w:type="character" w:styleId="47">
    <w:name w:val="page number"/>
    <w:basedOn w:val="45"/>
    <w:qFormat/>
    <w:uiPriority w:val="0"/>
  </w:style>
  <w:style w:type="character" w:styleId="48">
    <w:name w:val="FollowedHyperlink"/>
    <w:qFormat/>
    <w:uiPriority w:val="0"/>
    <w:rPr>
      <w:color w:val="333333"/>
      <w:u w:val="none"/>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paragraph" w:customStyle="1" w:styleId="5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character" w:customStyle="1" w:styleId="52">
    <w:name w:val="point_normal1"/>
    <w:qFormat/>
    <w:uiPriority w:val="0"/>
    <w:rPr>
      <w:rFonts w:hint="default" w:ascii="Arial" w:hAnsi="Arial" w:cs="Arial"/>
      <w:sz w:val="18"/>
      <w:szCs w:val="18"/>
    </w:rPr>
  </w:style>
  <w:style w:type="character" w:customStyle="1" w:styleId="53">
    <w:name w:val="wctjfont1"/>
    <w:qFormat/>
    <w:uiPriority w:val="0"/>
    <w:rPr>
      <w:sz w:val="18"/>
      <w:szCs w:val="18"/>
    </w:rPr>
  </w:style>
  <w:style w:type="character" w:customStyle="1" w:styleId="54">
    <w:name w:val="正文文本 2 字符"/>
    <w:link w:val="37"/>
    <w:qFormat/>
    <w:uiPriority w:val="0"/>
    <w:rPr>
      <w:rFonts w:eastAsia="宋体"/>
      <w:kern w:val="2"/>
      <w:sz w:val="21"/>
      <w:lang w:val="en-US" w:eastAsia="zh-CN" w:bidi="ar-SA"/>
    </w:rPr>
  </w:style>
  <w:style w:type="character" w:customStyle="1" w:styleId="55">
    <w:name w:val="标题 2 Char"/>
    <w:qFormat/>
    <w:uiPriority w:val="9"/>
    <w:rPr>
      <w:rFonts w:ascii="Arial" w:hAnsi="Arial" w:eastAsia="黑体"/>
      <w:b/>
      <w:bCs/>
      <w:kern w:val="2"/>
      <w:sz w:val="32"/>
      <w:szCs w:val="32"/>
      <w:lang w:val="en-US" w:eastAsia="zh-CN" w:bidi="ar-SA"/>
    </w:rPr>
  </w:style>
  <w:style w:type="character" w:customStyle="1" w:styleId="56">
    <w:name w:val="h4 Char"/>
    <w:qFormat/>
    <w:uiPriority w:val="0"/>
    <w:rPr>
      <w:rFonts w:ascii="Arial" w:hAnsi="Arial" w:eastAsia="黑体"/>
      <w:b/>
      <w:bCs/>
      <w:kern w:val="2"/>
      <w:sz w:val="28"/>
      <w:szCs w:val="28"/>
      <w:lang w:val="en-US" w:eastAsia="zh-CN" w:bidi="ar-SA"/>
    </w:rPr>
  </w:style>
  <w:style w:type="character" w:customStyle="1" w:styleId="57">
    <w:name w:val="Highlighted Variable"/>
    <w:qFormat/>
    <w:uiPriority w:val="0"/>
    <w:rPr>
      <w:color w:val="000000"/>
    </w:rPr>
  </w:style>
  <w:style w:type="character" w:customStyle="1" w:styleId="58">
    <w:name w:val="cr3 Char"/>
    <w:link w:val="59"/>
    <w:qFormat/>
    <w:uiPriority w:val="0"/>
    <w:rPr>
      <w:rFonts w:ascii="宋体" w:hAnsi="宋体" w:eastAsia="宋体"/>
      <w:b/>
      <w:kern w:val="2"/>
      <w:sz w:val="24"/>
      <w:lang w:val="en-US" w:eastAsia="zh-CN" w:bidi="ar-SA"/>
    </w:rPr>
  </w:style>
  <w:style w:type="paragraph" w:customStyle="1" w:styleId="59">
    <w:name w:val="cr3"/>
    <w:basedOn w:val="5"/>
    <w:next w:val="1"/>
    <w:link w:val="58"/>
    <w:qFormat/>
    <w:uiPriority w:val="0"/>
    <w:pPr>
      <w:keepLines w:val="0"/>
      <w:adjustRightInd w:val="0"/>
      <w:snapToGrid w:val="0"/>
      <w:spacing w:before="0" w:after="0" w:line="460" w:lineRule="exact"/>
      <w:ind w:left="426" w:right="-237" w:rightChars="-113"/>
      <w:outlineLvl w:val="1"/>
    </w:pPr>
    <w:rPr>
      <w:rFonts w:ascii="宋体" w:hAnsi="宋体"/>
      <w:bCs w:val="0"/>
      <w:sz w:val="24"/>
      <w:szCs w:val="20"/>
    </w:rPr>
  </w:style>
  <w:style w:type="character" w:customStyle="1" w:styleId="60">
    <w:name w:val="页眉 字符"/>
    <w:link w:val="28"/>
    <w:qFormat/>
    <w:uiPriority w:val="0"/>
    <w:rPr>
      <w:kern w:val="2"/>
      <w:sz w:val="18"/>
      <w:szCs w:val="18"/>
    </w:rPr>
  </w:style>
  <w:style w:type="character" w:customStyle="1" w:styleId="61">
    <w:name w:val="列出段落 字符"/>
    <w:qFormat/>
    <w:uiPriority w:val="0"/>
    <w:rPr>
      <w:kern w:val="2"/>
      <w:sz w:val="28"/>
      <w:szCs w:val="24"/>
    </w:rPr>
  </w:style>
  <w:style w:type="character" w:customStyle="1" w:styleId="62">
    <w:name w:val="纯文本 Char1"/>
    <w:qFormat/>
    <w:uiPriority w:val="0"/>
    <w:rPr>
      <w:rFonts w:ascii="宋体" w:hAnsi="Courier New" w:eastAsia="宋体"/>
      <w:kern w:val="2"/>
      <w:sz w:val="21"/>
      <w:lang w:val="en-US" w:eastAsia="zh-CN" w:bidi="ar-SA"/>
    </w:rPr>
  </w:style>
  <w:style w:type="character" w:customStyle="1" w:styleId="63">
    <w:name w:val="标题 1 字符"/>
    <w:link w:val="3"/>
    <w:qFormat/>
    <w:uiPriority w:val="9"/>
    <w:rPr>
      <w:rFonts w:eastAsia="黑体"/>
      <w:b/>
      <w:kern w:val="44"/>
      <w:sz w:val="28"/>
    </w:rPr>
  </w:style>
  <w:style w:type="character" w:customStyle="1" w:styleId="64">
    <w:name w:val="textt"/>
    <w:basedOn w:val="45"/>
    <w:qFormat/>
    <w:uiPriority w:val="0"/>
  </w:style>
  <w:style w:type="character" w:customStyle="1" w:styleId="65">
    <w:name w:val="edit-number skin-blue"/>
    <w:basedOn w:val="45"/>
    <w:qFormat/>
    <w:uiPriority w:val="0"/>
  </w:style>
  <w:style w:type="character" w:customStyle="1" w:styleId="66">
    <w:name w:val="正文缩进 字符"/>
    <w:link w:val="13"/>
    <w:qFormat/>
    <w:locked/>
    <w:uiPriority w:val="0"/>
    <w:rPr>
      <w:rFonts w:eastAsia="宋体"/>
      <w:kern w:val="2"/>
      <w:sz w:val="21"/>
      <w:lang w:val="en-US" w:eastAsia="zh-CN" w:bidi="ar-SA"/>
    </w:rPr>
  </w:style>
  <w:style w:type="character" w:customStyle="1" w:styleId="67">
    <w:name w:val="meuncn1"/>
    <w:qFormat/>
    <w:uiPriority w:val="0"/>
    <w:rPr>
      <w:rFonts w:hint="eastAsia" w:ascii="宋体" w:hAnsi="宋体" w:eastAsia="宋体"/>
      <w:color w:val="666666"/>
      <w:sz w:val="18"/>
      <w:szCs w:val="18"/>
      <w:u w:val="none"/>
    </w:rPr>
  </w:style>
  <w:style w:type="character" w:customStyle="1" w:styleId="68">
    <w:name w:val="unnamed21"/>
    <w:qFormat/>
    <w:uiPriority w:val="0"/>
    <w:rPr>
      <w:color w:val="CC6633"/>
      <w:u w:val="none"/>
    </w:rPr>
  </w:style>
  <w:style w:type="character" w:customStyle="1" w:styleId="69">
    <w:name w:val="页脚 字符"/>
    <w:link w:val="27"/>
    <w:qFormat/>
    <w:uiPriority w:val="99"/>
    <w:rPr>
      <w:kern w:val="2"/>
      <w:sz w:val="18"/>
    </w:rPr>
  </w:style>
  <w:style w:type="character" w:customStyle="1" w:styleId="70">
    <w:name w:val="f141"/>
    <w:qFormat/>
    <w:uiPriority w:val="0"/>
    <w:rPr>
      <w:sz w:val="21"/>
    </w:rPr>
  </w:style>
  <w:style w:type="character" w:customStyle="1" w:styleId="71">
    <w:name w:val="文档结构图 字符"/>
    <w:link w:val="16"/>
    <w:qFormat/>
    <w:uiPriority w:val="0"/>
    <w:rPr>
      <w:kern w:val="2"/>
      <w:sz w:val="21"/>
      <w:shd w:val="clear" w:color="auto" w:fill="000080"/>
    </w:rPr>
  </w:style>
  <w:style w:type="character" w:customStyle="1" w:styleId="72">
    <w:name w:val="cnfont1"/>
    <w:basedOn w:val="45"/>
    <w:qFormat/>
    <w:uiPriority w:val="0"/>
  </w:style>
  <w:style w:type="character" w:customStyle="1" w:styleId="73">
    <w:name w:val="Heading 3 - old"/>
    <w:qFormat/>
    <w:uiPriority w:val="0"/>
    <w:rPr>
      <w:sz w:val="21"/>
    </w:rPr>
  </w:style>
  <w:style w:type="character" w:customStyle="1" w:styleId="74">
    <w:name w:val="批注框文本 字符"/>
    <w:link w:val="26"/>
    <w:qFormat/>
    <w:uiPriority w:val="99"/>
    <w:rPr>
      <w:kern w:val="2"/>
      <w:sz w:val="18"/>
      <w:szCs w:val="18"/>
    </w:rPr>
  </w:style>
  <w:style w:type="character" w:customStyle="1" w:styleId="75">
    <w:name w:val="title_emph1"/>
    <w:qFormat/>
    <w:uiPriority w:val="0"/>
    <w:rPr>
      <w:rFonts w:hint="default" w:ascii="Arial" w:hAnsi="Arial" w:cs="Arial"/>
      <w:b/>
      <w:bCs/>
      <w:sz w:val="18"/>
      <w:szCs w:val="18"/>
    </w:rPr>
  </w:style>
  <w:style w:type="character" w:customStyle="1" w:styleId="76">
    <w:name w:val="正文非缩进 Char"/>
    <w:qFormat/>
    <w:locked/>
    <w:uiPriority w:val="0"/>
    <w:rPr>
      <w:rFonts w:eastAsia="宋体"/>
      <w:kern w:val="2"/>
      <w:sz w:val="21"/>
      <w:lang w:val="en-US" w:eastAsia="zh-CN" w:bidi="ar-SA"/>
    </w:rPr>
  </w:style>
  <w:style w:type="character" w:customStyle="1" w:styleId="77">
    <w:name w:val="小 Char Char Char"/>
    <w:qFormat/>
    <w:uiPriority w:val="0"/>
    <w:rPr>
      <w:rFonts w:ascii="楷体_GB2312" w:hAnsi="Courier New" w:eastAsia="楷体_GB2312"/>
      <w:kern w:val="2"/>
      <w:sz w:val="24"/>
      <w:lang w:val="en-US" w:eastAsia="zh-CN" w:bidi="ar-SA"/>
    </w:rPr>
  </w:style>
  <w:style w:type="character" w:customStyle="1" w:styleId="78">
    <w:name w:val="正文文本 字符"/>
    <w:link w:val="2"/>
    <w:qFormat/>
    <w:uiPriority w:val="0"/>
    <w:rPr>
      <w:rFonts w:ascii="Arial" w:hAnsi="Arial"/>
      <w:kern w:val="2"/>
      <w:sz w:val="30"/>
    </w:rPr>
  </w:style>
  <w:style w:type="character" w:customStyle="1" w:styleId="79">
    <w:name w:val="样式2 Char"/>
    <w:link w:val="80"/>
    <w:qFormat/>
    <w:uiPriority w:val="0"/>
    <w:rPr>
      <w:rFonts w:eastAsia="宋体"/>
      <w:kern w:val="2"/>
      <w:sz w:val="24"/>
      <w:lang w:val="en-US" w:eastAsia="zh-CN" w:bidi="ar-SA"/>
    </w:rPr>
  </w:style>
  <w:style w:type="paragraph" w:customStyle="1" w:styleId="80">
    <w:name w:val="样式2"/>
    <w:basedOn w:val="1"/>
    <w:link w:val="79"/>
    <w:qFormat/>
    <w:uiPriority w:val="0"/>
    <w:pPr>
      <w:spacing w:line="440" w:lineRule="exact"/>
      <w:ind w:firstLine="539"/>
    </w:pPr>
    <w:rPr>
      <w:sz w:val="24"/>
    </w:rPr>
  </w:style>
  <w:style w:type="character" w:customStyle="1" w:styleId="81">
    <w:name w:val="标题 Char2"/>
    <w:qFormat/>
    <w:uiPriority w:val="0"/>
    <w:rPr>
      <w:rFonts w:ascii="Arial" w:hAnsi="Arial" w:eastAsia="宋体"/>
      <w:b/>
      <w:sz w:val="36"/>
      <w:lang w:val="en-US" w:eastAsia="zh-CN" w:bidi="ar-SA"/>
    </w:rPr>
  </w:style>
  <w:style w:type="character" w:customStyle="1" w:styleId="82">
    <w:name w:val="纯文本 字符"/>
    <w:link w:val="23"/>
    <w:qFormat/>
    <w:uiPriority w:val="0"/>
    <w:rPr>
      <w:rFonts w:ascii="宋体" w:hAnsi="Courier New" w:eastAsia="宋体"/>
      <w:kern w:val="2"/>
      <w:sz w:val="21"/>
      <w:lang w:val="en-US" w:eastAsia="zh-CN" w:bidi="ar-SA"/>
    </w:rPr>
  </w:style>
  <w:style w:type="character" w:customStyle="1" w:styleId="83">
    <w:name w:val="列表段落 字符"/>
    <w:link w:val="84"/>
    <w:qFormat/>
    <w:uiPriority w:val="34"/>
    <w:rPr>
      <w:kern w:val="2"/>
      <w:sz w:val="28"/>
      <w:szCs w:val="24"/>
    </w:rPr>
  </w:style>
  <w:style w:type="paragraph" w:styleId="84">
    <w:name w:val="List Paragraph"/>
    <w:basedOn w:val="1"/>
    <w:link w:val="83"/>
    <w:qFormat/>
    <w:uiPriority w:val="34"/>
    <w:pPr>
      <w:ind w:firstLine="420" w:firstLineChars="200"/>
    </w:pPr>
    <w:rPr>
      <w:sz w:val="28"/>
      <w:szCs w:val="24"/>
    </w:rPr>
  </w:style>
  <w:style w:type="character" w:customStyle="1" w:styleId="85">
    <w:name w:val="批注主题 字符"/>
    <w:link w:val="41"/>
    <w:qFormat/>
    <w:uiPriority w:val="99"/>
    <w:rPr>
      <w:b/>
      <w:bCs/>
      <w:kern w:val="2"/>
      <w:sz w:val="21"/>
      <w:szCs w:val="24"/>
    </w:rPr>
  </w:style>
  <w:style w:type="character" w:customStyle="1" w:styleId="86">
    <w:name w:val="style2"/>
    <w:basedOn w:val="45"/>
    <w:qFormat/>
    <w:uiPriority w:val="0"/>
  </w:style>
  <w:style w:type="character" w:customStyle="1" w:styleId="87">
    <w:name w:val="t1"/>
    <w:basedOn w:val="45"/>
    <w:qFormat/>
    <w:uiPriority w:val="0"/>
  </w:style>
  <w:style w:type="character" w:customStyle="1" w:styleId="88">
    <w:name w:val="样式 小四"/>
    <w:qFormat/>
    <w:uiPriority w:val="0"/>
    <w:rPr>
      <w:rFonts w:eastAsia="仿宋_GB2312"/>
      <w:sz w:val="24"/>
    </w:rPr>
  </w:style>
  <w:style w:type="character" w:customStyle="1" w:styleId="89">
    <w:name w:val="标题 字符"/>
    <w:link w:val="40"/>
    <w:qFormat/>
    <w:uiPriority w:val="0"/>
    <w:rPr>
      <w:rFonts w:ascii="Arial" w:hAnsi="Arial"/>
      <w:b/>
      <w:sz w:val="36"/>
    </w:rPr>
  </w:style>
  <w:style w:type="character" w:customStyle="1" w:styleId="90">
    <w:name w:val="样式 正文缩进 + 首行缩进:  2 字符 Char"/>
    <w:link w:val="91"/>
    <w:qFormat/>
    <w:uiPriority w:val="0"/>
    <w:rPr>
      <w:rFonts w:eastAsia="宋体" w:cs="宋体"/>
      <w:kern w:val="2"/>
      <w:sz w:val="24"/>
      <w:lang w:val="en-US" w:eastAsia="zh-CN" w:bidi="ar-SA"/>
    </w:rPr>
  </w:style>
  <w:style w:type="paragraph" w:customStyle="1" w:styleId="91">
    <w:name w:val="样式 正文缩进 + 首行缩进:  2 字符"/>
    <w:basedOn w:val="13"/>
    <w:link w:val="90"/>
    <w:qFormat/>
    <w:uiPriority w:val="0"/>
    <w:pPr>
      <w:spacing w:line="360" w:lineRule="auto"/>
      <w:ind w:firstLine="200" w:firstLineChars="200"/>
    </w:pPr>
    <w:rPr>
      <w:rFonts w:cs="宋体"/>
      <w:sz w:val="24"/>
    </w:rPr>
  </w:style>
  <w:style w:type="character" w:customStyle="1" w:styleId="92">
    <w:name w:val="样式 样式 标题 4H4PIM 4bulletblbbh4sect 1.2.3.4Ref Heading 1rh1... + 小四 Char"/>
    <w:basedOn w:val="93"/>
    <w:link w:val="95"/>
    <w:qFormat/>
    <w:uiPriority w:val="0"/>
    <w:rPr>
      <w:rFonts w:ascii="宋体" w:hAnsi="宋体" w:eastAsia="宋体" w:cs="宋体"/>
      <w:kern w:val="2"/>
      <w:sz w:val="21"/>
      <w:lang w:val="en-US" w:eastAsia="zh-CN" w:bidi="ar-SA"/>
    </w:rPr>
  </w:style>
  <w:style w:type="character" w:customStyle="1" w:styleId="93">
    <w:name w:val="样式 标题 4H4PIM 4bulletblbbh4sect 1.2.3.4Ref Heading 1rh1... Char Char"/>
    <w:link w:val="94"/>
    <w:qFormat/>
    <w:uiPriority w:val="0"/>
    <w:rPr>
      <w:rFonts w:ascii="宋体" w:hAnsi="宋体" w:eastAsia="宋体" w:cs="宋体"/>
      <w:bCs/>
      <w:kern w:val="2"/>
      <w:sz w:val="21"/>
      <w:lang w:val="en-US" w:eastAsia="zh-CN" w:bidi="ar-SA"/>
    </w:rPr>
  </w:style>
  <w:style w:type="paragraph" w:customStyle="1" w:styleId="94">
    <w:name w:val="样式 标题 4H4PIM 4bulletblbbh4sect 1.2.3.4Ref Heading 1rh1..."/>
    <w:basedOn w:val="6"/>
    <w:link w:val="93"/>
    <w:qFormat/>
    <w:uiPriority w:val="0"/>
    <w:pPr>
      <w:keepNext w:val="0"/>
      <w:keepLines w:val="0"/>
      <w:tabs>
        <w:tab w:val="left" w:pos="864"/>
      </w:tabs>
      <w:spacing w:before="0" w:after="0" w:line="360" w:lineRule="auto"/>
      <w:ind w:left="907" w:hanging="651"/>
      <w:jc w:val="left"/>
    </w:pPr>
    <w:rPr>
      <w:rFonts w:ascii="宋体" w:hAnsi="宋体" w:eastAsia="宋体" w:cs="宋体"/>
      <w:b w:val="0"/>
      <w:sz w:val="21"/>
      <w:szCs w:val="20"/>
    </w:rPr>
  </w:style>
  <w:style w:type="paragraph" w:customStyle="1" w:styleId="95">
    <w:name w:val="样式 样式 标题 4H4PIM 4bulletblbbh4sect 1.2.3.4Ref Heading 1rh1... + 小四"/>
    <w:basedOn w:val="94"/>
    <w:link w:val="92"/>
    <w:qFormat/>
    <w:uiPriority w:val="0"/>
    <w:pPr>
      <w:tabs>
        <w:tab w:val="clear" w:pos="864"/>
      </w:tabs>
    </w:pPr>
    <w:rPr>
      <w:bCs w:val="0"/>
    </w:rPr>
  </w:style>
  <w:style w:type="character" w:customStyle="1" w:styleId="96">
    <w:name w:val="bold1"/>
    <w:qFormat/>
    <w:uiPriority w:val="0"/>
    <w:rPr>
      <w:sz w:val="32"/>
      <w:szCs w:val="18"/>
    </w:rPr>
  </w:style>
  <w:style w:type="character" w:customStyle="1" w:styleId="97">
    <w:name w:val="批注文字 字符"/>
    <w:link w:val="17"/>
    <w:qFormat/>
    <w:uiPriority w:val="99"/>
    <w:rPr>
      <w:kern w:val="2"/>
      <w:sz w:val="21"/>
      <w:szCs w:val="24"/>
    </w:rPr>
  </w:style>
  <w:style w:type="character" w:customStyle="1" w:styleId="98">
    <w:name w:val="apple-style-span"/>
    <w:qFormat/>
    <w:uiPriority w:val="0"/>
  </w:style>
  <w:style w:type="character" w:customStyle="1" w:styleId="99">
    <w:name w:val="标题 4 字符"/>
    <w:link w:val="6"/>
    <w:qFormat/>
    <w:uiPriority w:val="0"/>
    <w:rPr>
      <w:rFonts w:ascii="Arial" w:hAnsi="Arial" w:eastAsia="黑体"/>
      <w:b/>
      <w:bCs/>
      <w:kern w:val="2"/>
      <w:sz w:val="28"/>
      <w:szCs w:val="28"/>
    </w:rPr>
  </w:style>
  <w:style w:type="character" w:customStyle="1" w:styleId="100">
    <w:name w:val="Char Char17"/>
    <w:qFormat/>
    <w:uiPriority w:val="0"/>
    <w:rPr>
      <w:rFonts w:ascii="Arial" w:hAnsi="Arial" w:eastAsia="黑体"/>
      <w:b/>
      <w:bCs/>
      <w:kern w:val="2"/>
      <w:sz w:val="28"/>
      <w:szCs w:val="28"/>
      <w:lang w:val="en-US" w:eastAsia="zh-CN" w:bidi="ar-SA"/>
    </w:rPr>
  </w:style>
  <w:style w:type="paragraph" w:customStyle="1" w:styleId="101">
    <w:name w:val="hzh平齐 Char Char Char Char"/>
    <w:basedOn w:val="1"/>
    <w:qFormat/>
    <w:uiPriority w:val="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Lines="20" w:afterLines="20" w:line="288" w:lineRule="auto"/>
      <w:ind w:left="105" w:leftChars="50"/>
      <w:jc w:val="left"/>
    </w:pPr>
    <w:rPr>
      <w:rFonts w:ascii="Arial" w:hAnsi="Arial" w:cs="Arial"/>
      <w:kern w:val="0"/>
      <w:sz w:val="23"/>
      <w:szCs w:val="23"/>
      <w:lang w:val="de-DE"/>
    </w:rPr>
  </w:style>
  <w:style w:type="paragraph" w:customStyle="1" w:styleId="102">
    <w:name w:val="样式4"/>
    <w:basedOn w:val="5"/>
    <w:qFormat/>
    <w:uiPriority w:val="0"/>
    <w:pPr>
      <w:numPr>
        <w:ilvl w:val="2"/>
        <w:numId w:val="2"/>
      </w:numPr>
      <w:tabs>
        <w:tab w:val="left" w:pos="1174"/>
      </w:tabs>
      <w:adjustRightInd w:val="0"/>
      <w:spacing w:before="240" w:after="120" w:line="360" w:lineRule="auto"/>
      <w:textAlignment w:val="baseline"/>
    </w:pPr>
    <w:rPr>
      <w:rFonts w:ascii="宋体" w:hAnsi="宋体"/>
      <w:bCs w:val="0"/>
      <w:kern w:val="0"/>
      <w:sz w:val="28"/>
      <w:szCs w:val="20"/>
    </w:rPr>
  </w:style>
  <w:style w:type="paragraph" w:customStyle="1" w:styleId="103">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04">
    <w:name w:val="Char"/>
    <w:basedOn w:val="1"/>
    <w:qFormat/>
    <w:uiPriority w:val="0"/>
    <w:rPr>
      <w:rFonts w:ascii="Tahoma" w:hAnsi="Tahoma"/>
      <w:sz w:val="24"/>
    </w:rPr>
  </w:style>
  <w:style w:type="paragraph" w:customStyle="1" w:styleId="105">
    <w:name w:val="样式 标题 3H3l3CTh33rd levelLevel 3 HeadHeading 3 - oldISO2..."/>
    <w:basedOn w:val="5"/>
    <w:qFormat/>
    <w:uiPriority w:val="0"/>
    <w:pPr>
      <w:keepNext w:val="0"/>
      <w:keepLines w:val="0"/>
      <w:tabs>
        <w:tab w:val="left" w:pos="720"/>
      </w:tabs>
      <w:spacing w:before="0" w:after="0" w:line="360" w:lineRule="auto"/>
      <w:ind w:left="737" w:hanging="539"/>
    </w:pPr>
    <w:rPr>
      <w:rFonts w:ascii="宋体" w:hAnsi="宋体" w:cs="宋体"/>
      <w:bCs w:val="0"/>
      <w:sz w:val="24"/>
      <w:szCs w:val="20"/>
    </w:rPr>
  </w:style>
  <w:style w:type="paragraph" w:customStyle="1" w:styleId="10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07">
    <w:name w:val="样式5"/>
    <w:basedOn w:val="102"/>
    <w:next w:val="102"/>
    <w:qFormat/>
    <w:uiPriority w:val="0"/>
    <w:pPr>
      <w:keepNext w:val="0"/>
      <w:keepLines w:val="0"/>
      <w:numPr>
        <w:ilvl w:val="0"/>
        <w:numId w:val="0"/>
      </w:numPr>
      <w:tabs>
        <w:tab w:val="right" w:leader="dot" w:pos="9458"/>
        <w:tab w:val="clear" w:pos="1174"/>
      </w:tabs>
      <w:adjustRightInd/>
      <w:spacing w:before="120" w:line="240" w:lineRule="auto"/>
      <w:jc w:val="left"/>
      <w:textAlignment w:val="auto"/>
      <w:outlineLvl w:val="9"/>
    </w:pPr>
    <w:rPr>
      <w:rFonts w:ascii="Times New Roman" w:hAnsi="Times New Roman"/>
      <w:b w:val="0"/>
      <w:bCs/>
      <w:caps/>
      <w:kern w:val="2"/>
      <w:sz w:val="21"/>
      <w:szCs w:val="24"/>
    </w:rPr>
  </w:style>
  <w:style w:type="paragraph" w:customStyle="1" w:styleId="108">
    <w:name w:val="1"/>
    <w:basedOn w:val="1"/>
    <w:qFormat/>
    <w:uiPriority w:val="0"/>
    <w:pPr>
      <w:spacing w:afterLines="50" w:line="360" w:lineRule="auto"/>
      <w:ind w:firstLine="3243" w:firstLineChars="1080"/>
    </w:pPr>
    <w:rPr>
      <w:rFonts w:ascii="宋体" w:hAnsi="宋体"/>
      <w:b/>
      <w:sz w:val="30"/>
      <w:szCs w:val="21"/>
    </w:rPr>
  </w:style>
  <w:style w:type="paragraph" w:customStyle="1" w:styleId="109">
    <w:name w:val="样式 样式 样式 仿宋_GB2312 四号 加粗 居中 + 段后: 1 行 + 段后: 1 行"/>
    <w:basedOn w:val="1"/>
    <w:qFormat/>
    <w:uiPriority w:val="0"/>
    <w:pPr>
      <w:keepNext/>
      <w:spacing w:afterLines="50"/>
      <w:jc w:val="center"/>
    </w:pPr>
    <w:rPr>
      <w:rFonts w:ascii="仿宋_GB2312" w:eastAsia="仿宋_GB2312" w:cs="黑体"/>
      <w:b/>
      <w:bCs/>
      <w:sz w:val="28"/>
    </w:rPr>
  </w:style>
  <w:style w:type="paragraph" w:customStyle="1" w:styleId="110">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111">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12">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13">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1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15">
    <w:name w:val="表格栏头"/>
    <w:basedOn w:val="116"/>
    <w:next w:val="116"/>
    <w:qFormat/>
    <w:uiPriority w:val="0"/>
    <w:rPr>
      <w:b/>
    </w:rPr>
  </w:style>
  <w:style w:type="paragraph" w:customStyle="1" w:styleId="116">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117">
    <w:name w:val="表格文字"/>
    <w:basedOn w:val="1"/>
    <w:qFormat/>
    <w:uiPriority w:val="0"/>
    <w:pPr>
      <w:spacing w:before="25" w:after="25"/>
      <w:jc w:val="left"/>
    </w:pPr>
    <w:rPr>
      <w:bCs/>
      <w:spacing w:val="10"/>
      <w:kern w:val="0"/>
      <w:sz w:val="24"/>
    </w:rPr>
  </w:style>
  <w:style w:type="paragraph" w:customStyle="1" w:styleId="118">
    <w:name w:val="正文文字缩进项目2"/>
    <w:basedOn w:val="119"/>
    <w:qFormat/>
    <w:uiPriority w:val="0"/>
    <w:pPr>
      <w:numPr>
        <w:ilvl w:val="1"/>
      </w:numPr>
      <w:tabs>
        <w:tab w:val="left" w:pos="1560"/>
      </w:tabs>
    </w:pPr>
  </w:style>
  <w:style w:type="paragraph" w:customStyle="1" w:styleId="119">
    <w:name w:val="正文文字缩进项目"/>
    <w:basedOn w:val="19"/>
    <w:qFormat/>
    <w:uiPriority w:val="0"/>
    <w:pPr>
      <w:widowControl w:val="0"/>
      <w:numPr>
        <w:ilvl w:val="0"/>
        <w:numId w:val="4"/>
      </w:numPr>
      <w:spacing w:after="120" w:line="240" w:lineRule="auto"/>
      <w:ind w:firstLine="0" w:firstLineChars="0"/>
    </w:pPr>
    <w:rPr>
      <w:rFonts w:ascii="Tahoma" w:hAnsi="Tahoma"/>
      <w:sz w:val="22"/>
    </w:rPr>
  </w:style>
  <w:style w:type="paragraph" w:customStyle="1" w:styleId="12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2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22">
    <w:name w:val="默认段落字体 Para Char Char Char Char Char Char Char Char Char1 Char Char Char Char Char Char Char Char Char Char"/>
    <w:basedOn w:val="16"/>
    <w:qFormat/>
    <w:uiPriority w:val="0"/>
    <w:rPr>
      <w:rFonts w:ascii="Tahoma" w:hAnsi="Tahoma"/>
      <w:sz w:val="24"/>
      <w:szCs w:val="24"/>
    </w:rPr>
  </w:style>
  <w:style w:type="paragraph" w:customStyle="1" w:styleId="123">
    <w:name w:val="样式 样式 标题 2H2PIM2Heading 2 Hidden2nd levelh22Header 2l2Titr... + ..."/>
    <w:basedOn w:val="1"/>
    <w:qFormat/>
    <w:uiPriority w:val="0"/>
    <w:pPr>
      <w:keepNext/>
      <w:keepLines/>
      <w:spacing w:beforeLines="50" w:line="360" w:lineRule="auto"/>
      <w:ind w:left="840"/>
      <w:outlineLvl w:val="1"/>
    </w:pPr>
    <w:rPr>
      <w:rFonts w:ascii="宋体" w:hAnsi="宋体" w:cs="宋体"/>
      <w:b/>
      <w:bCs/>
      <w:sz w:val="28"/>
    </w:rPr>
  </w:style>
  <w:style w:type="paragraph" w:customStyle="1" w:styleId="124">
    <w:name w:val="列出段落1"/>
    <w:basedOn w:val="1"/>
    <w:qFormat/>
    <w:uiPriority w:val="0"/>
    <w:pPr>
      <w:ind w:firstLine="420" w:firstLineChars="200"/>
    </w:pPr>
    <w:rPr>
      <w:rFonts w:ascii="Calibri" w:hAnsi="Calibri" w:cs="Calibri"/>
      <w:szCs w:val="21"/>
    </w:rPr>
  </w:style>
  <w:style w:type="paragraph" w:customStyle="1" w:styleId="125">
    <w:name w:val="Table Body"/>
    <w:basedOn w:val="1"/>
    <w:qFormat/>
    <w:uiPriority w:val="0"/>
    <w:pPr>
      <w:widowControl/>
      <w:jc w:val="center"/>
    </w:pPr>
    <w:rPr>
      <w:rFonts w:ascii="Arial" w:hAnsi="Arial"/>
      <w:snapToGrid w:val="0"/>
      <w:kern w:val="0"/>
      <w:sz w:val="18"/>
    </w:rPr>
  </w:style>
  <w:style w:type="paragraph" w:customStyle="1" w:styleId="126">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2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128">
    <w:name w:val="样式3"/>
    <w:basedOn w:val="1"/>
    <w:qFormat/>
    <w:uiPriority w:val="0"/>
    <w:pPr>
      <w:widowControl/>
      <w:adjustRightInd w:val="0"/>
      <w:snapToGrid w:val="0"/>
      <w:spacing w:line="440" w:lineRule="atLeast"/>
      <w:ind w:firstLine="425"/>
    </w:pPr>
    <w:rPr>
      <w:sz w:val="24"/>
    </w:rPr>
  </w:style>
  <w:style w:type="paragraph" w:customStyle="1" w:styleId="129">
    <w:name w:val="正文内容"/>
    <w:basedOn w:val="1"/>
    <w:qFormat/>
    <w:uiPriority w:val="0"/>
    <w:rPr>
      <w:rFonts w:ascii="Arial" w:hAnsi="Arial"/>
      <w:spacing w:val="-12"/>
    </w:rPr>
  </w:style>
  <w:style w:type="paragraph" w:customStyle="1" w:styleId="130">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3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133">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34">
    <w:name w:val="TOC 标题1"/>
    <w:basedOn w:val="3"/>
    <w:next w:val="1"/>
    <w:qFormat/>
    <w:uiPriority w:val="39"/>
    <w:pPr>
      <w:widowControl/>
      <w:spacing w:before="480" w:after="0" w:line="276" w:lineRule="auto"/>
      <w:jc w:val="left"/>
      <w:outlineLvl w:val="9"/>
    </w:pPr>
    <w:rPr>
      <w:rFonts w:ascii="Cambria" w:hAnsi="Cambria" w:eastAsia="宋体"/>
      <w:bCs/>
      <w:color w:val="365F91"/>
      <w:kern w:val="0"/>
      <w:szCs w:val="28"/>
    </w:rPr>
  </w:style>
  <w:style w:type="paragraph" w:customStyle="1" w:styleId="13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3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37">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8">
    <w:name w:val="表正文"/>
    <w:basedOn w:val="1"/>
    <w:next w:val="1"/>
    <w:qFormat/>
    <w:uiPriority w:val="0"/>
  </w:style>
  <w:style w:type="paragraph" w:customStyle="1" w:styleId="139">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40">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141">
    <w:name w:val="Char Char Char Char"/>
    <w:basedOn w:val="1"/>
    <w:semiHidden/>
    <w:qFormat/>
    <w:uiPriority w:val="0"/>
    <w:pPr>
      <w:widowControl/>
      <w:spacing w:after="160" w:line="240" w:lineRule="exact"/>
      <w:jc w:val="left"/>
    </w:pPr>
    <w:rPr>
      <w:rFonts w:ascii="Verdana" w:hAnsi="Verdana"/>
      <w:kern w:val="0"/>
      <w:sz w:val="20"/>
      <w:lang w:eastAsia="en-US"/>
    </w:rPr>
  </w:style>
  <w:style w:type="paragraph" w:customStyle="1" w:styleId="142">
    <w:name w:val="l2"/>
    <w:basedOn w:val="1"/>
    <w:qFormat/>
    <w:uiPriority w:val="0"/>
    <w:pPr>
      <w:keepLines/>
      <w:widowControl/>
      <w:spacing w:beforeLines="50" w:afterLines="50" w:line="300" w:lineRule="auto"/>
    </w:pPr>
    <w:rPr>
      <w:rFonts w:ascii="Arial" w:hAnsi="Arial"/>
      <w:bCs/>
      <w:szCs w:val="24"/>
    </w:rPr>
  </w:style>
  <w:style w:type="paragraph" w:customStyle="1" w:styleId="143">
    <w:name w:val="Char Char Char Char Char Char Char"/>
    <w:basedOn w:val="16"/>
    <w:qFormat/>
    <w:uiPriority w:val="0"/>
    <w:pPr>
      <w:adjustRightInd w:val="0"/>
      <w:spacing w:line="436" w:lineRule="exact"/>
      <w:ind w:left="357"/>
      <w:jc w:val="left"/>
      <w:outlineLvl w:val="3"/>
    </w:pPr>
    <w:rPr>
      <w:rFonts w:ascii="Tahoma" w:hAnsi="Tahoma"/>
      <w:b/>
      <w:sz w:val="24"/>
      <w:szCs w:val="24"/>
    </w:rPr>
  </w:style>
  <w:style w:type="paragraph" w:customStyle="1" w:styleId="144">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145">
    <w:name w:val="版权"/>
    <w:basedOn w:val="1"/>
    <w:qFormat/>
    <w:uiPriority w:val="0"/>
    <w:pPr>
      <w:spacing w:before="312" w:after="312"/>
      <w:ind w:firstLine="480"/>
      <w:jc w:val="center"/>
      <w:outlineLvl w:val="0"/>
    </w:pPr>
    <w:rPr>
      <w:rFonts w:ascii="华文中宋" w:hAnsi="华文中宋"/>
      <w:b/>
      <w:sz w:val="24"/>
    </w:rPr>
  </w:style>
  <w:style w:type="paragraph" w:customStyle="1" w:styleId="146">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47">
    <w:name w:val="Char1"/>
    <w:basedOn w:val="1"/>
    <w:qFormat/>
    <w:uiPriority w:val="0"/>
    <w:pPr>
      <w:widowControl/>
      <w:spacing w:after="160" w:line="240" w:lineRule="exact"/>
      <w:jc w:val="left"/>
    </w:pPr>
    <w:rPr>
      <w:rFonts w:ascii="Verdana" w:hAnsi="Verdana"/>
      <w:kern w:val="0"/>
      <w:sz w:val="20"/>
      <w:lang w:eastAsia="en-US"/>
    </w:rPr>
  </w:style>
  <w:style w:type="paragraph" w:customStyle="1" w:styleId="148">
    <w:name w:val="签名 - 公司"/>
    <w:basedOn w:val="29"/>
    <w:next w:val="14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4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150">
    <w:name w:val="标题5"/>
    <w:basedOn w:val="1"/>
    <w:qFormat/>
    <w:uiPriority w:val="0"/>
    <w:pPr>
      <w:spacing w:before="120" w:after="120"/>
    </w:pPr>
    <w:rPr>
      <w:rFonts w:ascii="宋体"/>
      <w:b/>
      <w:sz w:val="28"/>
      <w:szCs w:val="24"/>
    </w:rPr>
  </w:style>
  <w:style w:type="paragraph" w:customStyle="1" w:styleId="151">
    <w:name w:val="默认段落字体 Para Char Char"/>
    <w:basedOn w:val="1"/>
    <w:qFormat/>
    <w:uiPriority w:val="0"/>
    <w:pPr>
      <w:spacing w:line="360" w:lineRule="auto"/>
      <w:ind w:firstLine="200" w:firstLineChars="200"/>
    </w:pPr>
    <w:rPr>
      <w:rFonts w:ascii="Tahoma" w:hAnsi="Tahoma"/>
      <w:sz w:val="24"/>
    </w:rPr>
  </w:style>
  <w:style w:type="paragraph" w:customStyle="1" w:styleId="152">
    <w:name w:val="表文字"/>
    <w:basedOn w:val="13"/>
    <w:qFormat/>
    <w:uiPriority w:val="0"/>
    <w:pPr>
      <w:overflowPunct w:val="0"/>
      <w:autoSpaceDE w:val="0"/>
      <w:autoSpaceDN w:val="0"/>
      <w:adjustRightInd w:val="0"/>
      <w:snapToGrid w:val="0"/>
      <w:spacing w:line="360" w:lineRule="auto"/>
      <w:ind w:firstLine="0"/>
    </w:pPr>
    <w:rPr>
      <w:rFonts w:eastAsia="幼圆"/>
      <w:kern w:val="28"/>
    </w:rPr>
  </w:style>
  <w:style w:type="paragraph" w:customStyle="1" w:styleId="153">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154">
    <w:name w:val="WPSOffice手动目录 1"/>
    <w:qFormat/>
    <w:uiPriority w:val="0"/>
    <w:rPr>
      <w:rFonts w:ascii="Times New Roman" w:hAnsi="Times New Roman" w:eastAsia="宋体" w:cs="Times New Roman"/>
      <w:lang w:val="en-US" w:eastAsia="zh-CN" w:bidi="ar-SA"/>
    </w:rPr>
  </w:style>
  <w:style w:type="paragraph" w:customStyle="1" w:styleId="155">
    <w:name w:val="样式 (西文) 宋体 (中文) 黑体 小四 居中 行距: 最小值 16 磅"/>
    <w:basedOn w:val="1"/>
    <w:qFormat/>
    <w:uiPriority w:val="0"/>
    <w:pPr>
      <w:spacing w:line="320" w:lineRule="atLeast"/>
      <w:jc w:val="center"/>
    </w:pPr>
    <w:rPr>
      <w:rFonts w:ascii="宋体" w:hAnsi="宋体" w:cs="宋体"/>
      <w:sz w:val="28"/>
    </w:rPr>
  </w:style>
  <w:style w:type="paragraph" w:customStyle="1" w:styleId="156">
    <w:name w:val="正文缩进1"/>
    <w:basedOn w:val="1"/>
    <w:qFormat/>
    <w:uiPriority w:val="0"/>
    <w:pPr>
      <w:ind w:firstLine="567"/>
    </w:pPr>
    <w:rPr>
      <w:spacing w:val="20"/>
      <w:sz w:val="24"/>
    </w:rPr>
  </w:style>
  <w:style w:type="paragraph" w:customStyle="1" w:styleId="157">
    <w:name w:val="font8"/>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8">
    <w:name w:val="样式 宋体 小四 行距: 1.5 倍行距2"/>
    <w:basedOn w:val="1"/>
    <w:qFormat/>
    <w:uiPriority w:val="0"/>
    <w:pPr>
      <w:spacing w:line="360" w:lineRule="auto"/>
      <w:ind w:firstLine="480" w:firstLineChars="200"/>
    </w:pPr>
    <w:rPr>
      <w:rFonts w:ascii="宋体" w:hAnsi="宋体" w:cs="宋体"/>
    </w:rPr>
  </w:style>
  <w:style w:type="paragraph" w:customStyle="1" w:styleId="159">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60">
    <w:name w:val="p0"/>
    <w:basedOn w:val="1"/>
    <w:qFormat/>
    <w:uiPriority w:val="0"/>
    <w:pPr>
      <w:widowControl/>
    </w:pPr>
    <w:rPr>
      <w:kern w:val="0"/>
    </w:rPr>
  </w:style>
  <w:style w:type="paragraph" w:customStyle="1" w:styleId="161">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16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3">
    <w:name w:val="文档正文"/>
    <w:basedOn w:val="1"/>
    <w:qFormat/>
    <w:uiPriority w:val="0"/>
    <w:rPr>
      <w:rFonts w:ascii="Arial" w:hAnsi="Arial"/>
      <w:sz w:val="24"/>
    </w:rPr>
  </w:style>
  <w:style w:type="paragraph" w:customStyle="1" w:styleId="164">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65">
    <w:name w:val="Table Heading"/>
    <w:basedOn w:val="1"/>
    <w:qFormat/>
    <w:uiPriority w:val="0"/>
    <w:pPr>
      <w:widowControl/>
      <w:jc w:val="center"/>
    </w:pPr>
    <w:rPr>
      <w:rFonts w:ascii="Arial" w:hAnsi="Arial"/>
      <w:b/>
      <w:kern w:val="0"/>
      <w:sz w:val="18"/>
    </w:rPr>
  </w:style>
  <w:style w:type="paragraph" w:customStyle="1" w:styleId="166">
    <w:name w:val="正文列表"/>
    <w:basedOn w:val="1"/>
    <w:qFormat/>
    <w:uiPriority w:val="0"/>
    <w:pPr>
      <w:autoSpaceDE w:val="0"/>
      <w:autoSpaceDN w:val="0"/>
      <w:adjustRightInd w:val="0"/>
      <w:jc w:val="center"/>
      <w:textAlignment w:val="baseline"/>
    </w:pPr>
    <w:rPr>
      <w:rFonts w:ascii="宋体" w:hAnsi="宋体"/>
      <w:kern w:val="0"/>
      <w:sz w:val="24"/>
    </w:rPr>
  </w:style>
  <w:style w:type="paragraph" w:customStyle="1" w:styleId="16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6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6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70">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7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7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73">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74">
    <w:name w:val="列出段落2"/>
    <w:basedOn w:val="1"/>
    <w:qFormat/>
    <w:uiPriority w:val="0"/>
    <w:pPr>
      <w:ind w:firstLine="420" w:firstLineChars="200"/>
    </w:pPr>
    <w:rPr>
      <w:sz w:val="28"/>
      <w:szCs w:val="28"/>
    </w:rPr>
  </w:style>
  <w:style w:type="paragraph" w:customStyle="1" w:styleId="175">
    <w:name w:val="cnfont"/>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176">
    <w:name w:val="Char21"/>
    <w:basedOn w:val="1"/>
    <w:qFormat/>
    <w:uiPriority w:val="0"/>
    <w:pPr>
      <w:widowControl/>
      <w:spacing w:line="360" w:lineRule="auto"/>
      <w:ind w:firstLine="420" w:firstLineChars="200"/>
    </w:pPr>
    <w:rPr>
      <w:rFonts w:ascii="Verdana" w:hAnsi="Verdana"/>
      <w:kern w:val="0"/>
      <w:lang w:eastAsia="en-US"/>
    </w:rPr>
  </w:style>
  <w:style w:type="paragraph" w:customStyle="1" w:styleId="177">
    <w:name w:val="四号　首行缩进"/>
    <w:basedOn w:val="1"/>
    <w:qFormat/>
    <w:uiPriority w:val="0"/>
    <w:pPr>
      <w:spacing w:line="360" w:lineRule="auto"/>
    </w:pPr>
    <w:rPr>
      <w:rFonts w:ascii="宋体" w:hAnsi="宋体"/>
      <w:bCs/>
      <w:szCs w:val="21"/>
    </w:rPr>
  </w:style>
  <w:style w:type="paragraph" w:customStyle="1" w:styleId="178">
    <w:name w:val="正文样式"/>
    <w:basedOn w:val="1"/>
    <w:qFormat/>
    <w:uiPriority w:val="0"/>
    <w:pPr>
      <w:tabs>
        <w:tab w:val="left" w:pos="1560"/>
      </w:tabs>
      <w:spacing w:before="163" w:after="163" w:line="300" w:lineRule="auto"/>
      <w:ind w:left="1560" w:hanging="360"/>
    </w:pPr>
    <w:rPr>
      <w:rFonts w:ascii="宋体"/>
      <w:sz w:val="24"/>
      <w:szCs w:val="24"/>
    </w:rPr>
  </w:style>
  <w:style w:type="paragraph" w:customStyle="1" w:styleId="179">
    <w:name w:val="信息标题2"/>
    <w:basedOn w:val="14"/>
    <w:next w:val="14"/>
    <w:qFormat/>
    <w:uiPriority w:val="0"/>
    <w:pPr>
      <w:spacing w:beforeLines="50" w:afterLines="50" w:line="240" w:lineRule="auto"/>
      <w:ind w:left="422" w:hanging="422" w:hangingChars="200"/>
      <w:jc w:val="left"/>
    </w:pPr>
    <w:rPr>
      <w:rFonts w:ascii="Arial Black" w:hAnsi="Arial Black" w:eastAsia="宋体"/>
      <w:b/>
      <w:bCs/>
      <w:sz w:val="30"/>
    </w:rPr>
  </w:style>
  <w:style w:type="paragraph" w:customStyle="1" w:styleId="180">
    <w:name w:val="Char2"/>
    <w:basedOn w:val="1"/>
    <w:qFormat/>
    <w:uiPriority w:val="0"/>
    <w:rPr>
      <w:rFonts w:ascii="Tahoma" w:hAnsi="Tahoma"/>
      <w:sz w:val="24"/>
    </w:rPr>
  </w:style>
  <w:style w:type="paragraph" w:customStyle="1" w:styleId="181">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82">
    <w:name w:val="规范正文"/>
    <w:basedOn w:val="1"/>
    <w:qFormat/>
    <w:uiPriority w:val="0"/>
    <w:pPr>
      <w:adjustRightInd w:val="0"/>
      <w:spacing w:line="360" w:lineRule="auto"/>
      <w:ind w:left="480"/>
      <w:textAlignment w:val="baseline"/>
    </w:pPr>
    <w:rPr>
      <w:kern w:val="0"/>
      <w:sz w:val="24"/>
      <w:szCs w:val="24"/>
    </w:rPr>
  </w:style>
  <w:style w:type="paragraph" w:customStyle="1" w:styleId="183">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8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5">
    <w:name w:val="font7"/>
    <w:basedOn w:val="1"/>
    <w:qFormat/>
    <w:uiPriority w:val="0"/>
    <w:pPr>
      <w:widowControl/>
      <w:spacing w:before="100" w:beforeAutospacing="1" w:after="100" w:afterAutospacing="1"/>
      <w:jc w:val="left"/>
    </w:pPr>
    <w:rPr>
      <w:kern w:val="0"/>
      <w:sz w:val="22"/>
      <w:szCs w:val="22"/>
    </w:rPr>
  </w:style>
  <w:style w:type="paragraph" w:customStyle="1" w:styleId="186">
    <w:name w:val="排版"/>
    <w:basedOn w:val="1"/>
    <w:next w:val="2"/>
    <w:qFormat/>
    <w:uiPriority w:val="0"/>
    <w:pPr>
      <w:spacing w:line="600" w:lineRule="exact"/>
    </w:pPr>
    <w:rPr>
      <w:rFonts w:eastAsia="华文仿宋"/>
      <w:spacing w:val="6"/>
      <w:sz w:val="32"/>
      <w:szCs w:val="24"/>
    </w:rPr>
  </w:style>
  <w:style w:type="paragraph" w:customStyle="1" w:styleId="187">
    <w:name w:val="段落正文"/>
    <w:basedOn w:val="1"/>
    <w:qFormat/>
    <w:uiPriority w:val="0"/>
    <w:pPr>
      <w:spacing w:beforeLines="50" w:line="360" w:lineRule="auto"/>
      <w:ind w:firstLine="200" w:firstLineChars="200"/>
    </w:pPr>
    <w:rPr>
      <w:spacing w:val="2"/>
      <w:sz w:val="24"/>
      <w:szCs w:val="24"/>
    </w:rPr>
  </w:style>
  <w:style w:type="paragraph" w:customStyle="1" w:styleId="188">
    <w:name w:val="_Style 5"/>
    <w:basedOn w:val="1"/>
    <w:qFormat/>
    <w:uiPriority w:val="0"/>
  </w:style>
  <w:style w:type="paragraph" w:customStyle="1" w:styleId="189">
    <w:name w:val="_Style 130"/>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0">
    <w:name w:val="Char Char 字元 字元 字元 Char Char Char Char"/>
    <w:basedOn w:val="1"/>
    <w:qFormat/>
    <w:uiPriority w:val="0"/>
    <w:pPr>
      <w:adjustRightInd w:val="0"/>
      <w:spacing w:line="360" w:lineRule="auto"/>
    </w:pPr>
    <w:rPr>
      <w:kern w:val="0"/>
      <w:sz w:val="24"/>
    </w:rPr>
  </w:style>
  <w:style w:type="paragraph" w:customStyle="1" w:styleId="191">
    <w:name w:val="样式 正文文本缩进 + 段前: 2 字符"/>
    <w:basedOn w:val="1"/>
    <w:qFormat/>
    <w:uiPriority w:val="0"/>
    <w:pPr>
      <w:ind w:left="420" w:leftChars="200"/>
      <w:jc w:val="left"/>
    </w:pPr>
    <w:rPr>
      <w:sz w:val="28"/>
      <w:szCs w:val="24"/>
      <w:lang w:eastAsia="zh-TW"/>
    </w:rPr>
  </w:style>
  <w:style w:type="paragraph" w:customStyle="1" w:styleId="192">
    <w:name w:val="题目副题"/>
    <w:basedOn w:val="33"/>
    <w:qFormat/>
    <w:uiPriority w:val="0"/>
    <w:pPr>
      <w:spacing w:before="0" w:after="312"/>
      <w:ind w:left="240" w:firstLine="600"/>
      <w:jc w:val="left"/>
      <w:outlineLvl w:val="9"/>
    </w:pPr>
    <w:rPr>
      <w:rFonts w:ascii="宋体" w:hAnsi="宋体" w:cs="Times New Roman"/>
      <w:bCs w:val="0"/>
      <w:sz w:val="30"/>
      <w:szCs w:val="20"/>
    </w:rPr>
  </w:style>
  <w:style w:type="paragraph" w:customStyle="1" w:styleId="193">
    <w:name w:val="正文_2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4">
    <w:name w:val="正文文本 + 间距 0 pt2"/>
    <w:qFormat/>
    <w:uiPriority w:val="0"/>
    <w:rPr>
      <w:rFonts w:ascii="宋体" w:hAnsi="宋体" w:eastAsia="宋体" w:cs="宋体"/>
      <w:color w:val="000000"/>
      <w:spacing w:val="0"/>
      <w:w w:val="100"/>
      <w:position w:val="0"/>
      <w:sz w:val="25"/>
      <w:szCs w:val="25"/>
      <w:u w:val="none"/>
      <w:lang w:val="zh-TW"/>
    </w:rPr>
  </w:style>
  <w:style w:type="character" w:customStyle="1" w:styleId="195">
    <w:name w:val="正文文本_"/>
    <w:link w:val="196"/>
    <w:qFormat/>
    <w:uiPriority w:val="0"/>
    <w:rPr>
      <w:rFonts w:ascii="宋体" w:hAnsi="宋体" w:cs="宋体"/>
      <w:spacing w:val="20"/>
      <w:sz w:val="25"/>
      <w:szCs w:val="25"/>
      <w:shd w:val="clear" w:color="auto" w:fill="FFFFFF"/>
    </w:rPr>
  </w:style>
  <w:style w:type="paragraph" w:customStyle="1" w:styleId="196">
    <w:name w:val="正文文本5"/>
    <w:basedOn w:val="1"/>
    <w:link w:val="195"/>
    <w:qFormat/>
    <w:uiPriority w:val="0"/>
    <w:pPr>
      <w:shd w:val="clear" w:color="auto" w:fill="FFFFFF"/>
      <w:spacing w:line="584" w:lineRule="exact"/>
      <w:jc w:val="distribute"/>
    </w:pPr>
    <w:rPr>
      <w:rFonts w:ascii="宋体" w:hAnsi="宋体" w:cs="宋体"/>
      <w:spacing w:val="20"/>
      <w:kern w:val="0"/>
      <w:sz w:val="25"/>
      <w:szCs w:val="25"/>
    </w:rPr>
  </w:style>
  <w:style w:type="character" w:customStyle="1" w:styleId="197">
    <w:name w:val="正文文本 + 间距 0 pt1"/>
    <w:qFormat/>
    <w:uiPriority w:val="0"/>
    <w:rPr>
      <w:rFonts w:ascii="宋体" w:hAnsi="宋体" w:eastAsia="宋体" w:cs="宋体"/>
      <w:color w:val="000000"/>
      <w:spacing w:val="0"/>
      <w:w w:val="100"/>
      <w:position w:val="0"/>
      <w:sz w:val="25"/>
      <w:szCs w:val="25"/>
      <w:u w:val="none"/>
      <w:lang w:val="en-US"/>
    </w:rPr>
  </w:style>
  <w:style w:type="character" w:customStyle="1" w:styleId="198">
    <w:name w:val="正文文本1"/>
    <w:qFormat/>
    <w:uiPriority w:val="0"/>
    <w:rPr>
      <w:rFonts w:ascii="宋体" w:hAnsi="宋体" w:eastAsia="宋体" w:cs="宋体"/>
      <w:color w:val="000000"/>
      <w:spacing w:val="20"/>
      <w:w w:val="100"/>
      <w:position w:val="0"/>
      <w:sz w:val="25"/>
      <w:szCs w:val="25"/>
      <w:u w:val="none"/>
      <w:lang w:val="zh-TW"/>
    </w:rPr>
  </w:style>
  <w:style w:type="character" w:customStyle="1" w:styleId="199">
    <w:name w:val="font51"/>
    <w:qFormat/>
    <w:uiPriority w:val="0"/>
    <w:rPr>
      <w:rFonts w:hint="default" w:ascii="Calibri" w:hAnsi="Calibri" w:cs="Calibri"/>
      <w:color w:val="000000"/>
      <w:sz w:val="21"/>
      <w:szCs w:val="21"/>
      <w:u w:val="none"/>
    </w:rPr>
  </w:style>
  <w:style w:type="character" w:customStyle="1" w:styleId="200">
    <w:name w:val="彩色列表 - 着色 1 Char"/>
    <w:link w:val="201"/>
    <w:qFormat/>
    <w:uiPriority w:val="0"/>
    <w:rPr>
      <w:kern w:val="2"/>
      <w:sz w:val="21"/>
    </w:rPr>
  </w:style>
  <w:style w:type="paragraph" w:customStyle="1" w:styleId="201">
    <w:name w:val="彩色列表 - 着色 11"/>
    <w:basedOn w:val="1"/>
    <w:link w:val="200"/>
    <w:qFormat/>
    <w:uiPriority w:val="0"/>
    <w:pPr>
      <w:widowControl/>
      <w:ind w:firstLine="420" w:firstLineChars="200"/>
      <w:jc w:val="left"/>
    </w:pPr>
  </w:style>
  <w:style w:type="paragraph" w:customStyle="1" w:styleId="202">
    <w:name w:val="无间隔1"/>
    <w:qFormat/>
    <w:uiPriority w:val="1"/>
    <w:pPr>
      <w:widowControl w:val="0"/>
      <w:spacing w:line="360" w:lineRule="auto"/>
      <w:jc w:val="both"/>
    </w:pPr>
    <w:rPr>
      <w:rFonts w:ascii="Times New Roman" w:hAnsi="Times New Roman" w:eastAsia="宋体" w:cs="Times New Roman"/>
      <w:sz w:val="24"/>
      <w:lang w:val="en-US" w:eastAsia="zh-CN" w:bidi="ar-SA"/>
    </w:rPr>
  </w:style>
  <w:style w:type="paragraph" w:customStyle="1" w:styleId="203">
    <w:name w:val="表格"/>
    <w:basedOn w:val="1"/>
    <w:qFormat/>
    <w:uiPriority w:val="0"/>
    <w:pPr>
      <w:spacing w:line="276" w:lineRule="auto"/>
      <w:jc w:val="center"/>
    </w:pPr>
    <w:rPr>
      <w:rFonts w:ascii="宋体" w:hAnsi="宋体" w:cstheme="minorBidi"/>
      <w:szCs w:val="22"/>
    </w:rPr>
  </w:style>
  <w:style w:type="character" w:customStyle="1" w:styleId="204">
    <w:name w:val="font61"/>
    <w:basedOn w:val="45"/>
    <w:qFormat/>
    <w:uiPriority w:val="0"/>
    <w:rPr>
      <w:rFonts w:hint="eastAsia" w:ascii="宋体" w:hAnsi="宋体" w:eastAsia="宋体" w:cs="宋体"/>
      <w:color w:val="0D0D0D"/>
      <w:sz w:val="28"/>
      <w:szCs w:val="28"/>
      <w:u w:val="none"/>
    </w:rPr>
  </w:style>
  <w:style w:type="paragraph" w:customStyle="1" w:styleId="205">
    <w:name w:val="Revision"/>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2D78C5-3629-4BEF-B72B-D766336F6657}">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16</Pages>
  <Words>11088</Words>
  <Characters>11501</Characters>
  <Lines>94</Lines>
  <Paragraphs>26</Paragraphs>
  <TotalTime>25</TotalTime>
  <ScaleCrop>false</ScaleCrop>
  <LinksUpToDate>false</LinksUpToDate>
  <CharactersWithSpaces>11521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2022-08-19T09:41:00Z</dcterms:created>
  <dc:creator>彭付江</dc:creator>
  <cp:lastModifiedBy>杨泉</cp:lastModifiedBy>
  <cp:lastPrinted>2019-04-02T01:32:00Z</cp:lastPrinted>
  <dcterms:modified xsi:type="dcterms:W3CDTF">2022-08-23T15:27:11Z</dcterms:modified>
  <dc:title>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2E02450049D54D45951063C5A9BAA4D5</vt:lpwstr>
  </property>
</Properties>
</file>