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（胎心监护仪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胎心监护仪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胎心监护仪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院内公开挂网，最低价评分，在满足所有参数的条件下，报价最低者中标，如有两个并列最低价，则由两个并列最低价投标人再次报价，直至出现最低报价为止。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胎心监护仪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7.6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监护参数：胎心率（FHR），宫缩压力（TOCO），胎动（FM）；</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多晶片1MHz超声胎心探头，超声波束声强：Iob&lt;1mW/cm2，胎心率范围： 30~240bpm 分辨率: 1bpm，精度：±2bpm；</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无凸点设计的宫缩探头，0-100相对单位，分辨率1 ，非线性误差≤±10%，归零方式：自动/手动；</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探头IPX8防水等级；</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探头可在水下1.1m工作24小时，支持水中分娩，需提供相应检测报告说明；</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宫缩压探头采用防水透气设计，不受水压和温度变化影响，确保TOCO测量的精准性，需提供相应的证明材料；</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打印纸实时记录信号质量和报警，并用图标显示，方便医护人员随时确认曲线异常情况；</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胎动：手动/自动胎动检测，显示并打印胎儿活动图；</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≥10.1英寸高清晰液晶彩屏，0-60°度内多角度翻转；</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多种监护界面，显示胎儿监护曲线及数字，支持大字体显示；</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监护曲线显示支持30 ~ 240（美标）和50 ~ 210（国际）两种标准；</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内置式152mm（或150mm）宽行打印，符合国际标准，连续准确记录胎心率、宫缩压曲线及胎儿活动曲线；</w:t>
      </w:r>
      <w:r>
        <w:rPr>
          <w:rFonts w:hint="eastAsia" w:ascii="宋体" w:hAnsi="宋体" w:eastAsia="宋体" w:cs="宋体"/>
          <w:color w:val="auto"/>
          <w:sz w:val="24"/>
          <w:szCs w:val="24"/>
          <w:lang w:val="en-US" w:eastAsia="zh-CN"/>
        </w:rPr>
        <w:t>打印纸规格：美标152*90mm。</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rPr>
        <w:t>胎心率报警范围可调，当胎心率过缓或过速时自动报警，报警内容中文显示，报警持续时间可调；</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14、</w:t>
      </w:r>
      <w:r>
        <w:rPr>
          <w:rFonts w:hint="eastAsia" w:ascii="宋体" w:hAnsi="宋体" w:eastAsia="宋体" w:cs="宋体"/>
          <w:color w:val="auto"/>
          <w:sz w:val="24"/>
          <w:szCs w:val="24"/>
        </w:rPr>
        <w:t>具有超声传感器信号质量指示功能，以得到准确和稳定的胎心参数值和曲线；</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回顾报警功能，可回顾最近的≥100条报警信息；</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16、</w:t>
      </w:r>
      <w:r>
        <w:rPr>
          <w:rFonts w:hint="eastAsia" w:ascii="宋体" w:hAnsi="宋体" w:eastAsia="宋体" w:cs="宋体"/>
          <w:color w:val="auto"/>
          <w:sz w:val="24"/>
          <w:szCs w:val="24"/>
        </w:rPr>
        <w:t>支持拓展无线探头，支持无线双胎心监护，无线探头采用自识别探头基座设计，随意安放，无线探头工作距离＞100m，内置锂电池≥15小时的超强续航能力；</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17、</w:t>
      </w:r>
      <w:r>
        <w:rPr>
          <w:rFonts w:hint="eastAsia" w:ascii="宋体" w:hAnsi="宋体" w:eastAsia="宋体" w:cs="宋体"/>
          <w:color w:val="auto"/>
          <w:sz w:val="24"/>
          <w:szCs w:val="24"/>
        </w:rPr>
        <w:t>内置通讯接口，可与</w:t>
      </w:r>
      <w:r>
        <w:rPr>
          <w:rFonts w:hint="eastAsia" w:ascii="宋体" w:hAnsi="宋体" w:eastAsia="宋体" w:cs="宋体"/>
          <w:color w:val="auto"/>
          <w:sz w:val="24"/>
          <w:szCs w:val="24"/>
          <w:lang w:val="en-US" w:eastAsia="zh-CN"/>
        </w:rPr>
        <w:t>产房现有</w:t>
      </w:r>
      <w:r>
        <w:rPr>
          <w:rFonts w:hint="eastAsia" w:ascii="宋体" w:hAnsi="宋体" w:eastAsia="宋体" w:cs="宋体"/>
          <w:color w:val="auto"/>
          <w:sz w:val="24"/>
          <w:szCs w:val="24"/>
        </w:rPr>
        <w:t>中央站组成网络系统；</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7、设备如涉及网络接口费用，由中标人承担，采购人不再出具任何费用。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公开挂网</w:t>
      </w:r>
      <w:r>
        <w:rPr>
          <w:rFonts w:hint="eastAsia" w:ascii="宋体" w:hAnsi="宋体" w:eastAsia="宋体" w:cs="宋体"/>
          <w:color w:val="auto"/>
          <w:sz w:val="24"/>
          <w:szCs w:val="24"/>
          <w:lang w:val="en-US" w:eastAsia="zh-CN"/>
        </w:rPr>
        <w:t>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胎心监护仪</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胎心监护仪</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FF"/>
                <w:kern w:val="0"/>
                <w:sz w:val="24"/>
                <w:szCs w:val="24"/>
                <w:lang w:val="en-US" w:eastAsia="zh-CN"/>
              </w:rPr>
              <w:t>胎心监护仪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pStyle w:val="2"/>
        <w:keepNext/>
        <w:keepLines/>
        <w:pageBreakBefore w:val="0"/>
        <w:widowControl w:val="0"/>
        <w:kinsoku/>
        <w:wordWrap/>
        <w:overflowPunct/>
        <w:topLinePunct w:val="0"/>
        <w:autoSpaceDE/>
        <w:autoSpaceDN/>
        <w:bidi w:val="0"/>
        <w:adjustRightInd w:val="0"/>
        <w:snapToGrid/>
        <w:spacing w:before="0" w:after="0" w:line="480" w:lineRule="exact"/>
        <w:ind w:firstLine="480" w:firstLineChars="200"/>
        <w:textAlignment w:val="baseline"/>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1.4设备如涉及网络接口费用，由</w:t>
      </w:r>
      <w:r>
        <w:rPr>
          <w:rFonts w:hint="eastAsia" w:ascii="宋体" w:hAnsi="宋体" w:cs="宋体"/>
          <w:b w:val="0"/>
          <w:color w:val="auto"/>
          <w:kern w:val="2"/>
          <w:sz w:val="24"/>
          <w:szCs w:val="24"/>
          <w:lang w:val="en-US" w:eastAsia="zh-CN" w:bidi="ar-SA"/>
        </w:rPr>
        <w:t>乙方</w:t>
      </w:r>
      <w:r>
        <w:rPr>
          <w:rFonts w:hint="eastAsia" w:ascii="宋体" w:hAnsi="宋体" w:eastAsia="宋体" w:cs="宋体"/>
          <w:b w:val="0"/>
          <w:color w:val="auto"/>
          <w:kern w:val="2"/>
          <w:sz w:val="24"/>
          <w:szCs w:val="24"/>
          <w:lang w:val="en-US" w:eastAsia="zh-CN" w:bidi="ar-SA"/>
        </w:rPr>
        <w:t>承担，</w:t>
      </w:r>
      <w:r>
        <w:rPr>
          <w:rFonts w:hint="eastAsia" w:ascii="宋体" w:hAnsi="宋体" w:cs="宋体"/>
          <w:b w:val="0"/>
          <w:color w:val="auto"/>
          <w:kern w:val="2"/>
          <w:sz w:val="24"/>
          <w:szCs w:val="24"/>
          <w:lang w:val="en-US" w:eastAsia="zh-CN" w:bidi="ar-SA"/>
        </w:rPr>
        <w:t>甲方</w:t>
      </w:r>
      <w:bookmarkStart w:id="4" w:name="_GoBack"/>
      <w:bookmarkEnd w:id="4"/>
      <w:r>
        <w:rPr>
          <w:rFonts w:hint="eastAsia" w:ascii="宋体" w:hAnsi="宋体" w:eastAsia="宋体" w:cs="宋体"/>
          <w:b w:val="0"/>
          <w:color w:val="auto"/>
          <w:kern w:val="2"/>
          <w:sz w:val="24"/>
          <w:szCs w:val="24"/>
          <w:lang w:val="en-US" w:eastAsia="zh-CN" w:bidi="ar-SA"/>
        </w:rPr>
        <w:t>不再出具任何费用。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eastAsia" w:ascii="宋体" w:hAnsi="宋体" w:eastAsia="宋体" w:cs="宋体"/>
          <w:color w:val="auto"/>
          <w:sz w:val="24"/>
          <w:szCs w:val="24"/>
          <w:lang w:val="en-US" w:eastAsia="zh-CN"/>
        </w:rPr>
        <w:t>接到甲方通知15个自然日内将</w:t>
      </w:r>
      <w:r>
        <w:rPr>
          <w:rFonts w:hint="default" w:ascii="宋体" w:hAnsi="宋体" w:eastAsia="宋体" w:cs="宋体"/>
          <w:color w:val="auto"/>
          <w:sz w:val="24"/>
          <w:szCs w:val="24"/>
          <w:lang w:val="en-US" w:eastAsia="zh-CN"/>
        </w:rPr>
        <w:t>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lang w:val="en-US" w:eastAsia="zh-CN"/>
        </w:rPr>
        <w:t>在1个自然日内</w:t>
      </w:r>
      <w:r>
        <w:rPr>
          <w:rFonts w:hint="default" w:ascii="宋体" w:hAnsi="宋体" w:eastAsia="宋体" w:cs="宋体"/>
          <w:color w:val="auto"/>
          <w:sz w:val="24"/>
          <w:szCs w:val="24"/>
          <w:lang w:val="en-US" w:eastAsia="zh-CN"/>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w:t>
      </w:r>
      <w:r>
        <w:rPr>
          <w:rFonts w:hint="eastAsia" w:ascii="宋体" w:hAnsi="宋体" w:eastAsia="宋体" w:cs="宋体"/>
          <w:color w:val="FF0000"/>
          <w:sz w:val="24"/>
          <w:szCs w:val="24"/>
          <w:highlight w:val="none"/>
        </w:rPr>
        <w:t>使用科室、设备科及相关部门</w:t>
      </w:r>
      <w:r>
        <w:rPr>
          <w:rFonts w:hint="eastAsia" w:ascii="宋体" w:hAnsi="宋体" w:eastAsia="宋体" w:cs="宋体"/>
          <w:color w:val="FF0000"/>
          <w:sz w:val="24"/>
          <w:szCs w:val="24"/>
          <w:highlight w:val="none"/>
          <w:lang w:val="en-US" w:eastAsia="zh-CN"/>
        </w:rPr>
        <w:t>进行</w:t>
      </w:r>
      <w:r>
        <w:rPr>
          <w:rFonts w:hint="eastAsia" w:ascii="宋体" w:hAnsi="宋体" w:eastAsia="宋体" w:cs="宋体"/>
          <w:color w:val="auto"/>
          <w:sz w:val="24"/>
          <w:szCs w:val="24"/>
          <w:highlight w:val="none"/>
          <w:lang w:val="en-US" w:eastAsia="zh-CN"/>
        </w:rPr>
        <w:t>总体验收，验收合格后签署总体验收报告单。如经甲方验收不合格，乙方应在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cs="宋体"/>
          <w:color w:val="auto"/>
          <w:sz w:val="24"/>
          <w:szCs w:val="24"/>
          <w:u w:val="single"/>
          <w:lang w:val="en-US" w:eastAsia="zh-CN"/>
        </w:rPr>
        <w:t>2</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w:t>
      </w:r>
      <w:r>
        <w:rPr>
          <w:rFonts w:hint="eastAsia" w:ascii="宋体" w:hAnsi="宋体" w:eastAsia="宋体" w:cs="宋体"/>
          <w:color w:val="auto"/>
          <w:sz w:val="24"/>
          <w:szCs w:val="24"/>
          <w:highlight w:val="none"/>
          <w:lang w:val="en-US" w:eastAsia="zh-CN"/>
        </w:rPr>
        <w:t>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cs="宋体"/>
          <w:color w:val="auto"/>
          <w:sz w:val="24"/>
          <w:szCs w:val="24"/>
          <w:u w:val="single"/>
          <w:lang w:val="en-US" w:eastAsia="zh-CN"/>
        </w:rPr>
        <w:t>2</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keepNext/>
        <w:keepLines/>
        <w:pageBreakBefore w:val="0"/>
        <w:widowControl w:val="0"/>
        <w:kinsoku/>
        <w:wordWrap/>
        <w:overflowPunct/>
        <w:topLinePunct w:val="0"/>
        <w:autoSpaceDE/>
        <w:autoSpaceDN/>
        <w:bidi w:val="0"/>
        <w:adjustRightInd w:val="0"/>
        <w:snapToGrid/>
        <w:spacing w:before="0" w:after="0" w:line="360" w:lineRule="auto"/>
        <w:ind w:firstLine="562" w:firstLineChars="200"/>
        <w:textAlignment w:val="baseline"/>
        <w:rPr>
          <w:rFonts w:hint="eastAsia" w:asciiTheme="minorEastAsia" w:hAnsiTheme="minorEastAsia" w:eastAsiaTheme="minorEastAsia" w:cstheme="minorEastAsia"/>
          <w:bCs/>
          <w:color w:val="auto"/>
          <w:kern w:val="0"/>
          <w:sz w:val="28"/>
          <w:szCs w:val="28"/>
          <w:lang w:val="en-US" w:eastAsia="zh-CN" w:bidi="ar-SA"/>
        </w:rPr>
      </w:pPr>
    </w:p>
    <w:p>
      <w:pPr>
        <w:rPr>
          <w:rFonts w:hint="eastAsia"/>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pStyle w:val="2"/>
        <w:rPr>
          <w:rFonts w:hint="eastAsia"/>
          <w:lang w:val="en-US" w:eastAsia="zh-CN"/>
        </w:rPr>
      </w:pPr>
    </w:p>
    <w:p>
      <w:pPr>
        <w:rPr>
          <w:rFonts w:hint="eastAsia"/>
          <w:lang w:val="en-US" w:eastAsia="zh-CN"/>
        </w:rPr>
      </w:pPr>
    </w:p>
    <w:p>
      <w:pPr>
        <w:pStyle w:val="11"/>
        <w:rPr>
          <w:rFonts w:hint="eastAsia"/>
          <w:lang w:val="en-US" w:eastAsia="zh-CN"/>
        </w:rPr>
      </w:pPr>
    </w:p>
    <w:p>
      <w:pPr>
        <w:pStyle w:val="11"/>
        <w:rPr>
          <w:rFonts w:hint="eastAsia"/>
          <w:lang w:val="en-US" w:eastAsia="zh-CN"/>
        </w:rPr>
      </w:pPr>
    </w:p>
    <w:p>
      <w:pPr>
        <w:spacing w:line="360" w:lineRule="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E331420"/>
    <w:rsid w:val="0EDD1643"/>
    <w:rsid w:val="10914EF9"/>
    <w:rsid w:val="12080B62"/>
    <w:rsid w:val="12994AC5"/>
    <w:rsid w:val="129F447F"/>
    <w:rsid w:val="1AF56B46"/>
    <w:rsid w:val="1F796B24"/>
    <w:rsid w:val="1FE73549"/>
    <w:rsid w:val="20B41DA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E584E51"/>
    <w:rsid w:val="429A4992"/>
    <w:rsid w:val="435B161D"/>
    <w:rsid w:val="43B25DAC"/>
    <w:rsid w:val="4B7F39F4"/>
    <w:rsid w:val="4BAE646F"/>
    <w:rsid w:val="4CAC1559"/>
    <w:rsid w:val="4DCD6AB3"/>
    <w:rsid w:val="50540C20"/>
    <w:rsid w:val="51AC28BD"/>
    <w:rsid w:val="611B6B1B"/>
    <w:rsid w:val="64133D6A"/>
    <w:rsid w:val="678E4F5D"/>
    <w:rsid w:val="680E122C"/>
    <w:rsid w:val="6DE375E4"/>
    <w:rsid w:val="71584067"/>
    <w:rsid w:val="74566F5C"/>
    <w:rsid w:val="750117A8"/>
    <w:rsid w:val="77423DFF"/>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1</TotalTime>
  <ScaleCrop>false</ScaleCrop>
  <LinksUpToDate>false</LinksUpToDate>
  <CharactersWithSpaces>8973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2023-10-11T00:52:24Z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3505A2AB25E048A4A9B0E6A6741CA1BA_11</vt:lpwstr>
  </property>
</Properties>
</file>