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napToGrid w:val="0"/>
        <w:jc w:val="center"/>
        <w:rPr>
          <w:rFonts w:ascii="Arial" w:hAnsi="Arial" w:eastAsia="方正小标宋简体" w:cs="Arial"/>
          <w:color w:val="auto"/>
          <w:sz w:val="72"/>
          <w:szCs w:val="72"/>
        </w:rPr>
      </w:pPr>
      <w:bookmarkStart w:id="0" w:name="_Toc16523570"/>
    </w:p>
    <w:p>
      <w:pPr>
        <w:pStyle w:val="1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2"/>
        <w:snapToGrid w:val="0"/>
        <w:jc w:val="center"/>
        <w:rPr>
          <w:rFonts w:ascii="Arial" w:hAnsi="Arial" w:eastAsia="方正小标宋简体" w:cs="Arial"/>
          <w:sz w:val="72"/>
          <w:szCs w:val="72"/>
        </w:rPr>
      </w:pPr>
    </w:p>
    <w:p>
      <w:pPr>
        <w:pStyle w:val="1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pStyle w:val="12"/>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（胰岛素泵</w:t>
      </w:r>
      <w:r>
        <w:rPr>
          <w:rFonts w:hint="eastAsia" w:ascii="Times New Roman" w:hAnsi="Times New Roman" w:eastAsia="宋体" w:cs="Times New Roman"/>
          <w:b/>
          <w:bCs/>
          <w:kern w:val="44"/>
          <w:sz w:val="32"/>
          <w:szCs w:val="32"/>
          <w:lang w:val="en-US" w:eastAsia="zh-CN" w:bidi="ar-SA"/>
        </w:rPr>
        <w:t>院内</w:t>
      </w:r>
      <w:r>
        <w:rPr>
          <w:rFonts w:hint="eastAsia" w:cs="Times New Roman"/>
          <w:b/>
          <w:bCs/>
          <w:kern w:val="44"/>
          <w:sz w:val="32"/>
          <w:szCs w:val="32"/>
          <w:lang w:val="en-US" w:eastAsia="zh-CN" w:bidi="ar-SA"/>
        </w:rPr>
        <w:t>公开挂网</w:t>
      </w:r>
      <w:r>
        <w:rPr>
          <w:rFonts w:hint="eastAsia" w:ascii="Times New Roman" w:hAnsi="Times New Roman" w:eastAsia="宋体" w:cs="Times New Roman"/>
          <w:b/>
          <w:bCs/>
          <w:kern w:val="44"/>
          <w:sz w:val="32"/>
          <w:szCs w:val="32"/>
          <w:lang w:val="en-US" w:eastAsia="zh-CN" w:bidi="ar-SA"/>
        </w:rPr>
        <w:t>）</w:t>
      </w: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u w:val="single"/>
          <w:lang w:val="en-US" w:eastAsia="zh-CN"/>
        </w:rPr>
        <w:t>胰岛素泵</w:t>
      </w:r>
      <w:r>
        <w:rPr>
          <w:rFonts w:hint="eastAsia" w:asciiTheme="minorEastAsia" w:hAnsiTheme="minorEastAsia" w:eastAsiaTheme="minorEastAsia" w:cstheme="minorEastAsia"/>
          <w:bCs/>
          <w:color w:val="auto"/>
          <w:sz w:val="24"/>
          <w:szCs w:val="24"/>
          <w:lang w:val="en-US" w:eastAsia="zh-CN"/>
        </w:rPr>
        <w:t>项目进行院内挂网招标，将招标事项公告如下：</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一、项目信息</w:t>
      </w:r>
    </w:p>
    <w:p>
      <w:pPr>
        <w:pStyle w:val="12"/>
        <w:numPr>
          <w:ilvl w:val="0"/>
          <w:numId w:val="0"/>
        </w:numPr>
        <w:tabs>
          <w:tab w:val="left" w:pos="312"/>
        </w:tabs>
        <w:snapToGrid w:val="0"/>
        <w:spacing w:line="480" w:lineRule="auto"/>
        <w:ind w:firstLine="480" w:firstLineChars="200"/>
        <w:rPr>
          <w:rFonts w:hint="eastAsia" w:asciiTheme="minorEastAsia" w:hAnsiTheme="minorEastAsia" w:eastAsiaTheme="minorEastAsia" w:cstheme="minorEastAsia"/>
          <w:b w:val="0"/>
          <w:bCs/>
          <w:color w:val="auto"/>
          <w:sz w:val="24"/>
          <w:szCs w:val="24"/>
          <w:lang w:val="en-US" w:eastAsia="zh-CN"/>
        </w:rPr>
      </w:pPr>
      <w:r>
        <w:rPr>
          <w:rFonts w:hint="eastAsia" w:asciiTheme="minorEastAsia" w:hAnsiTheme="minorEastAsia" w:eastAsiaTheme="minorEastAsia" w:cstheme="minorEastAsia"/>
          <w:b w:val="0"/>
          <w:bCs/>
          <w:color w:val="auto"/>
          <w:sz w:val="24"/>
          <w:szCs w:val="24"/>
          <w:lang w:val="en-US" w:eastAsia="zh-CN"/>
        </w:rPr>
        <w:t>项目名称：</w:t>
      </w:r>
      <w:r>
        <w:rPr>
          <w:rFonts w:hint="eastAsia" w:asciiTheme="minorEastAsia" w:hAnsiTheme="minorEastAsia" w:eastAsiaTheme="minorEastAsia" w:cstheme="minorEastAsia"/>
          <w:bCs/>
          <w:color w:val="auto"/>
          <w:sz w:val="24"/>
          <w:szCs w:val="24"/>
          <w:u w:val="single"/>
          <w:lang w:val="en-US" w:eastAsia="zh-CN"/>
        </w:rPr>
        <w:t>胰岛素泵</w:t>
      </w:r>
      <w:r>
        <w:rPr>
          <w:rFonts w:hint="eastAsia" w:asciiTheme="minorEastAsia" w:hAnsiTheme="minorEastAsia" w:eastAsiaTheme="minorEastAsia" w:cstheme="minorEastAsia"/>
          <w:b w:val="0"/>
          <w:bCs/>
          <w:color w:val="auto"/>
          <w:sz w:val="24"/>
          <w:szCs w:val="24"/>
          <w:lang w:val="en-US" w:eastAsia="zh-CN"/>
        </w:rPr>
        <w:t>采购项目</w:t>
      </w:r>
    </w:p>
    <w:p>
      <w:pPr>
        <w:pStyle w:val="12"/>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采购方式</w:t>
      </w:r>
    </w:p>
    <w:p>
      <w:pPr>
        <w:pStyle w:val="12"/>
        <w:keepNext w:val="0"/>
        <w:keepLines w:val="0"/>
        <w:pageBreakBefore w:val="0"/>
        <w:widowControl w:val="0"/>
        <w:numPr>
          <w:ilvl w:val="0"/>
          <w:numId w:val="2"/>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院内公开挂网，最低价评分，在满足所有参数的条件下，报价最低者中标，如有两个并列最低价，则由两个并列最低价投标人再次报价，直至出现最低报价为止。</w:t>
      </w:r>
    </w:p>
    <w:bookmarkEnd w:id="0"/>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三、投标人资格要求</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1、具有独立法人地位，营业执照具有相应的经营范围；</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2、参加政府采购活动近3年内，在经营活动中没有重大违法记录；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3、投标人未列入经营异常名录和未列入严重违法失信企业名单（黑名单），投标人企业法人代表未被列入失信被执行人名单；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4、本项目不接受联合体投标，不得分包、转包；</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5、单位负责人为同一人或者存在直接控股、管理关系的不同投标人，不得参加本次采购活动。</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四、投标截止时间、开标时间及地点：</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1、投标截止时间、开标时间：具体时间另行通知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default"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2、开标地点;娄底市中心医院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五、招标人地址和联系方法：</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1、招标人名称：娄底市中心医院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2、联系人及联系方式：张思远 15115875288</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3、招标人地址：娄底市长青中街51号</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六、投标须知</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1、否决投标的情形：</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1.1、投标人以他人名义投标、串通投标、以行贿手段谋取中标的；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1.3、评标委员会认定投标人以低于成本报价竞标的；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1.4、投标人未按照要求出席开标会的；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1.5、投标报价有错误的，评标委员会将要求投标人作出书面澄清说明和确认，投标人拒不作出澄清说明和确认的；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2、有下列情形之一的，招标人将重新招标：</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2.1、投标截止时间止，投标人少于3家的；</w:t>
      </w:r>
    </w:p>
    <w:p>
      <w:pPr>
        <w:pStyle w:val="1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color w:val="auto"/>
          <w:sz w:val="24"/>
          <w:szCs w:val="24"/>
          <w:lang w:val="en-US" w:eastAsia="zh-CN"/>
        </w:rPr>
      </w:pPr>
      <w:r>
        <w:rPr>
          <w:rFonts w:hint="eastAsia" w:asciiTheme="minorEastAsia" w:hAnsiTheme="minorEastAsia" w:eastAsiaTheme="minorEastAsia" w:cstheme="minorEastAsia"/>
          <w:bCs/>
          <w:color w:val="auto"/>
          <w:sz w:val="24"/>
          <w:szCs w:val="24"/>
          <w:lang w:val="en-US" w:eastAsia="zh-CN"/>
        </w:rPr>
        <w:t>2.2、经评标委员会评审后，符合资格审查的投标人少于3家的。</w:t>
      </w:r>
    </w:p>
    <w:p>
      <w:pPr>
        <w:pStyle w:val="13"/>
        <w:rPr>
          <w:rFonts w:hint="eastAsia"/>
          <w:lang w:val="en-US" w:eastAsia="zh-CN"/>
        </w:rPr>
      </w:pPr>
    </w:p>
    <w:p>
      <w:pPr>
        <w:pStyle w:val="13"/>
        <w:jc w:val="both"/>
        <w:rPr>
          <w:rFonts w:hint="default"/>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p>
    <w:p>
      <w:pPr>
        <w:pStyle w:val="13"/>
        <w:rPr>
          <w:rFonts w:hint="eastAsia" w:ascii="宋体" w:hAnsi="宋体" w:cs="宋体"/>
          <w:b/>
          <w:bCs/>
          <w:color w:val="auto"/>
          <w:sz w:val="44"/>
          <w:szCs w:val="44"/>
          <w:lang w:val="en-US" w:eastAsia="zh-CN"/>
        </w:rPr>
      </w:pPr>
    </w:p>
    <w:p>
      <w:pPr>
        <w:pStyle w:val="5"/>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pStyle w:val="11"/>
        <w:rPr>
          <w:rFonts w:hint="eastAsia"/>
          <w:lang w:val="en-US" w:eastAsia="zh-CN"/>
        </w:rPr>
      </w:pPr>
    </w:p>
    <w:p>
      <w:pPr>
        <w:pStyle w:val="2"/>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ascii="宋体" w:hAnsi="宋体" w:cs="宋体"/>
          <w:b/>
          <w:bCs/>
          <w:color w:val="auto"/>
          <w:sz w:val="44"/>
          <w:szCs w:val="44"/>
          <w:lang w:val="en-US" w:eastAsia="zh-CN"/>
        </w:rPr>
      </w:pPr>
    </w:p>
    <w:p>
      <w:pPr>
        <w:rPr>
          <w:rFonts w:hint="eastAsia"/>
          <w:lang w:val="en-US" w:eastAsia="zh-CN"/>
        </w:rPr>
      </w:pPr>
    </w:p>
    <w:p>
      <w:pPr>
        <w:pStyle w:val="1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1.采购项目</w:t>
      </w:r>
    </w:p>
    <w:tbl>
      <w:tblPr>
        <w:tblStyle w:val="9"/>
        <w:tblW w:w="9309"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958"/>
        <w:gridCol w:w="1721"/>
        <w:gridCol w:w="1710"/>
        <w:gridCol w:w="2134"/>
        <w:gridCol w:w="2786"/>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705" w:hRule="atLeast"/>
          <w:jc w:val="center"/>
        </w:trPr>
        <w:tc>
          <w:tcPr>
            <w:tcW w:w="95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序号</w:t>
            </w:r>
          </w:p>
        </w:tc>
        <w:tc>
          <w:tcPr>
            <w:tcW w:w="172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设备名称</w:t>
            </w:r>
          </w:p>
        </w:tc>
        <w:tc>
          <w:tcPr>
            <w:tcW w:w="17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数量</w:t>
            </w:r>
            <w:r>
              <w:rPr>
                <w:rFonts w:hint="eastAsia" w:asciiTheme="minorEastAsia" w:hAnsiTheme="minorEastAsia" w:eastAsiaTheme="minorEastAsia" w:cstheme="minorEastAsia"/>
                <w:sz w:val="24"/>
                <w:szCs w:val="24"/>
              </w:rPr>
              <w:t>(台/套)</w:t>
            </w:r>
          </w:p>
        </w:tc>
        <w:tc>
          <w:tcPr>
            <w:tcW w:w="2134"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8"/>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rPr>
              <w:t>预算</w:t>
            </w:r>
            <w:r>
              <w:rPr>
                <w:rFonts w:hint="eastAsia" w:asciiTheme="minorEastAsia" w:hAnsiTheme="minorEastAsia" w:eastAsiaTheme="minorEastAsia" w:cstheme="minorEastAsia"/>
                <w:kern w:val="2"/>
                <w:sz w:val="24"/>
                <w:szCs w:val="24"/>
                <w:lang w:eastAsia="zh-CN"/>
              </w:rPr>
              <w:t>总</w:t>
            </w:r>
            <w:r>
              <w:rPr>
                <w:rFonts w:hint="eastAsia" w:asciiTheme="minorEastAsia" w:hAnsiTheme="minorEastAsia" w:eastAsiaTheme="minorEastAsia" w:cstheme="minorEastAsia"/>
                <w:kern w:val="2"/>
                <w:sz w:val="24"/>
                <w:szCs w:val="24"/>
              </w:rPr>
              <w:t>价（万元）</w:t>
            </w:r>
          </w:p>
        </w:tc>
        <w:tc>
          <w:tcPr>
            <w:tcW w:w="2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bidi="ar-SA"/>
              </w:rPr>
              <w:t>是否允许进口设备投标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63" w:hRule="atLeast"/>
          <w:jc w:val="center"/>
        </w:trPr>
        <w:tc>
          <w:tcPr>
            <w:tcW w:w="95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1</w:t>
            </w:r>
          </w:p>
        </w:tc>
        <w:tc>
          <w:tcPr>
            <w:tcW w:w="1721"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bCs/>
                <w:color w:val="auto"/>
                <w:kern w:val="2"/>
                <w:sz w:val="24"/>
                <w:szCs w:val="24"/>
                <w:lang w:val="en-US" w:eastAsia="zh-CN" w:bidi="ar-SA"/>
              </w:rPr>
            </w:pPr>
            <w:r>
              <w:rPr>
                <w:rFonts w:hint="eastAsia" w:asciiTheme="minorEastAsia" w:hAnsiTheme="minorEastAsia" w:eastAsiaTheme="minorEastAsia" w:cstheme="minorEastAsia"/>
                <w:kern w:val="2"/>
                <w:sz w:val="24"/>
                <w:szCs w:val="24"/>
                <w:lang w:val="en-US" w:eastAsia="zh-CN"/>
              </w:rPr>
              <w:t>胰岛素泵</w:t>
            </w:r>
          </w:p>
        </w:tc>
        <w:tc>
          <w:tcPr>
            <w:tcW w:w="171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3</w:t>
            </w:r>
          </w:p>
        </w:tc>
        <w:tc>
          <w:tcPr>
            <w:tcW w:w="2134"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kern w:val="2"/>
                <w:sz w:val="24"/>
                <w:szCs w:val="24"/>
                <w:lang w:val="en-US" w:eastAsia="zh-CN"/>
              </w:rPr>
            </w:pPr>
            <w:r>
              <w:rPr>
                <w:rFonts w:hint="eastAsia" w:asciiTheme="minorEastAsia" w:hAnsiTheme="minorEastAsia" w:eastAsiaTheme="minorEastAsia" w:cstheme="minorEastAsia"/>
                <w:kern w:val="2"/>
                <w:sz w:val="24"/>
                <w:szCs w:val="24"/>
                <w:lang w:val="en-US" w:eastAsia="zh-CN"/>
              </w:rPr>
              <w:t>9</w:t>
            </w:r>
          </w:p>
        </w:tc>
        <w:tc>
          <w:tcPr>
            <w:tcW w:w="2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Theme="minorEastAsia" w:hAnsiTheme="minorEastAsia" w:eastAsiaTheme="minorEastAsia" w:cstheme="minorEastAsia"/>
                <w:kern w:val="2"/>
                <w:sz w:val="24"/>
                <w:szCs w:val="24"/>
              </w:rPr>
            </w:pPr>
            <w:r>
              <w:rPr>
                <w:rFonts w:hint="eastAsia" w:asciiTheme="minorEastAsia" w:hAnsiTheme="minorEastAsia" w:eastAsiaTheme="minorEastAsia" w:cstheme="minorEastAsia"/>
                <w:kern w:val="2"/>
                <w:sz w:val="24"/>
                <w:szCs w:val="24"/>
                <w:lang w:val="en-US" w:eastAsia="zh-CN"/>
              </w:rPr>
              <w:t>否</w:t>
            </w:r>
          </w:p>
        </w:tc>
      </w:tr>
    </w:tbl>
    <w:p>
      <w:pPr>
        <w:spacing w:line="360" w:lineRule="auto"/>
        <w:rPr>
          <w:rFonts w:hint="eastAsia" w:asciiTheme="minorEastAsia" w:hAnsiTheme="minorEastAsia" w:eastAsiaTheme="minorEastAsia" w:cstheme="minorEastAsia"/>
          <w:bCs/>
          <w:color w:val="auto"/>
          <w:kern w:val="0"/>
          <w:sz w:val="24"/>
          <w:szCs w:val="24"/>
          <w:lang w:val="en-US" w:eastAsia="zh-CN" w:bidi="ar-SA"/>
        </w:rPr>
      </w:pP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2、服务时间：双方签订合同时具体约定。</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3、服务地点：娄底市中心医院。</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p>
      <w:pPr>
        <w:spacing w:line="360" w:lineRule="auto"/>
        <w:ind w:firstLine="482" w:firstLineChars="200"/>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技术参数：</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1.泵管理系统：可以配合泵管理软件，开展全院泵管理；管理系统有扩展血 </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糖仪、电子胰岛素注射笔接口；泵管理软件有医疗器械许可证；</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2.泵管理系统配置手持终端 1 部(≥6寸屏、HelioG25八核处理器、≥218GB内存) </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3. 全中文菜单显示，易用易懂</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4.胰岛素种类：U-100和U-40两种可选，两种浓度胰岛素可以智能换算；短效和速效可选 </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5.基础率分段：24段或48段可选 </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6.基础率设置：自动分配基础率、个性化设置基础率</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7.数据库：速效数据库、短效数据库</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8.基础率设置范围：常规范围 0.01～35 U/h</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9.临基率设置范围：速度设置范围为基础率设置值的0～250%，时间设置范围0～24小时</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10.基础率增幅：默认值0.05 U（1U等于0.01毫升）,0.01U（0-0.2U）、0.05U（0.2-2U）、0.1U（大于2U）,根据患者胰岛素用量自动切换</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11.立即输注：快速一键注射</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12.长餐模式：方波输注，双波输注</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13.有大剂量预设：有</w:t>
      </w:r>
      <w:r>
        <w:rPr>
          <w:rFonts w:hint="eastAsia" w:ascii="宋体" w:hAnsi="宋体" w:eastAsia="宋体" w:cs="宋体"/>
          <w:color w:val="auto"/>
          <w:kern w:val="2"/>
          <w:sz w:val="24"/>
          <w:szCs w:val="24"/>
          <w:lang w:val="en-US" w:eastAsia="zh-CN" w:bidi="ar-SA"/>
        </w:rPr>
        <w:br w:type="textWrapping"/>
      </w:r>
      <w:r>
        <w:rPr>
          <w:rFonts w:hint="eastAsia" w:ascii="宋体" w:hAnsi="宋体" w:eastAsia="宋体" w:cs="宋体"/>
          <w:color w:val="auto"/>
          <w:kern w:val="2"/>
          <w:sz w:val="24"/>
          <w:szCs w:val="24"/>
          <w:lang w:val="en-US" w:eastAsia="zh-CN" w:bidi="ar-SA"/>
        </w:rPr>
        <w:t>14. 大剂量设置范围：0.1～88U</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15.大剂量增幅：≥0.1U</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16.大剂量输注速度：可调</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17.螺杆复位形式：自动复位，电机驱动</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18.最大装药量：≤3.18 毫升(318U) </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19.剂量限制功能：每次大剂量限制、每小时基础量限制、日总量限制</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20.保护功能：按键自动上锁、儿童锁防止误操作、医生凭密码设置、工程师凭密码设置</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21.警示项目：蜂鸣报警（阻塞，低电量，低药量，无输注，药完）、按键声音、用餐提示、测血糖提示。</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22.报警项目可选</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23.堵塞剂量可调 </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24.低药量报警阈值可设</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25.泵管理软件有远程暂停泵功能；</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26.泵管理软件有AI估算、AI剂量、泵转笔辅助模块；</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27.电池型号： Type-C快速内置电池，充电≥60分钟，待机≥30天  </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default"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28.配套耗材报价不得高于平台价7折，现场议价。</w:t>
      </w:r>
    </w:p>
    <w:p>
      <w:pPr>
        <w:pStyle w:val="8"/>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ind w:leftChars="0" w:firstLine="480" w:firstLineChars="200"/>
        <w:jc w:val="both"/>
        <w:textAlignment w:val="auto"/>
        <w:rPr>
          <w:rFonts w:hint="eastAsia" w:asciiTheme="minorEastAsia" w:hAnsiTheme="minorEastAsia" w:eastAsiaTheme="minorEastAsia" w:cstheme="minorEastAsia"/>
          <w:bCs/>
          <w:color w:val="auto"/>
          <w:kern w:val="0"/>
          <w:sz w:val="24"/>
          <w:szCs w:val="24"/>
          <w:lang w:val="en-US" w:eastAsia="zh-CN" w:bidi="ar-SA"/>
        </w:rPr>
      </w:pPr>
    </w:p>
    <w:p>
      <w:pPr>
        <w:pStyle w:val="2"/>
        <w:keepNext/>
        <w:keepLines/>
        <w:pageBreakBefore w:val="0"/>
        <w:widowControl w:val="0"/>
        <w:numPr>
          <w:ilvl w:val="0"/>
          <w:numId w:val="0"/>
        </w:numPr>
        <w:kinsoku/>
        <w:wordWrap/>
        <w:overflowPunct/>
        <w:topLinePunct w:val="0"/>
        <w:autoSpaceDE/>
        <w:autoSpaceDN/>
        <w:bidi w:val="0"/>
        <w:adjustRightInd w:val="0"/>
        <w:snapToGrid/>
        <w:spacing w:before="0" w:after="0" w:line="360" w:lineRule="auto"/>
        <w:ind w:firstLine="482" w:firstLineChars="200"/>
        <w:textAlignment w:val="baseline"/>
        <w:rPr>
          <w:rFonts w:hint="eastAsia" w:asciiTheme="minorEastAsia" w:hAnsiTheme="minorEastAsia" w:eastAsiaTheme="minorEastAsia" w:cstheme="minorEastAsia"/>
          <w:b/>
          <w:bCs w:val="0"/>
          <w:color w:val="auto"/>
          <w:kern w:val="0"/>
          <w:sz w:val="24"/>
          <w:szCs w:val="24"/>
          <w:lang w:val="en-US" w:eastAsia="zh-CN" w:bidi="ar-SA"/>
        </w:rPr>
      </w:pPr>
      <w:r>
        <w:rPr>
          <w:rFonts w:hint="eastAsia" w:asciiTheme="minorEastAsia" w:hAnsiTheme="minorEastAsia" w:eastAsiaTheme="minorEastAsia" w:cstheme="minorEastAsia"/>
          <w:b/>
          <w:bCs w:val="0"/>
          <w:color w:val="auto"/>
          <w:kern w:val="0"/>
          <w:sz w:val="24"/>
          <w:szCs w:val="24"/>
          <w:lang w:val="en-US" w:eastAsia="zh-CN" w:bidi="ar-SA"/>
        </w:rPr>
        <w:t>商务参数：</w:t>
      </w:r>
    </w:p>
    <w:p>
      <w:pPr>
        <w:keepNext w:val="0"/>
        <w:keepLines w:val="0"/>
        <w:pageBreakBefore w:val="0"/>
        <w:kinsoku/>
        <w:wordWrap/>
        <w:overflowPunct/>
        <w:topLinePunct w:val="0"/>
        <w:autoSpaceDE/>
        <w:autoSpaceDN/>
        <w:bidi w:val="0"/>
        <w:adjustRightInd/>
        <w:snapToGrid/>
        <w:ind w:firstLine="480" w:firstLineChars="200"/>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、付款方式：设备验收合格后，供应商将发票交到娄底市中心医院后按程序支付货款90%（按医院财务制度一般情况下4个月内支付、特殊情况下最多不超过6个月），甲方在设备验收合格</w:t>
      </w:r>
      <w:r>
        <w:rPr>
          <w:rFonts w:hint="eastAsia" w:ascii="宋体" w:hAnsi="宋体" w:eastAsia="宋体" w:cs="宋体"/>
          <w:color w:val="auto"/>
          <w:sz w:val="24"/>
          <w:szCs w:val="24"/>
          <w:lang w:val="en-US" w:eastAsia="zh-CN"/>
        </w:rPr>
        <w:t>满</w:t>
      </w:r>
      <w:r>
        <w:rPr>
          <w:rFonts w:hint="eastAsia" w:ascii="宋体" w:hAnsi="宋体" w:cs="宋体"/>
          <w:color w:val="auto"/>
          <w:sz w:val="24"/>
          <w:szCs w:val="24"/>
          <w:u w:val="none"/>
          <w:lang w:val="en-US" w:eastAsia="zh-CN"/>
        </w:rPr>
        <w:t>2</w:t>
      </w:r>
      <w:bookmarkStart w:id="4" w:name="_GoBack"/>
      <w:bookmarkEnd w:id="4"/>
      <w:r>
        <w:rPr>
          <w:rFonts w:hint="eastAsia" w:ascii="宋体" w:hAnsi="宋体" w:cs="宋体"/>
          <w:color w:val="auto"/>
          <w:sz w:val="24"/>
          <w:szCs w:val="24"/>
          <w:u w:val="none"/>
          <w:lang w:val="en-US" w:eastAsia="zh-CN"/>
        </w:rPr>
        <w:t>年</w:t>
      </w:r>
      <w:r>
        <w:rPr>
          <w:rFonts w:hint="eastAsia" w:ascii="宋体" w:hAnsi="宋体" w:eastAsia="宋体" w:cs="宋体"/>
          <w:color w:val="auto"/>
          <w:sz w:val="24"/>
          <w:szCs w:val="24"/>
        </w:rPr>
        <w:t>后支付10%余款给乙方。</w:t>
      </w:r>
      <w:r>
        <w:rPr>
          <w:rFonts w:hint="eastAsia" w:ascii="宋体" w:hAnsi="宋体" w:eastAsia="宋体" w:cs="宋体"/>
          <w:color w:val="auto"/>
          <w:sz w:val="24"/>
          <w:szCs w:val="24"/>
        </w:rPr>
        <w:cr/>
      </w:r>
      <w:r>
        <w:rPr>
          <w:rFonts w:hint="eastAsia" w:ascii="宋体" w:hAnsi="宋体" w:cs="宋体"/>
          <w:color w:val="auto"/>
          <w:sz w:val="24"/>
          <w:szCs w:val="24"/>
          <w:lang w:val="en-US" w:eastAsia="zh-CN"/>
        </w:rPr>
        <w:t xml:space="preserve">    </w:t>
      </w:r>
      <w:r>
        <w:rPr>
          <w:rFonts w:hint="eastAsia" w:ascii="宋体" w:hAnsi="宋体" w:eastAsia="宋体" w:cs="宋体"/>
          <w:color w:val="auto"/>
          <w:sz w:val="24"/>
          <w:szCs w:val="24"/>
        </w:rPr>
        <w:t>5、质保与售后：整机保修</w:t>
      </w: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年，终身维修。</w:t>
      </w:r>
      <w:r>
        <w:rPr>
          <w:rFonts w:hint="eastAsia" w:ascii="宋体" w:hAnsi="宋体" w:cs="宋体"/>
          <w:color w:val="auto"/>
          <w:sz w:val="24"/>
          <w:szCs w:val="24"/>
          <w:lang w:val="en-US" w:eastAsia="zh-CN"/>
        </w:rPr>
        <w:t>验收时</w:t>
      </w:r>
      <w:r>
        <w:rPr>
          <w:rFonts w:hint="eastAsia" w:ascii="宋体" w:hAnsi="宋体" w:eastAsia="宋体" w:cs="宋体"/>
          <w:color w:val="auto"/>
          <w:sz w:val="24"/>
          <w:szCs w:val="24"/>
        </w:rPr>
        <w:t>出具原厂售后质保承诺书，质保期内每年巡检</w:t>
      </w:r>
      <w:r>
        <w:rPr>
          <w:rFonts w:hint="eastAsia" w:ascii="宋体" w:hAnsi="宋体" w:cs="宋体"/>
          <w:color w:val="auto"/>
          <w:sz w:val="24"/>
          <w:szCs w:val="24"/>
          <w:lang w:val="en-US" w:eastAsia="zh-CN"/>
        </w:rPr>
        <w:t>一</w:t>
      </w:r>
      <w:r>
        <w:rPr>
          <w:rFonts w:hint="eastAsia" w:ascii="宋体" w:hAnsi="宋体" w:eastAsia="宋体" w:cs="宋体"/>
          <w:color w:val="auto"/>
          <w:sz w:val="24"/>
          <w:szCs w:val="24"/>
        </w:rPr>
        <w:t>次</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并提交巡检记录</w:t>
      </w:r>
      <w:r>
        <w:rPr>
          <w:rFonts w:hint="eastAsia" w:ascii="宋体" w:hAnsi="宋体" w:eastAsia="宋体" w:cs="宋体"/>
          <w:color w:val="auto"/>
          <w:sz w:val="24"/>
          <w:szCs w:val="24"/>
        </w:rPr>
        <w:t>。</w:t>
      </w:r>
      <w:r>
        <w:rPr>
          <w:rFonts w:hint="eastAsia" w:ascii="宋体" w:hAnsi="宋体" w:eastAsia="宋体" w:cs="宋体"/>
          <w:color w:val="auto"/>
          <w:sz w:val="24"/>
          <w:szCs w:val="24"/>
          <w:lang w:val="zh-CN" w:eastAsia="zh-CN"/>
        </w:rPr>
        <w:t>质保期内</w:t>
      </w:r>
      <w:r>
        <w:rPr>
          <w:rFonts w:hint="eastAsia" w:ascii="宋体" w:hAnsi="宋体" w:cs="宋体"/>
          <w:color w:val="auto"/>
          <w:sz w:val="24"/>
          <w:szCs w:val="24"/>
          <w:lang w:val="en-US" w:eastAsia="zh-CN"/>
        </w:rPr>
        <w:t>出现故障</w:t>
      </w:r>
      <w:r>
        <w:rPr>
          <w:rFonts w:hint="eastAsia" w:ascii="宋体" w:hAnsi="宋体" w:eastAsia="宋体" w:cs="宋体"/>
          <w:color w:val="auto"/>
          <w:sz w:val="24"/>
          <w:szCs w:val="24"/>
          <w:lang w:val="en-US" w:eastAsia="zh-CN"/>
        </w:rPr>
        <w:t>，24小时响应，响应后4小时上门服务</w:t>
      </w:r>
      <w:r>
        <w:rPr>
          <w:rFonts w:hint="eastAsia" w:ascii="宋体" w:hAnsi="宋体" w:cs="宋体"/>
          <w:color w:val="auto"/>
          <w:sz w:val="24"/>
          <w:szCs w:val="24"/>
          <w:lang w:val="en-US" w:eastAsia="zh-CN"/>
        </w:rPr>
        <w:t>。</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firstLine="480" w:firstLineChars="20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6、在投标文件中必须提供相关佐证资料（加盖原厂公章的技术参数、技术白皮书、说明书、彩页），并在响应表中备注该条参数响应或正偏离的佐证资料所在页码。</w:t>
      </w:r>
    </w:p>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1、封面：需注明标的名称、投标文件、单位、时间；</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3、投标人身份证复印件；</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5、履行本项目所必需的资质证明；</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6、针对此项目的技术、服务方案；</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7、投标人认为需提供的其他和评审有关的资料；</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8、投标文件的每一页都必须加盖投标单位的公章；</w:t>
      </w:r>
    </w:p>
    <w:p>
      <w:pPr>
        <w:spacing w:line="360" w:lineRule="auto"/>
        <w:ind w:firstLine="480" w:firstLineChars="200"/>
        <w:rPr>
          <w:rFonts w:hint="default"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9、投标文件参数响应表中必须标注响应项佐证材料所对应页面。</w:t>
      </w:r>
    </w:p>
    <w:p>
      <w:pPr>
        <w:spacing w:line="360" w:lineRule="auto"/>
        <w:ind w:firstLine="480" w:firstLineChars="200"/>
        <w:rPr>
          <w:rFonts w:hint="eastAsia" w:asciiTheme="minorEastAsia" w:hAnsiTheme="minorEastAsia" w:eastAsiaTheme="minorEastAsia" w:cstheme="minorEastAsia"/>
          <w:bCs/>
          <w:color w:val="auto"/>
          <w:kern w:val="0"/>
          <w:sz w:val="24"/>
          <w:szCs w:val="24"/>
          <w:lang w:val="en-US" w:eastAsia="zh-CN" w:bidi="ar-SA"/>
        </w:rPr>
      </w:pPr>
      <w:r>
        <w:rPr>
          <w:rFonts w:hint="eastAsia" w:asciiTheme="minorEastAsia" w:hAnsiTheme="minorEastAsia" w:eastAsiaTheme="minorEastAsia" w:cstheme="minorEastAsia"/>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四、合同</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公开挂网</w:t>
      </w:r>
      <w:r>
        <w:rPr>
          <w:rFonts w:hint="eastAsia" w:ascii="宋体" w:hAnsi="宋体" w:eastAsia="宋体" w:cs="宋体"/>
          <w:color w:val="auto"/>
          <w:sz w:val="24"/>
          <w:szCs w:val="24"/>
          <w:lang w:val="en-US" w:eastAsia="zh-CN"/>
        </w:rPr>
        <w:t>采购</w:t>
      </w:r>
      <w:r>
        <w:rPr>
          <w:rFonts w:hint="eastAsia" w:ascii="宋体" w:hAnsi="宋体" w:cs="宋体"/>
          <w:color w:val="auto"/>
          <w:sz w:val="24"/>
          <w:szCs w:val="24"/>
          <w:u w:val="single"/>
          <w:lang w:val="en-US" w:eastAsia="zh-CN"/>
        </w:rPr>
        <w:t xml:space="preserve"> </w:t>
      </w:r>
      <w:r>
        <w:rPr>
          <w:rFonts w:hint="eastAsia" w:ascii="宋体" w:hAnsi="宋体" w:cs="宋体"/>
          <w:color w:val="0000FF"/>
          <w:sz w:val="24"/>
          <w:szCs w:val="24"/>
          <w:u w:val="single"/>
          <w:lang w:val="en-US" w:eastAsia="zh-CN"/>
        </w:rPr>
        <w:t>胰岛素泵</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cs="宋体"/>
          <w:color w:val="auto"/>
          <w:sz w:val="24"/>
          <w:szCs w:val="24"/>
          <w:u w:val="single"/>
          <w:lang w:val="en-US" w:eastAsia="zh-CN"/>
        </w:rPr>
        <w:t xml:space="preserve"> </w:t>
      </w:r>
      <w:r>
        <w:rPr>
          <w:rFonts w:hint="eastAsia" w:ascii="宋体" w:hAnsi="宋体" w:cs="宋体"/>
          <w:color w:val="0000FF"/>
          <w:sz w:val="24"/>
          <w:szCs w:val="24"/>
          <w:u w:val="single"/>
          <w:lang w:val="en-US" w:eastAsia="zh-CN"/>
        </w:rPr>
        <w:t>胰岛素泵</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FF"/>
                <w:kern w:val="0"/>
                <w:sz w:val="24"/>
                <w:szCs w:val="24"/>
                <w:lang w:val="en-US" w:eastAsia="zh-CN"/>
              </w:rPr>
              <w:t>胰岛素泵</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cs="宋体"/>
                <w:color w:val="000000" w:themeColor="text1"/>
                <w:kern w:val="0"/>
                <w:sz w:val="24"/>
                <w:szCs w:val="24"/>
                <w:lang w:val="en-US" w:eastAsia="zh-CN"/>
                <w14:textFill>
                  <w14:solidFill>
                    <w14:schemeClr w14:val="tx1"/>
                  </w14:solidFill>
                </w14:textFill>
              </w:rPr>
              <w:t>3</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本合同约定价格包括且不限于设计费、材料费、人工费、安装费、包装费、运输费、装卸费、调试费、检测、检验费、税费、保险费、售后服务费等在内所有费用。</w:t>
      </w:r>
    </w:p>
    <w:p>
      <w:pPr>
        <w:keepNext w:val="0"/>
        <w:keepLines w:val="0"/>
        <w:pageBreakBefore w:val="0"/>
        <w:widowControl w:val="0"/>
        <w:numPr>
          <w:ilvl w:val="0"/>
          <w:numId w:val="3"/>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eastAsia" w:ascii="宋体" w:hAnsi="宋体" w:eastAsia="宋体" w:cs="宋体"/>
          <w:color w:val="auto"/>
          <w:sz w:val="24"/>
          <w:szCs w:val="24"/>
          <w:lang w:val="en-US" w:eastAsia="zh-CN"/>
        </w:rPr>
        <w:t>接到甲方通知15个自然日内将</w:t>
      </w:r>
      <w:r>
        <w:rPr>
          <w:rFonts w:hint="default" w:ascii="宋体" w:hAnsi="宋体" w:eastAsia="宋体" w:cs="宋体"/>
          <w:color w:val="auto"/>
          <w:sz w:val="24"/>
          <w:szCs w:val="24"/>
          <w:lang w:val="en-US" w:eastAsia="zh-CN"/>
        </w:rPr>
        <w:t>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lang w:val="en-US" w:eastAsia="zh-CN"/>
        </w:rPr>
        <w:t>在1个自然日内</w:t>
      </w:r>
      <w:r>
        <w:rPr>
          <w:rFonts w:hint="default" w:ascii="宋体" w:hAnsi="宋体" w:eastAsia="宋体" w:cs="宋体"/>
          <w:color w:val="auto"/>
          <w:sz w:val="24"/>
          <w:szCs w:val="24"/>
          <w:lang w:val="en-US" w:eastAsia="zh-CN"/>
        </w:rPr>
        <w:t>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w:t>
      </w:r>
      <w:r>
        <w:rPr>
          <w:rFonts w:hint="eastAsia" w:ascii="宋体" w:hAnsi="宋体" w:eastAsia="宋体" w:cs="宋体"/>
          <w:color w:val="FF0000"/>
          <w:sz w:val="24"/>
          <w:szCs w:val="24"/>
          <w:highlight w:val="none"/>
        </w:rPr>
        <w:t>使用科室、设备科及相关部门</w:t>
      </w:r>
      <w:r>
        <w:rPr>
          <w:rFonts w:hint="eastAsia" w:ascii="宋体" w:hAnsi="宋体" w:eastAsia="宋体" w:cs="宋体"/>
          <w:color w:val="FF0000"/>
          <w:sz w:val="24"/>
          <w:szCs w:val="24"/>
          <w:highlight w:val="none"/>
          <w:lang w:val="en-US" w:eastAsia="zh-CN"/>
        </w:rPr>
        <w:t>进行</w:t>
      </w:r>
      <w:r>
        <w:rPr>
          <w:rFonts w:hint="eastAsia" w:ascii="宋体" w:hAnsi="宋体" w:eastAsia="宋体" w:cs="宋体"/>
          <w:color w:val="auto"/>
          <w:sz w:val="24"/>
          <w:szCs w:val="24"/>
          <w:highlight w:val="none"/>
          <w:lang w:val="en-US" w:eastAsia="zh-CN"/>
        </w:rPr>
        <w:t>总体验收，验收合格后签署总体验收报告单。如经甲方验收不合格，乙方应在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cs="宋体"/>
          <w:color w:val="auto"/>
          <w:sz w:val="24"/>
          <w:szCs w:val="24"/>
          <w:u w:val="single"/>
          <w:lang w:val="en-US" w:eastAsia="zh-CN"/>
        </w:rPr>
        <w:t>2</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0000FF"/>
          <w:sz w:val="24"/>
          <w:lang w:val="en-US" w:eastAsia="zh-CN"/>
        </w:rPr>
        <w:t>并</w:t>
      </w:r>
      <w:r>
        <w:rPr>
          <w:rFonts w:hint="eastAsia" w:ascii="宋体" w:hAnsi="宋体" w:eastAsia="宋体" w:cs="宋体"/>
          <w:color w:val="0000FF"/>
          <w:sz w:val="24"/>
          <w:szCs w:val="24"/>
        </w:rPr>
        <w:t>出具原厂售后质保承诺书</w:t>
      </w:r>
      <w:r>
        <w:rPr>
          <w:rFonts w:hint="eastAsia" w:ascii="宋体" w:hAnsi="宋体" w:eastAsia="宋体" w:cs="宋体"/>
          <w:sz w:val="24"/>
        </w:rPr>
        <w:t>。</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w:t>
      </w:r>
      <w:r>
        <w:rPr>
          <w:rFonts w:hint="eastAsia" w:ascii="宋体" w:hAnsi="宋体" w:eastAsia="宋体" w:cs="宋体"/>
          <w:color w:val="auto"/>
          <w:sz w:val="24"/>
          <w:szCs w:val="24"/>
          <w:highlight w:val="none"/>
          <w:lang w:val="en-US" w:eastAsia="zh-CN"/>
        </w:rPr>
        <w:t>后</w:t>
      </w:r>
      <w:r>
        <w:rPr>
          <w:rFonts w:hint="eastAsia" w:ascii="宋体" w:hAnsi="宋体" w:eastAsia="宋体" w:cs="宋体"/>
          <w:color w:val="0000FF"/>
          <w:sz w:val="24"/>
          <w:szCs w:val="24"/>
          <w:highlight w:val="none"/>
          <w:lang w:val="en-US" w:eastAsia="zh-CN"/>
        </w:rPr>
        <w:t>24小时响应，响应后4小时上门服务</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lang w:val="en-US" w:eastAsia="zh-CN"/>
        </w:rPr>
        <w:t>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w:t>
      </w:r>
      <w:r>
        <w:rPr>
          <w:rFonts w:hint="eastAsia" w:ascii="宋体" w:hAnsi="宋体" w:cs="宋体"/>
          <w:color w:val="0000FF"/>
          <w:sz w:val="24"/>
          <w:szCs w:val="24"/>
          <w:lang w:val="en-US" w:eastAsia="zh-CN"/>
        </w:rPr>
        <w:t>一</w:t>
      </w:r>
      <w:r>
        <w:rPr>
          <w:rFonts w:hint="eastAsia" w:ascii="宋体" w:hAnsi="宋体" w:eastAsia="宋体" w:cs="宋体"/>
          <w:color w:val="auto"/>
          <w:sz w:val="24"/>
          <w:szCs w:val="24"/>
          <w:lang w:val="en-US" w:eastAsia="zh-CN"/>
        </w:rPr>
        <w:t>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质保期届满后，如设备出现问题，乙方应在接到甲方通知（包括电话通知）24小时响应，响应后4小时上门服务，相关费用由甲方承担。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cs="宋体"/>
          <w:color w:val="auto"/>
          <w:sz w:val="24"/>
          <w:szCs w:val="24"/>
          <w:u w:val="single"/>
          <w:lang w:val="en-US" w:eastAsia="zh-CN"/>
        </w:rPr>
        <w:t>2</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pStyle w:val="2"/>
        <w:keepNext/>
        <w:keepLines/>
        <w:pageBreakBefore w:val="0"/>
        <w:widowControl w:val="0"/>
        <w:kinsoku/>
        <w:wordWrap/>
        <w:overflowPunct/>
        <w:topLinePunct w:val="0"/>
        <w:autoSpaceDE/>
        <w:autoSpaceDN/>
        <w:bidi w:val="0"/>
        <w:adjustRightInd w:val="0"/>
        <w:snapToGrid/>
        <w:spacing w:before="0" w:after="0" w:line="360" w:lineRule="auto"/>
        <w:ind w:firstLine="562" w:firstLineChars="200"/>
        <w:textAlignment w:val="baseline"/>
        <w:rPr>
          <w:rFonts w:hint="eastAsia" w:asciiTheme="minorEastAsia" w:hAnsiTheme="minorEastAsia" w:eastAsiaTheme="minorEastAsia" w:cstheme="minorEastAsia"/>
          <w:bCs/>
          <w:color w:val="auto"/>
          <w:kern w:val="0"/>
          <w:sz w:val="28"/>
          <w:szCs w:val="28"/>
          <w:lang w:val="en-US" w:eastAsia="zh-CN" w:bidi="ar-SA"/>
        </w:rPr>
      </w:pPr>
    </w:p>
    <w:p>
      <w:pPr>
        <w:rPr>
          <w:rFonts w:hint="eastAsia"/>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spacing w:line="360" w:lineRule="auto"/>
        <w:ind w:firstLine="880" w:firstLineChars="200"/>
        <w:rPr>
          <w:rFonts w:hint="eastAsia" w:ascii="宋体" w:hAnsi="宋体" w:cs="宋体"/>
          <w:color w:val="auto"/>
          <w:sz w:val="44"/>
          <w:szCs w:val="44"/>
          <w:lang w:val="en-US" w:eastAsia="zh-CN"/>
        </w:rPr>
      </w:pPr>
    </w:p>
    <w:p>
      <w:pPr>
        <w:pStyle w:val="2"/>
        <w:rPr>
          <w:rFonts w:hint="eastAsia"/>
          <w:lang w:val="en-US" w:eastAsia="zh-CN"/>
        </w:rPr>
      </w:pPr>
    </w:p>
    <w:p>
      <w:pPr>
        <w:rPr>
          <w:rFonts w:hint="eastAsia"/>
          <w:lang w:val="en-US" w:eastAsia="zh-CN"/>
        </w:rPr>
      </w:pPr>
    </w:p>
    <w:p>
      <w:pPr>
        <w:pStyle w:val="11"/>
        <w:rPr>
          <w:rFonts w:hint="eastAsia"/>
          <w:lang w:val="en-US" w:eastAsia="zh-CN"/>
        </w:rPr>
      </w:pPr>
    </w:p>
    <w:p>
      <w:pPr>
        <w:pStyle w:val="11"/>
        <w:rPr>
          <w:rFonts w:hint="eastAsia"/>
          <w:lang w:val="en-US" w:eastAsia="zh-CN"/>
        </w:rPr>
      </w:pPr>
    </w:p>
    <w:p>
      <w:pPr>
        <w:spacing w:line="360" w:lineRule="auto"/>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rPr>
          <w:rFonts w:hint="eastAsia" w:ascii="宋体" w:hAnsi="宋体" w:cs="宋体"/>
          <w:color w:val="auto"/>
          <w:sz w:val="44"/>
          <w:szCs w:val="44"/>
          <w:lang w:val="en-US" w:eastAsia="zh-CN"/>
        </w:rPr>
      </w:pPr>
    </w:p>
    <w:p>
      <w:pPr>
        <w:pStyle w:val="2"/>
        <w:rPr>
          <w:rFonts w:hint="eastAsia" w:ascii="宋体" w:hAnsi="宋体" w:cs="宋体"/>
          <w:color w:val="auto"/>
          <w:sz w:val="44"/>
          <w:szCs w:val="44"/>
          <w:lang w:val="en-US" w:eastAsia="zh-CN"/>
        </w:rPr>
      </w:pPr>
    </w:p>
    <w:p>
      <w:pPr>
        <w:pStyle w:val="14"/>
        <w:widowControl w:val="0"/>
        <w:numPr>
          <w:ilvl w:val="0"/>
          <w:numId w:val="0"/>
        </w:numPr>
        <w:jc w:val="both"/>
        <w:rPr>
          <w:color w:val="auto"/>
          <w:sz w:val="28"/>
          <w:szCs w:val="28"/>
        </w:rPr>
      </w:pPr>
    </w:p>
    <w:p>
      <w:pPr>
        <w:pStyle w:val="2"/>
        <w:numPr>
          <w:ilvl w:val="0"/>
          <w:numId w:val="0"/>
        </w:numPr>
        <w:spacing w:line="240" w:lineRule="auto"/>
        <w:ind w:left="2940" w:leftChars="0"/>
        <w:jc w:val="both"/>
        <w:rPr>
          <w:rFonts w:hint="eastAsia" w:ascii="宋体" w:hAnsi="宋体" w:cs="宋体"/>
          <w:color w:val="auto"/>
          <w:sz w:val="30"/>
          <w:szCs w:val="30"/>
        </w:rPr>
      </w:pPr>
      <w:bookmarkStart w:id="1" w:name="_Toc16523574"/>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jc w:val="center"/>
        <w:rPr>
          <w:rFonts w:hint="eastAsia" w:eastAsia="宋体"/>
          <w:b/>
          <w:color w:val="auto"/>
          <w:sz w:val="24"/>
          <w:lang w:eastAsia="zh-CN"/>
        </w:rPr>
      </w:pPr>
      <w:r>
        <w:rPr>
          <w:rFonts w:hint="eastAsia"/>
          <w:b/>
          <w:color w:val="auto"/>
          <w:sz w:val="24"/>
          <w:lang w:eastAsia="zh-CN"/>
        </w:rPr>
        <w:t>注：此项内容需包含投标商品名称、数量、品牌、型号、单价、总价、等信息</w:t>
      </w:r>
    </w:p>
    <w:p>
      <w:pPr>
        <w:pStyle w:val="15"/>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4"/>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及资格要求的证明材料，提供信用中国网页查询截图，</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2" w:name="_Toc476514128"/>
      <w:bookmarkStart w:id="3" w:name="_Toc486424819"/>
    </w:p>
    <w:p>
      <w:pPr>
        <w:pStyle w:val="14"/>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2"/>
    <w:bookmarkEnd w:id="3"/>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pStyle w:val="15"/>
        <w:rPr>
          <w:color w:val="auto"/>
        </w:rPr>
      </w:pPr>
    </w:p>
    <w:p>
      <w:pPr>
        <w:pStyle w:val="14"/>
        <w:rPr>
          <w:rFonts w:hint="eastAsia"/>
          <w:lang w:eastAsia="zh-CN"/>
        </w:rPr>
      </w:pPr>
    </w:p>
    <w:p/>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abstractNum w:abstractNumId="1">
    <w:nsid w:val="F22833F1"/>
    <w:multiLevelType w:val="singleLevel"/>
    <w:tmpl w:val="F22833F1"/>
    <w:lvl w:ilvl="0" w:tentative="0">
      <w:start w:val="1"/>
      <w:numFmt w:val="decimal"/>
      <w:suff w:val="nothing"/>
      <w:lvlText w:val="%1、"/>
      <w:lvlJc w:val="left"/>
    </w:lvl>
  </w:abstractNum>
  <w:abstractNum w:abstractNumId="2">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3YmMxNGQ0NDE0NTRiYjQ3MWFkZjk1MWM2MTc2NWEifQ=="/>
  </w:docVars>
  <w:rsids>
    <w:rsidRoot w:val="6DE375E4"/>
    <w:rsid w:val="00AE556A"/>
    <w:rsid w:val="04653F41"/>
    <w:rsid w:val="06E91EC4"/>
    <w:rsid w:val="0E331420"/>
    <w:rsid w:val="0EDD1643"/>
    <w:rsid w:val="12080B62"/>
    <w:rsid w:val="12994AC5"/>
    <w:rsid w:val="129F447F"/>
    <w:rsid w:val="1AF56B46"/>
    <w:rsid w:val="1F796B24"/>
    <w:rsid w:val="1FE73549"/>
    <w:rsid w:val="20B41DA7"/>
    <w:rsid w:val="28E81B29"/>
    <w:rsid w:val="29B45A41"/>
    <w:rsid w:val="2C7642D0"/>
    <w:rsid w:val="2DD77C64"/>
    <w:rsid w:val="2DDA1E78"/>
    <w:rsid w:val="2EAC037F"/>
    <w:rsid w:val="2EB67A5C"/>
    <w:rsid w:val="302741D2"/>
    <w:rsid w:val="308B184D"/>
    <w:rsid w:val="340F06E9"/>
    <w:rsid w:val="372F7378"/>
    <w:rsid w:val="397348CD"/>
    <w:rsid w:val="3B3B544D"/>
    <w:rsid w:val="3B654F2B"/>
    <w:rsid w:val="3E584E51"/>
    <w:rsid w:val="429A4992"/>
    <w:rsid w:val="435B161D"/>
    <w:rsid w:val="43B25DAC"/>
    <w:rsid w:val="4B7F39F4"/>
    <w:rsid w:val="4BAE646F"/>
    <w:rsid w:val="4CAC1559"/>
    <w:rsid w:val="4DCD6AB3"/>
    <w:rsid w:val="50540C20"/>
    <w:rsid w:val="51AC28BD"/>
    <w:rsid w:val="611B6B1B"/>
    <w:rsid w:val="64133D6A"/>
    <w:rsid w:val="678E4F5D"/>
    <w:rsid w:val="680E122C"/>
    <w:rsid w:val="6DE375E4"/>
    <w:rsid w:val="71584067"/>
    <w:rsid w:val="74566F5C"/>
    <w:rsid w:val="750117A8"/>
    <w:rsid w:val="77423DFF"/>
    <w:rsid w:val="7BBF44BB"/>
    <w:rsid w:val="7BF15CE4"/>
    <w:rsid w:val="7C3A27E5"/>
    <w:rsid w:val="7D9727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next w:val="5"/>
    <w:qFormat/>
    <w:uiPriority w:val="99"/>
    <w:pPr>
      <w:spacing w:line="400" w:lineRule="exact"/>
      <w:ind w:left="630"/>
    </w:pPr>
    <w:rPr>
      <w:rFonts w:ascii="楷体_GB2312"/>
      <w:sz w:val="30"/>
      <w:szCs w:val="30"/>
    </w:rPr>
  </w:style>
  <w:style w:type="paragraph" w:styleId="5">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6">
    <w:name w:val="footer"/>
    <w:basedOn w:val="1"/>
    <w:qFormat/>
    <w:uiPriority w:val="0"/>
    <w:pPr>
      <w:tabs>
        <w:tab w:val="center" w:pos="4153"/>
        <w:tab w:val="right" w:pos="8306"/>
      </w:tabs>
      <w:snapToGrid w:val="0"/>
      <w:jc w:val="left"/>
    </w:pPr>
    <w:rPr>
      <w:kern w:val="0"/>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qFormat/>
    <w:uiPriority w:val="0"/>
    <w:rPr>
      <w:sz w:val="24"/>
    </w:rPr>
  </w:style>
  <w:style w:type="paragraph" w:customStyle="1" w:styleId="11">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12">
    <w:name w:val="Default"/>
    <w:next w:val="1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3">
    <w:name w:val="大标题"/>
    <w:basedOn w:val="1"/>
    <w:next w:val="5"/>
    <w:qFormat/>
    <w:uiPriority w:val="0"/>
    <w:pPr>
      <w:jc w:val="center"/>
    </w:pPr>
    <w:rPr>
      <w:rFonts w:ascii="Arial" w:hAnsi="Arial" w:eastAsia="宋体"/>
      <w:b/>
      <w:sz w:val="28"/>
      <w:szCs w:val="24"/>
    </w:rPr>
  </w:style>
  <w:style w:type="paragraph" w:customStyle="1" w:styleId="14">
    <w:name w:val="列出段落1"/>
    <w:basedOn w:val="1"/>
    <w:qFormat/>
    <w:uiPriority w:val="99"/>
    <w:pPr>
      <w:ind w:firstLine="420" w:firstLineChars="200"/>
    </w:pPr>
  </w:style>
  <w:style w:type="paragraph" w:customStyle="1" w:styleId="15">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6">
    <w:name w:val="List Paragraph"/>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7686</Words>
  <Characters>8040</Characters>
  <Lines>0</Lines>
  <Paragraphs>0</Paragraphs>
  <TotalTime>0</TotalTime>
  <ScaleCrop>false</ScaleCrop>
  <LinksUpToDate>false</LinksUpToDate>
  <CharactersWithSpaces>8973</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2023-07-17T09:45:00Z</dcterms:created>
  <dc:creator>是小豹子</dc:creator>
  <cp:lastModifiedBy>张思远</cp:lastModifiedBy>
  <dcterms:modified xsi:type="dcterms:W3CDTF">2023-10-11T00:42:51Z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3505A2AB25E048A4A9B0E6A6741CA1BA_11</vt:lpwstr>
  </property>
</Properties>
</file>