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napToGrid w:val="0"/>
        <w:jc w:val="center"/>
        <w:rPr>
          <w:rFonts w:ascii="Arial" w:hAnsi="Arial" w:eastAsia="方正小标宋简体" w:cs="Arial"/>
          <w:color w:val="auto"/>
          <w:sz w:val="72"/>
          <w:szCs w:val="72"/>
        </w:rPr>
      </w:pPr>
      <w:bookmarkStart w:id="0" w:name="_Toc16523570"/>
    </w:p>
    <w:p>
      <w:pPr>
        <w:pStyle w:val="13"/>
        <w:tabs>
          <w:tab w:val="left" w:pos="312"/>
        </w:tabs>
        <w:snapToGrid w:val="0"/>
        <w:spacing w:line="288" w:lineRule="auto"/>
        <w:jc w:val="center"/>
        <w:rPr>
          <w:rFonts w:ascii="Arial" w:hAnsi="Arial" w:eastAsia="方正小标宋简体" w:cs="Arial"/>
          <w:sz w:val="72"/>
          <w:szCs w:val="72"/>
        </w:rPr>
      </w:pPr>
      <w:r>
        <w:rPr>
          <w:rFonts w:hint="eastAsia" w:ascii="Arial" w:hAnsi="Arial" w:eastAsia="方正小标宋简体" w:cs="Arial"/>
          <w:sz w:val="72"/>
          <w:szCs w:val="72"/>
        </w:rPr>
        <w:t>娄底市中心医院院内</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3"/>
        <w:snapToGrid w:val="0"/>
        <w:jc w:val="center"/>
        <w:rPr>
          <w:rFonts w:ascii="Arial" w:hAnsi="Arial" w:eastAsia="方正小标宋简体" w:cs="Arial"/>
          <w:sz w:val="72"/>
          <w:szCs w:val="72"/>
        </w:rPr>
      </w:pPr>
    </w:p>
    <w:p>
      <w:pPr>
        <w:pStyle w:val="13"/>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3"/>
        <w:snapToGrid w:val="0"/>
        <w:jc w:val="center"/>
        <w:rPr>
          <w:rFonts w:ascii="Arial" w:hAnsi="Arial" w:cs="Arial"/>
          <w:sz w:val="32"/>
          <w:szCs w:val="32"/>
        </w:rPr>
      </w:pPr>
    </w:p>
    <w:p>
      <w:pPr>
        <w:pStyle w:val="13"/>
        <w:snapToGrid w:val="0"/>
        <w:jc w:val="center"/>
        <w:rPr>
          <w:rFonts w:ascii="Arial" w:hAnsi="Arial" w:cs="Arial"/>
          <w:sz w:val="32"/>
          <w:szCs w:val="32"/>
        </w:rPr>
      </w:pPr>
    </w:p>
    <w:p>
      <w:pPr>
        <w:pStyle w:val="13"/>
        <w:snapToGrid w:val="0"/>
        <w:jc w:val="center"/>
        <w:rPr>
          <w:rFonts w:ascii="Arial" w:hAnsi="Arial" w:cs="Arial"/>
          <w:sz w:val="32"/>
          <w:szCs w:val="32"/>
        </w:rPr>
      </w:pPr>
    </w:p>
    <w:p>
      <w:pPr>
        <w:spacing w:line="360" w:lineRule="auto"/>
        <w:rPr>
          <w:rFonts w:hint="eastAsia"/>
          <w:bCs/>
          <w:sz w:val="32"/>
          <w:szCs w:val="32"/>
        </w:rPr>
      </w:pP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娄底中心医院设备科医疗器械招标文件</w:t>
      </w:r>
    </w:p>
    <w:p>
      <w:pPr>
        <w:jc w:val="center"/>
        <w:rPr>
          <w:rFonts w:hint="default" w:ascii="Times New Roman" w:hAnsi="Times New Roman" w:eastAsia="宋体" w:cs="Times New Roman"/>
          <w:b/>
          <w:bCs/>
          <w:kern w:val="44"/>
          <w:sz w:val="32"/>
          <w:szCs w:val="32"/>
          <w:lang w:val="en-US" w:eastAsia="zh-CN" w:bidi="ar-SA"/>
        </w:rPr>
      </w:pPr>
      <w:r>
        <w:rPr>
          <w:rFonts w:hint="eastAsia" w:cs="Times New Roman"/>
          <w:b/>
          <w:bCs/>
          <w:kern w:val="44"/>
          <w:sz w:val="32"/>
          <w:szCs w:val="32"/>
          <w:lang w:val="en-US" w:eastAsia="zh-CN" w:bidi="ar-SA"/>
        </w:rPr>
        <w:t>（气相色谱仪</w:t>
      </w:r>
      <w:r>
        <w:rPr>
          <w:rFonts w:hint="eastAsia" w:ascii="Times New Roman" w:hAnsi="Times New Roman" w:eastAsia="宋体" w:cs="Times New Roman"/>
          <w:b/>
          <w:bCs/>
          <w:kern w:val="44"/>
          <w:sz w:val="32"/>
          <w:szCs w:val="32"/>
          <w:lang w:val="en-US" w:eastAsia="zh-CN" w:bidi="ar-SA"/>
        </w:rPr>
        <w:t>院内招标）</w:t>
      </w:r>
    </w:p>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val="en-US" w:eastAsia="zh-CN"/>
        </w:rPr>
        <w:t>三</w:t>
      </w:r>
      <w:r>
        <w:rPr>
          <w:rFonts w:hint="eastAsia" w:ascii="宋体" w:hAnsi="宋体" w:cs="宋体"/>
          <w:bCs/>
          <w:sz w:val="32"/>
          <w:szCs w:val="32"/>
        </w:rPr>
        <w:t>年</w:t>
      </w:r>
      <w:r>
        <w:rPr>
          <w:rFonts w:hint="eastAsia" w:ascii="宋体" w:hAnsi="宋体" w:cs="宋体"/>
          <w:bCs/>
          <w:sz w:val="32"/>
          <w:szCs w:val="32"/>
          <w:lang w:val="en-US" w:eastAsia="zh-CN"/>
        </w:rPr>
        <w:t>十</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ascii="宋体" w:hAnsi="宋体" w:cs="宋体"/>
          <w:color w:val="auto"/>
          <w:sz w:val="44"/>
          <w:szCs w:val="44"/>
          <w:lang w:val="en-US" w:eastAsia="zh-CN"/>
        </w:rPr>
      </w:pPr>
    </w:p>
    <w:p>
      <w:pPr>
        <w:pStyle w:val="2"/>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u w:val="single"/>
          <w:lang w:val="en-US" w:eastAsia="zh-CN"/>
        </w:rPr>
        <w:t>气相色谱仪</w:t>
      </w:r>
      <w:r>
        <w:rPr>
          <w:rFonts w:hint="eastAsia" w:asciiTheme="minorEastAsia" w:hAnsiTheme="minorEastAsia" w:eastAsiaTheme="minorEastAsia" w:cstheme="minorEastAsia"/>
          <w:bCs/>
          <w:color w:val="auto"/>
          <w:sz w:val="28"/>
          <w:szCs w:val="28"/>
          <w:lang w:val="en-US" w:eastAsia="zh-CN"/>
        </w:rPr>
        <w:t>项目进行院内挂网招标，将招标事项公告如下：</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一、项目信息</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 w:val="0"/>
          <w:bCs/>
          <w:color w:val="auto"/>
          <w:sz w:val="28"/>
          <w:szCs w:val="28"/>
          <w:lang w:val="en-US" w:eastAsia="zh-CN"/>
        </w:rPr>
      </w:pPr>
      <w:r>
        <w:rPr>
          <w:rFonts w:hint="eastAsia" w:asciiTheme="minorEastAsia" w:hAnsiTheme="minorEastAsia" w:eastAsiaTheme="minorEastAsia" w:cstheme="minorEastAsia"/>
          <w:b w:val="0"/>
          <w:bCs/>
          <w:color w:val="auto"/>
          <w:sz w:val="28"/>
          <w:szCs w:val="28"/>
          <w:lang w:val="en-US" w:eastAsia="zh-CN"/>
        </w:rPr>
        <w:t>项目名称：</w:t>
      </w:r>
      <w:r>
        <w:rPr>
          <w:rFonts w:hint="eastAsia" w:asciiTheme="minorEastAsia" w:hAnsiTheme="minorEastAsia" w:eastAsiaTheme="minorEastAsia" w:cstheme="minorEastAsia"/>
          <w:bCs/>
          <w:color w:val="auto"/>
          <w:sz w:val="28"/>
          <w:szCs w:val="28"/>
          <w:u w:val="single"/>
          <w:lang w:val="en-US" w:eastAsia="zh-CN"/>
        </w:rPr>
        <w:t>气相色谱仪</w:t>
      </w:r>
      <w:r>
        <w:rPr>
          <w:rFonts w:hint="eastAsia" w:asciiTheme="minorEastAsia" w:hAnsiTheme="minorEastAsia" w:eastAsiaTheme="minorEastAsia" w:cstheme="minorEastAsia"/>
          <w:b w:val="0"/>
          <w:bCs/>
          <w:color w:val="auto"/>
          <w:sz w:val="28"/>
          <w:szCs w:val="28"/>
          <w:lang w:val="en-US" w:eastAsia="zh-CN"/>
        </w:rPr>
        <w:t>采购项目</w:t>
      </w:r>
    </w:p>
    <w:p>
      <w:pPr>
        <w:pStyle w:val="13"/>
        <w:numPr>
          <w:ilvl w:val="0"/>
          <w:numId w:val="1"/>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采购方式</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1、院内招标，由招标人内部评标。根据投标人的资格性文件、商务标文件，重点参照投标人企业资质、信誉、类似项目情况、技术方案、服务方案以及投标报价，综合评定，综合得分由高到低排序。</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2、在同等条件下，有效合理得分高者中标。</w:t>
      </w:r>
    </w:p>
    <w:bookmarkEnd w:id="0"/>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三、投标人资格要求</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1、具有独立法人地位，营业执照具有相应的经营范围；</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2、参加政府采购活动近3年内，在经营活动中没有重大违法记录；</w:t>
      </w:r>
    </w:p>
    <w:p>
      <w:pPr>
        <w:pStyle w:val="13"/>
        <w:numPr>
          <w:ilvl w:val="0"/>
          <w:numId w:val="0"/>
        </w:numPr>
        <w:tabs>
          <w:tab w:val="left" w:pos="312"/>
        </w:tabs>
        <w:snapToGrid w:val="0"/>
        <w:spacing w:line="480" w:lineRule="auto"/>
        <w:ind w:firstLine="560" w:firstLineChars="2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3、投标人未列入经营异常名录和未列入严重违法失信企业名单（黑名单），投标人企业法人代表未被列入失信被执行人名单；</w:t>
      </w:r>
    </w:p>
    <w:p>
      <w:pPr>
        <w:pStyle w:val="13"/>
        <w:numPr>
          <w:ilvl w:val="0"/>
          <w:numId w:val="0"/>
        </w:numPr>
        <w:tabs>
          <w:tab w:val="left" w:pos="312"/>
        </w:tabs>
        <w:snapToGrid w:val="0"/>
        <w:spacing w:line="480" w:lineRule="auto"/>
        <w:ind w:firstLine="840" w:firstLineChars="300"/>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4、本项目不接受联合体投标，不得分包、转包；</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5、单位负责人为同一人或者存在直接控股、管理关系的不同投标人，不得参加本次采购活动。</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四、投标截止时间、开标时间及地点：</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1、投标截止时间、开标时间：具体时间电话通知</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2、开标地点;娄底市中心医院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五、招标人地址和联系方法：</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1、招标人名称：娄底市中心医院</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asciiTheme="minorEastAsia" w:hAnsiTheme="minorEastAsia" w:eastAsiaTheme="minorEastAsia" w:cstheme="minorEastAsia"/>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 xml:space="preserve">2、联系人及联系方式：廖海星 </w:t>
      </w:r>
      <w:r>
        <w:rPr>
          <w:rFonts w:hint="eastAsia" w:asciiTheme="minorEastAsia" w:hAnsiTheme="minorEastAsia" w:eastAsiaTheme="minorEastAsia" w:cstheme="minorEastAsia"/>
          <w:i w:val="0"/>
          <w:iCs w:val="0"/>
          <w:caps w:val="0"/>
          <w:color w:val="000000"/>
          <w:spacing w:val="0"/>
          <w:sz w:val="28"/>
          <w:szCs w:val="28"/>
        </w:rPr>
        <w:t>15873871616</w:t>
      </w:r>
    </w:p>
    <w:p>
      <w:pPr>
        <w:pStyle w:val="13"/>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asciiTheme="minorEastAsia" w:hAnsiTheme="minorEastAsia" w:eastAsiaTheme="minorEastAsia" w:cstheme="minorEastAsia"/>
          <w:bCs/>
          <w:color w:val="auto"/>
          <w:sz w:val="28"/>
          <w:szCs w:val="28"/>
          <w:lang w:val="en-US" w:eastAsia="zh-CN"/>
        </w:rPr>
        <w:t>3、招标人地址：娄底市长青中街51号</w:t>
      </w:r>
    </w:p>
    <w:p>
      <w:pPr>
        <w:pStyle w:val="13"/>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1.采购项目</w:t>
      </w:r>
    </w:p>
    <w:tbl>
      <w:tblPr>
        <w:tblStyle w:val="9"/>
        <w:tblW w:w="9877" w:type="dxa"/>
        <w:jc w:val="center"/>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Layout w:type="autofit"/>
        <w:tblCellMar>
          <w:top w:w="15" w:type="dxa"/>
          <w:left w:w="15" w:type="dxa"/>
          <w:bottom w:w="15" w:type="dxa"/>
          <w:right w:w="15" w:type="dxa"/>
        </w:tblCellMar>
      </w:tblPr>
      <w:tblGrid>
        <w:gridCol w:w="786"/>
        <w:gridCol w:w="2526"/>
        <w:gridCol w:w="1200"/>
        <w:gridCol w:w="1500"/>
        <w:gridCol w:w="1738"/>
        <w:gridCol w:w="2127"/>
      </w:tblGrid>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600" w:hRule="atLeast"/>
          <w:jc w:val="center"/>
        </w:trPr>
        <w:tc>
          <w:tcPr>
            <w:tcW w:w="78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序号</w:t>
            </w:r>
          </w:p>
        </w:tc>
        <w:tc>
          <w:tcPr>
            <w:tcW w:w="2526"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设备名称</w:t>
            </w:r>
          </w:p>
        </w:tc>
        <w:tc>
          <w:tcPr>
            <w:tcW w:w="1200"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数量</w:t>
            </w:r>
            <w:r>
              <w:rPr>
                <w:rFonts w:hint="eastAsia" w:asciiTheme="minorEastAsia" w:hAnsiTheme="minorEastAsia" w:eastAsiaTheme="minorEastAsia" w:cstheme="minorEastAsia"/>
                <w:sz w:val="28"/>
                <w:szCs w:val="28"/>
              </w:rPr>
              <w:t>(台/套)</w:t>
            </w:r>
          </w:p>
        </w:tc>
        <w:tc>
          <w:tcPr>
            <w:tcW w:w="1500" w:type="dxa"/>
            <w:tcBorders>
              <w:top w:val="single" w:color="000000" w:sz="6" w:space="0"/>
              <w:left w:val="single" w:color="000000" w:sz="6" w:space="0"/>
              <w:bottom w:val="single" w:color="000000" w:sz="6" w:space="0"/>
              <w:right w:val="single" w:color="auto" w:sz="4"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预算价格（万元）</w:t>
            </w:r>
          </w:p>
        </w:tc>
        <w:tc>
          <w:tcPr>
            <w:tcW w:w="1738" w:type="dxa"/>
            <w:tcBorders>
              <w:top w:val="single" w:color="000000" w:sz="6" w:space="0"/>
              <w:left w:val="single" w:color="auto" w:sz="4" w:space="0"/>
              <w:bottom w:val="single" w:color="000000" w:sz="6"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预算单品种总价（万元）</w:t>
            </w:r>
          </w:p>
        </w:tc>
        <w:tc>
          <w:tcPr>
            <w:tcW w:w="2127" w:type="dxa"/>
            <w:tcBorders>
              <w:top w:val="single" w:color="000000" w:sz="6" w:space="0"/>
              <w:left w:val="single" w:color="000000" w:sz="6" w:space="0"/>
              <w:bottom w:val="single" w:color="000000" w:sz="6"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是否允许进口</w:t>
            </w:r>
          </w:p>
          <w:p>
            <w:pPr>
              <w:spacing w:line="480" w:lineRule="auto"/>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设备投标</w:t>
            </w:r>
          </w:p>
        </w:tc>
      </w:tr>
      <w:tr>
        <w:tblPrEx>
          <w:tblBorders>
            <w:top w:val="single" w:color="000000" w:sz="6" w:space="0"/>
            <w:left w:val="single" w:color="000000" w:sz="6" w:space="0"/>
            <w:bottom w:val="single" w:color="000000" w:sz="6" w:space="0"/>
            <w:right w:val="single" w:color="000000" w:sz="6" w:space="0"/>
            <w:insideH w:val="none" w:color="auto" w:sz="0" w:space="0"/>
            <w:insideV w:val="none" w:color="auto" w:sz="0" w:space="0"/>
          </w:tblBorders>
          <w:tblCellMar>
            <w:top w:w="15" w:type="dxa"/>
            <w:left w:w="15" w:type="dxa"/>
            <w:bottom w:w="15" w:type="dxa"/>
            <w:right w:w="15" w:type="dxa"/>
          </w:tblCellMar>
        </w:tblPrEx>
        <w:trPr>
          <w:trHeight w:val="1567" w:hRule="atLeast"/>
          <w:jc w:val="center"/>
        </w:trPr>
        <w:tc>
          <w:tcPr>
            <w:tcW w:w="78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eastAsia" w:asciiTheme="minorEastAsia" w:hAnsiTheme="minorEastAsia" w:eastAsiaTheme="minorEastAsia" w:cstheme="minorEastAsia"/>
                <w:kern w:val="2"/>
                <w:sz w:val="28"/>
                <w:szCs w:val="28"/>
              </w:rPr>
            </w:pPr>
            <w:r>
              <w:rPr>
                <w:rFonts w:hint="eastAsia" w:asciiTheme="minorEastAsia" w:hAnsiTheme="minorEastAsia" w:eastAsiaTheme="minorEastAsia" w:cstheme="minorEastAsia"/>
                <w:kern w:val="2"/>
                <w:sz w:val="28"/>
                <w:szCs w:val="28"/>
              </w:rPr>
              <w:t>1</w:t>
            </w:r>
          </w:p>
        </w:tc>
        <w:tc>
          <w:tcPr>
            <w:tcW w:w="2526"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bCs/>
                <w:color w:val="auto"/>
                <w:sz w:val="28"/>
                <w:szCs w:val="28"/>
                <w:lang w:val="en-US" w:eastAsia="zh-CN"/>
              </w:rPr>
              <w:t>气相色谱仪</w:t>
            </w:r>
          </w:p>
        </w:tc>
        <w:tc>
          <w:tcPr>
            <w:tcW w:w="1200"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1</w:t>
            </w:r>
          </w:p>
        </w:tc>
        <w:tc>
          <w:tcPr>
            <w:tcW w:w="1500" w:type="dxa"/>
            <w:tcBorders>
              <w:top w:val="single" w:color="000000" w:sz="6" w:space="0"/>
              <w:left w:val="single" w:color="000000" w:sz="6" w:space="0"/>
              <w:bottom w:val="single" w:color="auto" w:sz="4" w:space="0"/>
              <w:right w:val="single" w:color="auto" w:sz="4"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31.5</w:t>
            </w:r>
          </w:p>
        </w:tc>
        <w:tc>
          <w:tcPr>
            <w:tcW w:w="1738" w:type="dxa"/>
            <w:tcBorders>
              <w:top w:val="single" w:color="000000" w:sz="6" w:space="0"/>
              <w:left w:val="single" w:color="auto" w:sz="4" w:space="0"/>
              <w:bottom w:val="single" w:color="auto" w:sz="4" w:space="0"/>
              <w:right w:val="single" w:color="000000" w:sz="6" w:space="0"/>
            </w:tcBorders>
            <w:shd w:val="clear" w:color="auto" w:fill="auto"/>
            <w:tcMar>
              <w:top w:w="75" w:type="dxa"/>
              <w:left w:w="150" w:type="dxa"/>
              <w:bottom w:w="75" w:type="dxa"/>
              <w:right w:w="150" w:type="dxa"/>
            </w:tcMar>
            <w:vAlign w:val="center"/>
          </w:tcPr>
          <w:p>
            <w:pPr>
              <w:pStyle w:val="7"/>
              <w:spacing w:before="0" w:beforeAutospacing="0" w:after="0" w:afterAutospacing="0" w:line="440" w:lineRule="exact"/>
              <w:jc w:val="center"/>
              <w:rPr>
                <w:rFonts w:hint="default" w:asciiTheme="minorEastAsia" w:hAnsiTheme="minorEastAsia" w:eastAsiaTheme="minorEastAsia" w:cstheme="minorEastAsia"/>
                <w:kern w:val="2"/>
                <w:sz w:val="28"/>
                <w:szCs w:val="28"/>
                <w:lang w:val="en-US" w:eastAsia="zh-CN"/>
              </w:rPr>
            </w:pPr>
            <w:r>
              <w:rPr>
                <w:rFonts w:hint="eastAsia" w:asciiTheme="minorEastAsia" w:hAnsiTheme="minorEastAsia" w:eastAsiaTheme="minorEastAsia" w:cstheme="minorEastAsia"/>
                <w:kern w:val="2"/>
                <w:sz w:val="28"/>
                <w:szCs w:val="28"/>
                <w:lang w:val="en-US" w:eastAsia="zh-CN"/>
              </w:rPr>
              <w:t>31.5</w:t>
            </w:r>
          </w:p>
        </w:tc>
        <w:tc>
          <w:tcPr>
            <w:tcW w:w="2127" w:type="dxa"/>
            <w:tcBorders>
              <w:top w:val="single" w:color="000000" w:sz="6" w:space="0"/>
              <w:left w:val="single" w:color="000000" w:sz="6" w:space="0"/>
              <w:bottom w:val="single" w:color="auto" w:sz="4" w:space="0"/>
              <w:right w:val="single" w:color="000000" w:sz="6" w:space="0"/>
            </w:tcBorders>
            <w:shd w:val="clear" w:color="auto" w:fill="auto"/>
            <w:tcMar>
              <w:top w:w="75" w:type="dxa"/>
              <w:left w:w="150" w:type="dxa"/>
              <w:bottom w:w="75" w:type="dxa"/>
              <w:right w:w="150" w:type="dxa"/>
            </w:tcMar>
            <w:vAlign w:val="center"/>
          </w:tcPr>
          <w:p>
            <w:pPr>
              <w:spacing w:line="480" w:lineRule="auto"/>
              <w:jc w:val="center"/>
              <w:rPr>
                <w:rFonts w:hint="default"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否</w:t>
            </w:r>
          </w:p>
        </w:tc>
      </w:tr>
    </w:tbl>
    <w:p>
      <w:pPr>
        <w:spacing w:line="360" w:lineRule="auto"/>
        <w:rPr>
          <w:rFonts w:hint="eastAsia" w:asciiTheme="minorEastAsia" w:hAnsiTheme="minorEastAsia" w:eastAsiaTheme="minorEastAsia" w:cstheme="minorEastAsia"/>
          <w:bCs/>
          <w:color w:val="auto"/>
          <w:kern w:val="0"/>
          <w:sz w:val="28"/>
          <w:szCs w:val="28"/>
          <w:lang w:val="en-US" w:eastAsia="zh-CN" w:bidi="ar-SA"/>
        </w:rPr>
      </w:pP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2、服务时间：双方签订合同时具体约定。</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3、服务地点：娄底市中心医院。</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二、项目内容及要求</w:t>
      </w:r>
    </w:p>
    <w:tbl>
      <w:tblPr>
        <w:tblStyle w:val="9"/>
        <w:tblW w:w="1040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6"/>
        <w:gridCol w:w="94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4" w:hRule="atLeast"/>
          <w:jc w:val="center"/>
        </w:trPr>
        <w:tc>
          <w:tcPr>
            <w:tcW w:w="916" w:type="dxa"/>
            <w:vAlign w:val="center"/>
          </w:tcPr>
          <w:p>
            <w:pPr>
              <w:spacing w:before="78" w:beforeLines="25" w:line="300" w:lineRule="auto"/>
              <w:jc w:val="center"/>
              <w:rPr>
                <w:rFonts w:hint="default" w:asciiTheme="minorEastAsia" w:hAnsiTheme="minorEastAsia" w:eastAsiaTheme="minorEastAsia" w:cstheme="minorEastAsia"/>
                <w:bCs/>
                <w:color w:val="auto"/>
                <w:kern w:val="0"/>
                <w:sz w:val="28"/>
                <w:szCs w:val="28"/>
                <w:lang w:val="en-US" w:eastAsia="zh-CN" w:bidi="ar-SA"/>
              </w:rPr>
            </w:pPr>
            <w:r>
              <w:rPr>
                <w:rFonts w:hint="default" w:asciiTheme="minorEastAsia" w:hAnsiTheme="minorEastAsia" w:eastAsiaTheme="minorEastAsia" w:cstheme="minorEastAsia"/>
                <w:bCs/>
                <w:color w:val="auto"/>
                <w:kern w:val="0"/>
                <w:sz w:val="28"/>
                <w:szCs w:val="28"/>
                <w:lang w:val="en-US" w:eastAsia="zh-CN" w:bidi="ar-SA"/>
              </w:rPr>
              <w:t>名称</w:t>
            </w:r>
          </w:p>
        </w:tc>
        <w:tc>
          <w:tcPr>
            <w:tcW w:w="9491" w:type="dxa"/>
            <w:vAlign w:val="center"/>
          </w:tcPr>
          <w:p>
            <w:pPr>
              <w:pStyle w:val="15"/>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技术要求及商务要求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1" w:hRule="atLeast"/>
          <w:jc w:val="center"/>
        </w:trPr>
        <w:tc>
          <w:tcPr>
            <w:tcW w:w="916" w:type="dxa"/>
            <w:vAlign w:val="center"/>
          </w:tcPr>
          <w:p>
            <w:pPr>
              <w:spacing w:line="360" w:lineRule="auto"/>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sz w:val="28"/>
                <w:szCs w:val="28"/>
                <w:lang w:val="en-US" w:eastAsia="zh-CN"/>
              </w:rPr>
              <w:t>气相色谱仪</w:t>
            </w:r>
          </w:p>
        </w:tc>
        <w:tc>
          <w:tcPr>
            <w:tcW w:w="9491" w:type="dxa"/>
            <w:vAlign w:val="center"/>
          </w:tcPr>
          <w:p>
            <w:pPr>
              <w:spacing w:after="0" w:line="360" w:lineRule="atLeast"/>
              <w:rPr>
                <w:rFonts w:ascii="宋体" w:hAnsi="宋体" w:eastAsia="宋体"/>
                <w:sz w:val="21"/>
                <w:szCs w:val="21"/>
              </w:rPr>
            </w:pPr>
            <w:r>
              <w:rPr>
                <w:rFonts w:hint="eastAsia" w:ascii="宋体" w:hAnsi="宋体" w:eastAsia="宋体"/>
                <w:sz w:val="21"/>
                <w:szCs w:val="21"/>
              </w:rPr>
              <w:t>一、设备名称：气相色谱仪（带顶空自动进样器）</w:t>
            </w:r>
          </w:p>
          <w:p>
            <w:pPr>
              <w:spacing w:after="0" w:line="360" w:lineRule="atLeast"/>
              <w:rPr>
                <w:rFonts w:ascii="宋体" w:hAnsi="宋体" w:eastAsia="宋体"/>
                <w:sz w:val="21"/>
                <w:szCs w:val="21"/>
              </w:rPr>
            </w:pPr>
            <w:r>
              <w:rPr>
                <w:rFonts w:hint="eastAsia" w:ascii="宋体" w:hAnsi="宋体" w:eastAsia="宋体"/>
                <w:sz w:val="21"/>
                <w:szCs w:val="21"/>
              </w:rPr>
              <w:t>二、设备数量：1台/套</w:t>
            </w:r>
          </w:p>
          <w:p>
            <w:pPr>
              <w:spacing w:after="0" w:line="360" w:lineRule="atLeast"/>
              <w:rPr>
                <w:rFonts w:ascii="宋体" w:hAnsi="宋体" w:eastAsia="宋体"/>
                <w:sz w:val="21"/>
                <w:szCs w:val="21"/>
              </w:rPr>
            </w:pPr>
            <w:r>
              <w:rPr>
                <w:rFonts w:hint="eastAsia" w:ascii="宋体" w:hAnsi="宋体" w:eastAsia="宋体"/>
                <w:sz w:val="21"/>
                <w:szCs w:val="21"/>
              </w:rPr>
              <w:t>三、技术参数</w:t>
            </w:r>
          </w:p>
          <w:p>
            <w:pPr>
              <w:spacing w:after="0" w:line="360" w:lineRule="atLeast"/>
              <w:rPr>
                <w:rFonts w:ascii="宋体" w:hAnsi="宋体" w:eastAsia="宋体"/>
                <w:sz w:val="21"/>
                <w:szCs w:val="21"/>
              </w:rPr>
            </w:pPr>
            <w:r>
              <w:rPr>
                <w:rFonts w:hint="eastAsia" w:ascii="宋体" w:hAnsi="宋体" w:eastAsia="宋体"/>
                <w:sz w:val="21"/>
                <w:szCs w:val="21"/>
              </w:rPr>
              <w:t>1.</w:t>
            </w:r>
            <w:r>
              <w:rPr>
                <w:rFonts w:hint="eastAsia" w:ascii="宋体" w:hAnsi="宋体" w:eastAsia="宋体"/>
                <w:sz w:val="21"/>
                <w:szCs w:val="21"/>
              </w:rPr>
              <w:tab/>
            </w:r>
            <w:r>
              <w:rPr>
                <w:rFonts w:hint="eastAsia" w:ascii="宋体" w:hAnsi="宋体" w:eastAsia="宋体"/>
                <w:sz w:val="21"/>
                <w:szCs w:val="21"/>
              </w:rPr>
              <w:t>气相色谱仪主机</w:t>
            </w:r>
          </w:p>
          <w:p>
            <w:pPr>
              <w:spacing w:after="0" w:line="360" w:lineRule="atLeast"/>
              <w:rPr>
                <w:rFonts w:ascii="宋体" w:hAnsi="宋体" w:eastAsia="宋体"/>
                <w:sz w:val="21"/>
                <w:szCs w:val="21"/>
              </w:rPr>
            </w:pPr>
            <w:r>
              <w:rPr>
                <w:rFonts w:hint="eastAsia" w:ascii="宋体" w:hAnsi="宋体" w:eastAsia="宋体"/>
                <w:sz w:val="21"/>
                <w:szCs w:val="21"/>
              </w:rPr>
              <w:t>1.1.</w:t>
            </w:r>
            <w:r>
              <w:rPr>
                <w:rFonts w:hint="eastAsia" w:ascii="宋体" w:hAnsi="宋体" w:eastAsia="宋体"/>
                <w:sz w:val="21"/>
                <w:szCs w:val="21"/>
              </w:rPr>
              <w:tab/>
            </w:r>
            <w:r>
              <w:rPr>
                <w:rFonts w:hint="eastAsia" w:ascii="宋体" w:hAnsi="宋体" w:eastAsia="宋体"/>
                <w:sz w:val="21"/>
                <w:szCs w:val="21"/>
              </w:rPr>
              <w:t>柱温箱</w:t>
            </w:r>
          </w:p>
          <w:p>
            <w:pPr>
              <w:spacing w:after="0" w:line="360" w:lineRule="atLeast"/>
              <w:rPr>
                <w:rFonts w:ascii="宋体" w:hAnsi="宋体" w:eastAsia="宋体"/>
                <w:sz w:val="21"/>
                <w:szCs w:val="21"/>
              </w:rPr>
            </w:pPr>
            <w:r>
              <w:rPr>
                <w:rFonts w:hint="eastAsia" w:ascii="宋体" w:hAnsi="宋体" w:eastAsia="宋体"/>
                <w:sz w:val="21"/>
                <w:szCs w:val="21"/>
              </w:rPr>
              <w:t>1.1.1.</w:t>
            </w:r>
            <w:r>
              <w:rPr>
                <w:rFonts w:hint="eastAsia" w:ascii="宋体" w:hAnsi="宋体" w:eastAsia="宋体"/>
                <w:sz w:val="21"/>
                <w:szCs w:val="21"/>
              </w:rPr>
              <w:tab/>
            </w:r>
            <w:r>
              <w:rPr>
                <w:rFonts w:hint="eastAsia" w:ascii="宋体" w:hAnsi="宋体" w:eastAsia="宋体"/>
                <w:sz w:val="21"/>
                <w:szCs w:val="21"/>
              </w:rPr>
              <w:t>温度范围：＋4—450℃</w:t>
            </w:r>
          </w:p>
          <w:p>
            <w:pPr>
              <w:spacing w:after="0" w:line="360" w:lineRule="atLeast"/>
              <w:rPr>
                <w:rFonts w:ascii="宋体" w:hAnsi="宋体" w:eastAsia="宋体"/>
                <w:sz w:val="21"/>
                <w:szCs w:val="21"/>
              </w:rPr>
            </w:pPr>
            <w:r>
              <w:rPr>
                <w:rFonts w:hint="eastAsia" w:ascii="宋体" w:hAnsi="宋体" w:eastAsia="宋体"/>
                <w:sz w:val="21"/>
                <w:szCs w:val="21"/>
              </w:rPr>
              <w:t>1.1.2.</w:t>
            </w:r>
            <w:r>
              <w:rPr>
                <w:rFonts w:hint="eastAsia" w:ascii="宋体" w:hAnsi="宋体" w:eastAsia="宋体"/>
                <w:sz w:val="21"/>
                <w:szCs w:val="21"/>
              </w:rPr>
              <w:tab/>
            </w:r>
            <w:r>
              <w:rPr>
                <w:rFonts w:hint="eastAsia" w:ascii="宋体" w:hAnsi="宋体" w:eastAsia="宋体"/>
                <w:sz w:val="21"/>
                <w:szCs w:val="21"/>
              </w:rPr>
              <w:t>温度准确性：设定值的+1%</w:t>
            </w:r>
          </w:p>
          <w:p>
            <w:pPr>
              <w:spacing w:after="0" w:line="360" w:lineRule="atLeast"/>
              <w:rPr>
                <w:rFonts w:ascii="宋体" w:hAnsi="宋体" w:eastAsia="宋体"/>
                <w:sz w:val="21"/>
                <w:szCs w:val="21"/>
              </w:rPr>
            </w:pPr>
            <w:r>
              <w:rPr>
                <w:rFonts w:hint="eastAsia" w:ascii="宋体" w:hAnsi="宋体" w:eastAsia="宋体"/>
                <w:sz w:val="21"/>
                <w:szCs w:val="21"/>
              </w:rPr>
              <w:t>1.1.3.</w:t>
            </w:r>
            <w:r>
              <w:rPr>
                <w:rFonts w:hint="eastAsia" w:ascii="宋体" w:hAnsi="宋体" w:eastAsia="宋体"/>
                <w:sz w:val="21"/>
                <w:szCs w:val="21"/>
              </w:rPr>
              <w:tab/>
            </w:r>
            <w:r>
              <w:rPr>
                <w:rFonts w:hint="eastAsia" w:ascii="宋体" w:hAnsi="宋体" w:eastAsia="宋体"/>
                <w:sz w:val="21"/>
                <w:szCs w:val="21"/>
              </w:rPr>
              <w:t>程序升温：≥20 阶21平台</w:t>
            </w:r>
          </w:p>
          <w:p>
            <w:pPr>
              <w:spacing w:after="0" w:line="360" w:lineRule="atLeast"/>
              <w:rPr>
                <w:rFonts w:ascii="宋体" w:hAnsi="宋体" w:eastAsia="宋体"/>
                <w:sz w:val="21"/>
                <w:szCs w:val="21"/>
              </w:rPr>
            </w:pPr>
            <w:r>
              <w:rPr>
                <w:rFonts w:hint="eastAsia" w:ascii="宋体" w:hAnsi="宋体" w:eastAsia="宋体"/>
                <w:sz w:val="21"/>
                <w:szCs w:val="21"/>
              </w:rPr>
              <w:t>1.1.4.</w:t>
            </w:r>
            <w:r>
              <w:rPr>
                <w:rFonts w:hint="eastAsia" w:ascii="宋体" w:hAnsi="宋体" w:eastAsia="宋体"/>
                <w:sz w:val="21"/>
                <w:szCs w:val="21"/>
              </w:rPr>
              <w:tab/>
            </w:r>
            <w:r>
              <w:rPr>
                <w:rFonts w:hint="eastAsia" w:ascii="宋体" w:hAnsi="宋体" w:eastAsia="宋体"/>
                <w:sz w:val="21"/>
                <w:szCs w:val="21"/>
              </w:rPr>
              <w:t>温度变化系数：0.01℃/℃</w:t>
            </w:r>
          </w:p>
          <w:p>
            <w:pPr>
              <w:spacing w:after="0" w:line="360" w:lineRule="atLeast"/>
              <w:rPr>
                <w:rFonts w:ascii="宋体" w:hAnsi="宋体" w:eastAsia="宋体"/>
                <w:sz w:val="21"/>
                <w:szCs w:val="21"/>
              </w:rPr>
            </w:pPr>
            <w:r>
              <w:rPr>
                <w:rFonts w:hint="eastAsia" w:ascii="宋体" w:hAnsi="宋体" w:eastAsia="宋体"/>
                <w:sz w:val="21"/>
                <w:szCs w:val="21"/>
              </w:rPr>
              <w:t>▲1.1.5.</w:t>
            </w:r>
            <w:r>
              <w:rPr>
                <w:rFonts w:hint="eastAsia" w:ascii="宋体" w:hAnsi="宋体" w:eastAsia="宋体"/>
                <w:sz w:val="21"/>
                <w:szCs w:val="21"/>
              </w:rPr>
              <w:tab/>
            </w:r>
            <w:r>
              <w:rPr>
                <w:rFonts w:hint="eastAsia" w:ascii="宋体" w:hAnsi="宋体" w:eastAsia="宋体"/>
                <w:sz w:val="21"/>
                <w:szCs w:val="21"/>
              </w:rPr>
              <w:t>最大升温速率：≥250℃/min（不需加其他配件）, 冷却速度:从 450 降到 50℃ ≤3.4分钟</w:t>
            </w:r>
          </w:p>
          <w:p>
            <w:pPr>
              <w:spacing w:after="0" w:line="360" w:lineRule="atLeast"/>
              <w:rPr>
                <w:rFonts w:ascii="宋体" w:hAnsi="宋体" w:eastAsia="宋体"/>
                <w:sz w:val="21"/>
                <w:szCs w:val="21"/>
              </w:rPr>
            </w:pPr>
            <w:r>
              <w:rPr>
                <w:rFonts w:hint="eastAsia" w:ascii="宋体" w:hAnsi="宋体" w:eastAsia="宋体"/>
                <w:sz w:val="21"/>
                <w:szCs w:val="21"/>
              </w:rPr>
              <w:t>2.</w:t>
            </w:r>
            <w:r>
              <w:rPr>
                <w:rFonts w:hint="eastAsia" w:ascii="宋体" w:hAnsi="宋体" w:eastAsia="宋体"/>
                <w:sz w:val="21"/>
                <w:szCs w:val="21"/>
              </w:rPr>
              <w:tab/>
            </w:r>
            <w:r>
              <w:rPr>
                <w:rFonts w:hint="eastAsia" w:ascii="宋体" w:hAnsi="宋体" w:eastAsia="宋体"/>
                <w:sz w:val="21"/>
                <w:szCs w:val="21"/>
              </w:rPr>
              <w:t>进样单元及流量控制单元</w:t>
            </w:r>
          </w:p>
          <w:p>
            <w:pPr>
              <w:spacing w:after="0" w:line="360" w:lineRule="atLeast"/>
              <w:rPr>
                <w:rFonts w:ascii="宋体" w:hAnsi="宋体" w:eastAsia="宋体"/>
                <w:sz w:val="21"/>
                <w:szCs w:val="21"/>
              </w:rPr>
            </w:pPr>
            <w:r>
              <w:rPr>
                <w:rFonts w:hint="eastAsia" w:ascii="宋体" w:hAnsi="宋体" w:eastAsia="宋体"/>
                <w:sz w:val="21"/>
                <w:szCs w:val="21"/>
              </w:rPr>
              <w:t>▲2.1.能装3个独立控温的进样单元，气体流路为全电子气路控制，PTV温度程序段数：≥7段，压力/流量控制段数：≥7阶；总流量设定范围：0-1250ml/min（毛细管），在升温过程中，可保持色谱柱平均线速度恒定。</w:t>
            </w:r>
          </w:p>
          <w:p>
            <w:pPr>
              <w:spacing w:after="0" w:line="360" w:lineRule="atLeast"/>
              <w:rPr>
                <w:rFonts w:ascii="宋体" w:hAnsi="宋体" w:eastAsia="宋体"/>
                <w:sz w:val="21"/>
                <w:szCs w:val="21"/>
              </w:rPr>
            </w:pPr>
            <w:r>
              <w:rPr>
                <w:rFonts w:hint="eastAsia" w:ascii="宋体" w:hAnsi="宋体" w:eastAsia="宋体"/>
                <w:sz w:val="21"/>
                <w:szCs w:val="21"/>
              </w:rPr>
              <w:t>2.2.分流/不分流进样口1个</w:t>
            </w:r>
          </w:p>
          <w:p>
            <w:pPr>
              <w:spacing w:after="0" w:line="360" w:lineRule="atLeast"/>
              <w:rPr>
                <w:rFonts w:ascii="宋体" w:hAnsi="宋体" w:eastAsia="宋体"/>
                <w:sz w:val="21"/>
                <w:szCs w:val="21"/>
              </w:rPr>
            </w:pPr>
            <w:r>
              <w:rPr>
                <w:rFonts w:hint="eastAsia" w:ascii="宋体" w:hAnsi="宋体" w:eastAsia="宋体"/>
                <w:sz w:val="21"/>
                <w:szCs w:val="21"/>
              </w:rPr>
              <w:t>2.2.1.压力范围：0-1035Kpa</w:t>
            </w:r>
          </w:p>
          <w:p>
            <w:pPr>
              <w:spacing w:after="0" w:line="360" w:lineRule="atLeast"/>
              <w:rPr>
                <w:rFonts w:ascii="宋体" w:hAnsi="宋体" w:eastAsia="宋体"/>
                <w:sz w:val="21"/>
                <w:szCs w:val="21"/>
              </w:rPr>
            </w:pPr>
            <w:r>
              <w:rPr>
                <w:rFonts w:hint="eastAsia" w:ascii="宋体" w:hAnsi="宋体" w:eastAsia="宋体"/>
                <w:sz w:val="21"/>
                <w:szCs w:val="21"/>
              </w:rPr>
              <w:t>2.2.2.分流比范围：0-9999.9（分流/不分流）</w:t>
            </w:r>
          </w:p>
          <w:p>
            <w:pPr>
              <w:spacing w:after="0" w:line="360" w:lineRule="atLeast"/>
              <w:rPr>
                <w:rFonts w:ascii="宋体" w:hAnsi="宋体" w:eastAsia="宋体"/>
                <w:sz w:val="21"/>
                <w:szCs w:val="21"/>
              </w:rPr>
            </w:pPr>
            <w:r>
              <w:rPr>
                <w:rFonts w:hint="eastAsia" w:ascii="宋体" w:hAnsi="宋体" w:eastAsia="宋体"/>
                <w:sz w:val="21"/>
                <w:szCs w:val="21"/>
              </w:rPr>
              <w:t>3.</w:t>
            </w:r>
            <w:r>
              <w:rPr>
                <w:rFonts w:hint="eastAsia" w:ascii="宋体" w:hAnsi="宋体" w:eastAsia="宋体"/>
                <w:sz w:val="21"/>
                <w:szCs w:val="21"/>
              </w:rPr>
              <w:tab/>
            </w:r>
            <w:r>
              <w:rPr>
                <w:rFonts w:hint="eastAsia" w:ascii="宋体" w:hAnsi="宋体" w:eastAsia="宋体"/>
                <w:sz w:val="21"/>
                <w:szCs w:val="21"/>
              </w:rPr>
              <w:t>检测器</w:t>
            </w:r>
          </w:p>
          <w:p>
            <w:pPr>
              <w:spacing w:after="0" w:line="360" w:lineRule="atLeast"/>
              <w:rPr>
                <w:rFonts w:ascii="宋体" w:hAnsi="宋体" w:eastAsia="宋体"/>
                <w:sz w:val="21"/>
                <w:szCs w:val="21"/>
              </w:rPr>
            </w:pPr>
            <w:r>
              <w:rPr>
                <w:rFonts w:hint="eastAsia" w:ascii="宋体" w:hAnsi="宋体" w:eastAsia="宋体"/>
                <w:sz w:val="21"/>
                <w:szCs w:val="21"/>
              </w:rPr>
              <w:t>3.1.可同时安装四个独立控温的检测器，检测器的气体由先进的压力控制系统控制（APC），检测器的数据采集速率是250Hz（4ms）。</w:t>
            </w:r>
          </w:p>
          <w:p>
            <w:pPr>
              <w:spacing w:after="0" w:line="360" w:lineRule="atLeast"/>
              <w:rPr>
                <w:rFonts w:ascii="宋体" w:hAnsi="宋体" w:eastAsia="宋体"/>
                <w:sz w:val="21"/>
                <w:szCs w:val="21"/>
              </w:rPr>
            </w:pPr>
            <w:r>
              <w:rPr>
                <w:rFonts w:hint="eastAsia" w:ascii="宋体" w:hAnsi="宋体" w:eastAsia="宋体"/>
                <w:sz w:val="21"/>
                <w:szCs w:val="21"/>
              </w:rPr>
              <w:t>3.2.氢火焰离子化检测器 (FID)   1个</w:t>
            </w:r>
          </w:p>
          <w:p>
            <w:pPr>
              <w:spacing w:after="0" w:line="360" w:lineRule="atLeast"/>
              <w:rPr>
                <w:rFonts w:ascii="宋体" w:hAnsi="宋体" w:eastAsia="宋体"/>
                <w:sz w:val="21"/>
                <w:szCs w:val="21"/>
              </w:rPr>
            </w:pPr>
            <w:r>
              <w:rPr>
                <w:rFonts w:hint="eastAsia" w:ascii="宋体" w:hAnsi="宋体" w:eastAsia="宋体"/>
                <w:sz w:val="21"/>
                <w:szCs w:val="21"/>
              </w:rPr>
              <w:t>3.2.1.</w:t>
            </w:r>
            <w:r>
              <w:rPr>
                <w:rFonts w:hint="eastAsia" w:ascii="宋体" w:hAnsi="宋体" w:eastAsia="宋体"/>
                <w:sz w:val="21"/>
                <w:szCs w:val="21"/>
              </w:rPr>
              <w:tab/>
            </w:r>
            <w:r>
              <w:rPr>
                <w:rFonts w:hint="eastAsia" w:ascii="宋体" w:hAnsi="宋体" w:eastAsia="宋体"/>
                <w:sz w:val="21"/>
                <w:szCs w:val="21"/>
              </w:rPr>
              <w:t>操作温度范围: - 450℃</w:t>
            </w:r>
          </w:p>
          <w:p>
            <w:pPr>
              <w:spacing w:after="0" w:line="360" w:lineRule="atLeast"/>
              <w:rPr>
                <w:rFonts w:ascii="宋体" w:hAnsi="宋体" w:eastAsia="宋体"/>
                <w:sz w:val="21"/>
                <w:szCs w:val="21"/>
              </w:rPr>
            </w:pPr>
            <w:r>
              <w:rPr>
                <w:rFonts w:hint="eastAsia" w:ascii="宋体" w:hAnsi="宋体" w:eastAsia="宋体"/>
                <w:sz w:val="21"/>
                <w:szCs w:val="21"/>
              </w:rPr>
              <w:t>3.2.2.</w:t>
            </w:r>
            <w:r>
              <w:rPr>
                <w:rFonts w:hint="eastAsia" w:ascii="宋体" w:hAnsi="宋体" w:eastAsia="宋体"/>
                <w:sz w:val="21"/>
                <w:szCs w:val="21"/>
              </w:rPr>
              <w:tab/>
            </w:r>
            <w:r>
              <w:rPr>
                <w:rFonts w:hint="eastAsia" w:ascii="宋体" w:hAnsi="宋体" w:eastAsia="宋体"/>
                <w:sz w:val="21"/>
                <w:szCs w:val="21"/>
              </w:rPr>
              <w:t>检测限: ≤1.5pgC/s (十二烷)</w:t>
            </w:r>
          </w:p>
          <w:p>
            <w:pPr>
              <w:spacing w:after="0" w:line="360" w:lineRule="atLeast"/>
              <w:rPr>
                <w:rFonts w:ascii="宋体" w:hAnsi="宋体" w:eastAsia="宋体"/>
                <w:sz w:val="21"/>
                <w:szCs w:val="21"/>
              </w:rPr>
            </w:pPr>
            <w:r>
              <w:rPr>
                <w:rFonts w:hint="eastAsia" w:ascii="宋体" w:hAnsi="宋体" w:eastAsia="宋体"/>
                <w:sz w:val="21"/>
                <w:szCs w:val="21"/>
              </w:rPr>
              <w:t>3.2.3.</w:t>
            </w:r>
            <w:r>
              <w:rPr>
                <w:rFonts w:hint="eastAsia" w:ascii="宋体" w:hAnsi="宋体" w:eastAsia="宋体"/>
                <w:sz w:val="21"/>
                <w:szCs w:val="21"/>
              </w:rPr>
              <w:tab/>
            </w:r>
            <w:r>
              <w:rPr>
                <w:rFonts w:hint="eastAsia" w:ascii="宋体" w:hAnsi="宋体" w:eastAsia="宋体"/>
                <w:sz w:val="21"/>
                <w:szCs w:val="21"/>
              </w:rPr>
              <w:t>数据采集速度：≥250Hz</w:t>
            </w:r>
          </w:p>
          <w:p>
            <w:pPr>
              <w:spacing w:after="0" w:line="360" w:lineRule="atLeast"/>
              <w:rPr>
                <w:rFonts w:ascii="宋体" w:hAnsi="宋体" w:eastAsia="宋体"/>
                <w:sz w:val="21"/>
                <w:szCs w:val="21"/>
              </w:rPr>
            </w:pPr>
            <w:r>
              <w:rPr>
                <w:rFonts w:hint="eastAsia" w:ascii="宋体" w:hAnsi="宋体" w:eastAsia="宋体"/>
                <w:sz w:val="21"/>
                <w:szCs w:val="21"/>
              </w:rPr>
              <w:t>4.</w:t>
            </w:r>
            <w:r>
              <w:rPr>
                <w:rFonts w:hint="eastAsia" w:ascii="宋体" w:hAnsi="宋体" w:eastAsia="宋体"/>
                <w:sz w:val="21"/>
                <w:szCs w:val="21"/>
              </w:rPr>
              <w:tab/>
            </w:r>
            <w:r>
              <w:rPr>
                <w:rFonts w:hint="eastAsia" w:ascii="宋体" w:hAnsi="宋体" w:eastAsia="宋体"/>
                <w:sz w:val="21"/>
                <w:szCs w:val="21"/>
              </w:rPr>
              <w:t>顶空进样器</w:t>
            </w:r>
          </w:p>
          <w:p>
            <w:pPr>
              <w:spacing w:after="0" w:line="360" w:lineRule="atLeast"/>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.1样品位：≥30位，无需人员值守；</w:t>
            </w:r>
          </w:p>
          <w:p>
            <w:pPr>
              <w:spacing w:after="0" w:line="360" w:lineRule="atLeast"/>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.2加热位：≥8位，可实现多个样品重叠加热，且加热位具有震荡功能</w:t>
            </w:r>
          </w:p>
          <w:p>
            <w:pPr>
              <w:spacing w:after="0" w:line="360" w:lineRule="atLeast"/>
              <w:rPr>
                <w:rFonts w:ascii="宋体" w:hAnsi="宋体" w:eastAsia="宋体"/>
                <w:sz w:val="21"/>
                <w:szCs w:val="21"/>
              </w:rPr>
            </w:pPr>
            <w:r>
              <w:rPr>
                <w:rFonts w:hint="eastAsia" w:ascii="宋体" w:hAnsi="宋体" w:eastAsia="宋体"/>
                <w:sz w:val="21"/>
                <w:szCs w:val="21"/>
              </w:rPr>
              <w:t>▲</w:t>
            </w:r>
            <w:r>
              <w:rPr>
                <w:rFonts w:ascii="宋体" w:hAnsi="宋体" w:eastAsia="宋体"/>
                <w:sz w:val="21"/>
                <w:szCs w:val="21"/>
              </w:rPr>
              <w:t>4</w:t>
            </w:r>
            <w:r>
              <w:rPr>
                <w:rFonts w:hint="eastAsia" w:ascii="宋体" w:hAnsi="宋体" w:eastAsia="宋体"/>
                <w:sz w:val="21"/>
                <w:szCs w:val="21"/>
              </w:rPr>
              <w:t>.3三轴运动平台，实现从取瓶，装载，采样，退瓶，扎针，进样，拔针一系列步骤的自动运行，快速准确</w:t>
            </w:r>
          </w:p>
          <w:p>
            <w:pPr>
              <w:spacing w:after="0" w:line="360" w:lineRule="atLeast"/>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.4自由添加队列样品，并可调整队列运行顺序，可实现多方法、多队列的自动运行，无需中途操作；</w:t>
            </w:r>
          </w:p>
          <w:p>
            <w:pPr>
              <w:spacing w:after="0" w:line="360" w:lineRule="atLeast"/>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.5压力平衡进样，时间控制进样量；</w:t>
            </w:r>
          </w:p>
          <w:p>
            <w:pPr>
              <w:spacing w:after="0" w:line="360" w:lineRule="atLeast"/>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.6PC控制，界面一目了然，操作方便，仪器运行动态图，全面直观，可实时掌握仪器运行情况及每个样品的当前状态；</w:t>
            </w:r>
          </w:p>
          <w:p>
            <w:pPr>
              <w:spacing w:after="0" w:line="360" w:lineRule="atLeast"/>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.7样品区温度控制范围：室温—240℃，以增量1℃任设，加热功率约200W</w:t>
            </w:r>
          </w:p>
          <w:p>
            <w:pPr>
              <w:spacing w:after="0" w:line="360" w:lineRule="atLeast"/>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.8阀进样系统温度控制范围：室温—240℃，以增量1℃任设，加热功率约100W；</w:t>
            </w:r>
          </w:p>
          <w:p>
            <w:pPr>
              <w:spacing w:after="0" w:line="360" w:lineRule="atLeast"/>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.9样品传送管线温度控制范围：室温—240℃，以增量1℃任设，加热功率约200W；</w:t>
            </w:r>
          </w:p>
          <w:p>
            <w:pPr>
              <w:spacing w:after="0" w:line="360" w:lineRule="atLeast"/>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.10温度控制精度：±0.1℃；</w:t>
            </w:r>
          </w:p>
          <w:p>
            <w:pPr>
              <w:spacing w:after="0" w:line="360" w:lineRule="atLeast"/>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.11温度控制梯度：±1℃；</w:t>
            </w:r>
          </w:p>
          <w:p>
            <w:pPr>
              <w:spacing w:after="0" w:line="360" w:lineRule="atLeast"/>
              <w:rPr>
                <w:rFonts w:ascii="宋体" w:hAnsi="宋体" w:eastAsia="宋体"/>
                <w:sz w:val="21"/>
                <w:szCs w:val="21"/>
              </w:rPr>
            </w:pPr>
            <w:r>
              <w:rPr>
                <w:rFonts w:ascii="宋体" w:hAnsi="宋体" w:eastAsia="宋体"/>
                <w:sz w:val="21"/>
                <w:szCs w:val="21"/>
              </w:rPr>
              <w:t>4</w:t>
            </w:r>
            <w:r>
              <w:rPr>
                <w:rFonts w:hint="eastAsia" w:ascii="宋体" w:hAnsi="宋体" w:eastAsia="宋体"/>
                <w:sz w:val="21"/>
                <w:szCs w:val="21"/>
              </w:rPr>
              <w:t>.12重复性：RSD ≤ 1%（200ppm水中乙醇，N=5）；</w:t>
            </w:r>
          </w:p>
          <w:p>
            <w:pPr>
              <w:spacing w:after="0" w:line="360" w:lineRule="atLeast"/>
              <w:rPr>
                <w:rFonts w:ascii="宋体" w:hAnsi="宋体" w:eastAsia="宋体"/>
                <w:sz w:val="21"/>
                <w:szCs w:val="21"/>
              </w:rPr>
            </w:pPr>
            <w:r>
              <w:rPr>
                <w:rFonts w:hint="eastAsia" w:ascii="宋体" w:hAnsi="宋体" w:eastAsia="宋体"/>
                <w:sz w:val="21"/>
                <w:szCs w:val="21"/>
              </w:rPr>
              <w:t>5.</w:t>
            </w:r>
            <w:r>
              <w:rPr>
                <w:rFonts w:hint="eastAsia" w:ascii="宋体" w:hAnsi="宋体" w:eastAsia="宋体"/>
                <w:sz w:val="21"/>
                <w:szCs w:val="21"/>
              </w:rPr>
              <w:tab/>
            </w:r>
            <w:r>
              <w:rPr>
                <w:rFonts w:hint="eastAsia" w:ascii="宋体" w:hAnsi="宋体" w:eastAsia="宋体"/>
                <w:sz w:val="21"/>
                <w:szCs w:val="21"/>
              </w:rPr>
              <w:t>中文色谱工作站</w:t>
            </w:r>
          </w:p>
          <w:p>
            <w:pPr>
              <w:spacing w:after="0" w:line="360" w:lineRule="atLeast"/>
              <w:rPr>
                <w:rFonts w:ascii="宋体" w:hAnsi="宋体" w:eastAsia="宋体"/>
                <w:sz w:val="21"/>
                <w:szCs w:val="21"/>
              </w:rPr>
            </w:pPr>
            <w:r>
              <w:rPr>
                <w:rFonts w:hint="eastAsia" w:ascii="宋体" w:hAnsi="宋体" w:eastAsia="宋体"/>
                <w:sz w:val="21"/>
                <w:szCs w:val="21"/>
              </w:rPr>
              <w:t>5.1.</w:t>
            </w:r>
            <w:r>
              <w:rPr>
                <w:rFonts w:hint="eastAsia" w:ascii="宋体" w:hAnsi="宋体" w:eastAsia="宋体"/>
                <w:sz w:val="21"/>
                <w:szCs w:val="21"/>
              </w:rPr>
              <w:tab/>
            </w:r>
            <w:r>
              <w:rPr>
                <w:rFonts w:hint="eastAsia" w:ascii="宋体" w:hAnsi="宋体" w:eastAsia="宋体"/>
                <w:sz w:val="21"/>
                <w:szCs w:val="21"/>
              </w:rPr>
              <w:t>数据采集：最小采样时间4ms，具有快拍功能，单分析和批处理分析对应，批处理表引导，追加，分割分析</w:t>
            </w:r>
          </w:p>
          <w:p>
            <w:pPr>
              <w:spacing w:after="0" w:line="360" w:lineRule="atLeast"/>
              <w:rPr>
                <w:rFonts w:ascii="宋体" w:hAnsi="宋体" w:eastAsia="宋体"/>
                <w:sz w:val="21"/>
                <w:szCs w:val="21"/>
              </w:rPr>
            </w:pPr>
            <w:r>
              <w:rPr>
                <w:rFonts w:hint="eastAsia" w:ascii="宋体" w:hAnsi="宋体" w:eastAsia="宋体"/>
                <w:sz w:val="21"/>
                <w:szCs w:val="21"/>
              </w:rPr>
              <w:t>5.2.</w:t>
            </w:r>
            <w:r>
              <w:rPr>
                <w:rFonts w:hint="eastAsia" w:ascii="宋体" w:hAnsi="宋体" w:eastAsia="宋体"/>
                <w:sz w:val="21"/>
                <w:szCs w:val="21"/>
              </w:rPr>
              <w:tab/>
            </w:r>
            <w:r>
              <w:rPr>
                <w:rFonts w:hint="eastAsia" w:ascii="宋体" w:hAnsi="宋体" w:eastAsia="宋体"/>
                <w:sz w:val="21"/>
                <w:szCs w:val="21"/>
              </w:rPr>
              <w:t>数据处理：具有波形处理功能，定性/定量功能，校准点数及级别数，手动及自动工作曲线制作功能，色谱柱性能测试及数据比较功能</w:t>
            </w:r>
          </w:p>
          <w:p>
            <w:pPr>
              <w:spacing w:after="0" w:line="360" w:lineRule="atLeast"/>
              <w:rPr>
                <w:rFonts w:ascii="宋体" w:hAnsi="宋体" w:eastAsia="宋体"/>
                <w:sz w:val="21"/>
                <w:szCs w:val="21"/>
              </w:rPr>
            </w:pPr>
            <w:r>
              <w:rPr>
                <w:rFonts w:hint="eastAsia" w:ascii="宋体" w:hAnsi="宋体" w:eastAsia="宋体"/>
                <w:sz w:val="21"/>
                <w:szCs w:val="21"/>
              </w:rPr>
              <w:t>5.3.</w:t>
            </w:r>
            <w:r>
              <w:rPr>
                <w:rFonts w:hint="eastAsia" w:ascii="宋体" w:hAnsi="宋体" w:eastAsia="宋体"/>
                <w:sz w:val="21"/>
                <w:szCs w:val="21"/>
              </w:rPr>
              <w:tab/>
            </w:r>
            <w:r>
              <w:rPr>
                <w:rFonts w:hint="eastAsia" w:ascii="宋体" w:hAnsi="宋体" w:eastAsia="宋体"/>
                <w:sz w:val="21"/>
                <w:szCs w:val="21"/>
              </w:rPr>
              <w:t xml:space="preserve"> 报告及文件：可自由编辑报告，文件管理用数据浏览器，一体化文件结构，具有文件变换/检索/模板功能，支持GLP/GMP</w:t>
            </w:r>
          </w:p>
          <w:p>
            <w:pPr>
              <w:spacing w:after="0" w:line="360" w:lineRule="atLeast"/>
              <w:rPr>
                <w:rFonts w:ascii="宋体" w:hAnsi="宋体" w:eastAsia="宋体"/>
                <w:sz w:val="21"/>
                <w:szCs w:val="21"/>
              </w:rPr>
            </w:pPr>
            <w:r>
              <w:rPr>
                <w:rFonts w:hint="eastAsia" w:ascii="宋体" w:hAnsi="宋体" w:eastAsia="宋体"/>
                <w:sz w:val="21"/>
                <w:szCs w:val="21"/>
              </w:rPr>
              <w:t>5.4.</w:t>
            </w:r>
            <w:r>
              <w:rPr>
                <w:rFonts w:hint="eastAsia" w:ascii="宋体" w:hAnsi="宋体" w:eastAsia="宋体"/>
                <w:sz w:val="21"/>
                <w:szCs w:val="21"/>
              </w:rPr>
              <w:tab/>
            </w:r>
            <w:r>
              <w:rPr>
                <w:rFonts w:hint="eastAsia" w:ascii="宋体" w:hAnsi="宋体" w:eastAsia="宋体"/>
                <w:sz w:val="21"/>
                <w:szCs w:val="21"/>
              </w:rPr>
              <w:t>软件系统；win7对应32位应用软件，数据一元化管理软件，再解析专用软件，远程访问软件，LAN连接软件</w:t>
            </w:r>
          </w:p>
          <w:p>
            <w:pPr>
              <w:spacing w:after="0" w:line="360" w:lineRule="atLeast"/>
              <w:rPr>
                <w:rFonts w:ascii="宋体" w:hAnsi="宋体" w:eastAsia="宋体"/>
                <w:sz w:val="21"/>
                <w:szCs w:val="21"/>
              </w:rPr>
            </w:pPr>
            <w:r>
              <w:rPr>
                <w:rFonts w:hint="eastAsia" w:ascii="宋体" w:hAnsi="宋体" w:eastAsia="宋体"/>
                <w:sz w:val="21"/>
                <w:szCs w:val="21"/>
              </w:rPr>
              <w:t xml:space="preserve">四、配置清单： </w:t>
            </w:r>
          </w:p>
          <w:p>
            <w:pPr>
              <w:spacing w:after="0" w:line="360" w:lineRule="atLeast"/>
              <w:rPr>
                <w:rFonts w:ascii="宋体" w:hAnsi="宋体" w:eastAsia="宋体"/>
                <w:sz w:val="21"/>
                <w:szCs w:val="21"/>
              </w:rPr>
            </w:pPr>
            <w:r>
              <w:rPr>
                <w:rFonts w:hint="eastAsia" w:ascii="宋体" w:hAnsi="宋体" w:eastAsia="宋体"/>
                <w:sz w:val="21"/>
                <w:szCs w:val="21"/>
              </w:rPr>
              <w:t>1</w:t>
            </w:r>
            <w:r>
              <w:rPr>
                <w:rFonts w:hint="eastAsia" w:ascii="宋体" w:hAnsi="宋体" w:eastAsia="宋体"/>
                <w:sz w:val="21"/>
                <w:szCs w:val="21"/>
              </w:rPr>
              <w:tab/>
            </w:r>
            <w:r>
              <w:rPr>
                <w:rFonts w:hint="eastAsia" w:ascii="宋体" w:hAnsi="宋体" w:eastAsia="宋体"/>
                <w:sz w:val="21"/>
                <w:szCs w:val="21"/>
              </w:rPr>
              <w:t>气相色谱仪主机</w:t>
            </w:r>
            <w:r>
              <w:rPr>
                <w:rFonts w:hint="eastAsia" w:ascii="宋体" w:hAnsi="宋体" w:eastAsia="宋体"/>
                <w:sz w:val="21"/>
                <w:szCs w:val="21"/>
              </w:rPr>
              <w:tab/>
            </w:r>
            <w:r>
              <w:rPr>
                <w:rFonts w:hint="eastAsia" w:ascii="宋体" w:hAnsi="宋体" w:eastAsia="宋体"/>
                <w:sz w:val="21"/>
                <w:szCs w:val="21"/>
                <w:lang w:val="en-US" w:eastAsia="zh-CN"/>
              </w:rPr>
              <w:t xml:space="preserve">                </w:t>
            </w:r>
            <w:r>
              <w:rPr>
                <w:rFonts w:hint="eastAsia" w:ascii="宋体" w:hAnsi="宋体" w:eastAsia="宋体"/>
                <w:sz w:val="21"/>
                <w:szCs w:val="21"/>
              </w:rPr>
              <w:t>1台</w:t>
            </w:r>
          </w:p>
          <w:p>
            <w:pPr>
              <w:spacing w:after="0" w:line="360" w:lineRule="atLeast"/>
              <w:rPr>
                <w:rFonts w:ascii="宋体" w:hAnsi="宋体" w:eastAsia="宋体"/>
                <w:sz w:val="21"/>
                <w:szCs w:val="21"/>
              </w:rPr>
            </w:pPr>
            <w:r>
              <w:rPr>
                <w:rFonts w:hint="eastAsia" w:ascii="宋体" w:hAnsi="宋体" w:eastAsia="宋体"/>
                <w:sz w:val="21"/>
                <w:szCs w:val="21"/>
              </w:rPr>
              <w:t>2</w:t>
            </w:r>
            <w:r>
              <w:rPr>
                <w:rFonts w:hint="eastAsia" w:ascii="宋体" w:hAnsi="宋体" w:eastAsia="宋体"/>
                <w:sz w:val="21"/>
                <w:szCs w:val="21"/>
              </w:rPr>
              <w:tab/>
            </w:r>
            <w:r>
              <w:rPr>
                <w:rFonts w:hint="eastAsia" w:ascii="宋体" w:hAnsi="宋体" w:eastAsia="宋体"/>
                <w:sz w:val="21"/>
                <w:szCs w:val="21"/>
              </w:rPr>
              <w:t>毛细管分流/不分流进样口</w:t>
            </w:r>
            <w:r>
              <w:rPr>
                <w:rFonts w:hint="eastAsia" w:ascii="宋体" w:hAnsi="宋体" w:eastAsia="宋体"/>
                <w:sz w:val="21"/>
                <w:szCs w:val="21"/>
              </w:rPr>
              <w:tab/>
            </w:r>
            <w:r>
              <w:rPr>
                <w:rFonts w:hint="eastAsia" w:ascii="宋体" w:hAnsi="宋体" w:eastAsia="宋体"/>
                <w:sz w:val="21"/>
                <w:szCs w:val="21"/>
                <w:lang w:val="en-US" w:eastAsia="zh-CN"/>
              </w:rPr>
              <w:t xml:space="preserve">        </w:t>
            </w:r>
            <w:r>
              <w:rPr>
                <w:rFonts w:hint="eastAsia" w:ascii="宋体" w:hAnsi="宋体" w:eastAsia="宋体"/>
                <w:sz w:val="21"/>
                <w:szCs w:val="21"/>
              </w:rPr>
              <w:t>1个</w:t>
            </w:r>
          </w:p>
          <w:p>
            <w:pPr>
              <w:spacing w:after="0" w:line="360" w:lineRule="atLeast"/>
              <w:rPr>
                <w:rFonts w:ascii="宋体" w:hAnsi="宋体" w:eastAsia="宋体"/>
                <w:sz w:val="21"/>
                <w:szCs w:val="21"/>
              </w:rPr>
            </w:pPr>
            <w:r>
              <w:rPr>
                <w:rFonts w:hint="eastAsia" w:ascii="宋体" w:hAnsi="宋体" w:eastAsia="宋体"/>
                <w:sz w:val="21"/>
                <w:szCs w:val="21"/>
              </w:rPr>
              <w:t>3</w:t>
            </w:r>
            <w:r>
              <w:rPr>
                <w:rFonts w:hint="eastAsia" w:ascii="宋体" w:hAnsi="宋体" w:eastAsia="宋体"/>
                <w:sz w:val="21"/>
                <w:szCs w:val="21"/>
              </w:rPr>
              <w:tab/>
            </w:r>
            <w:r>
              <w:rPr>
                <w:rFonts w:hint="eastAsia" w:ascii="宋体" w:hAnsi="宋体" w:eastAsia="宋体"/>
                <w:sz w:val="21"/>
                <w:szCs w:val="21"/>
              </w:rPr>
              <w:t>氢火焰离子化检测器</w:t>
            </w:r>
            <w:r>
              <w:rPr>
                <w:rFonts w:hint="eastAsia" w:ascii="宋体" w:hAnsi="宋体" w:eastAsia="宋体"/>
                <w:sz w:val="21"/>
                <w:szCs w:val="21"/>
                <w:lang w:val="en-US" w:eastAsia="zh-CN"/>
              </w:rPr>
              <w:t xml:space="preserve">   </w:t>
            </w:r>
            <w:r>
              <w:rPr>
                <w:rFonts w:hint="eastAsia" w:ascii="宋体" w:hAnsi="宋体" w:eastAsia="宋体"/>
                <w:sz w:val="21"/>
                <w:szCs w:val="21"/>
              </w:rPr>
              <w:tab/>
            </w:r>
            <w:r>
              <w:rPr>
                <w:rFonts w:hint="eastAsia" w:ascii="宋体" w:hAnsi="宋体" w:eastAsia="宋体"/>
                <w:sz w:val="21"/>
                <w:szCs w:val="21"/>
                <w:lang w:val="en-US" w:eastAsia="zh-CN"/>
              </w:rPr>
              <w:t xml:space="preserve">        </w:t>
            </w:r>
            <w:r>
              <w:rPr>
                <w:rFonts w:hint="eastAsia" w:ascii="宋体" w:hAnsi="宋体" w:eastAsia="宋体"/>
                <w:sz w:val="21"/>
                <w:szCs w:val="21"/>
              </w:rPr>
              <w:t>2个</w:t>
            </w:r>
          </w:p>
          <w:p>
            <w:pPr>
              <w:spacing w:after="0" w:line="360" w:lineRule="atLeast"/>
              <w:rPr>
                <w:rFonts w:ascii="宋体" w:hAnsi="宋体" w:eastAsia="宋体"/>
                <w:sz w:val="21"/>
                <w:szCs w:val="21"/>
              </w:rPr>
            </w:pPr>
            <w:r>
              <w:rPr>
                <w:rFonts w:hint="eastAsia" w:ascii="宋体" w:hAnsi="宋体" w:eastAsia="宋体"/>
                <w:sz w:val="21"/>
                <w:szCs w:val="21"/>
              </w:rPr>
              <w:t>4</w:t>
            </w:r>
            <w:r>
              <w:rPr>
                <w:rFonts w:hint="eastAsia" w:ascii="宋体" w:hAnsi="宋体" w:eastAsia="宋体"/>
                <w:sz w:val="21"/>
                <w:szCs w:val="21"/>
              </w:rPr>
              <w:tab/>
            </w:r>
            <w:r>
              <w:rPr>
                <w:rFonts w:hint="eastAsia" w:ascii="宋体" w:hAnsi="宋体" w:eastAsia="宋体"/>
                <w:sz w:val="21"/>
                <w:szCs w:val="21"/>
              </w:rPr>
              <w:t>两路分流系统安装包</w:t>
            </w:r>
            <w:r>
              <w:rPr>
                <w:rFonts w:hint="eastAsia" w:ascii="宋体" w:hAnsi="宋体" w:eastAsia="宋体"/>
                <w:sz w:val="21"/>
                <w:szCs w:val="21"/>
                <w:lang w:val="en-US" w:eastAsia="zh-CN"/>
              </w:rPr>
              <w:t xml:space="preserve">  </w:t>
            </w:r>
            <w:r>
              <w:rPr>
                <w:rFonts w:hint="eastAsia" w:ascii="宋体" w:hAnsi="宋体" w:eastAsia="宋体"/>
                <w:sz w:val="21"/>
                <w:szCs w:val="21"/>
              </w:rPr>
              <w:tab/>
            </w:r>
            <w:r>
              <w:rPr>
                <w:rFonts w:hint="eastAsia" w:ascii="宋体" w:hAnsi="宋体" w:eastAsia="宋体"/>
                <w:sz w:val="21"/>
                <w:szCs w:val="21"/>
                <w:lang w:val="en-US" w:eastAsia="zh-CN"/>
              </w:rPr>
              <w:t xml:space="preserve">        </w:t>
            </w:r>
            <w:r>
              <w:rPr>
                <w:rFonts w:hint="eastAsia" w:ascii="宋体" w:hAnsi="宋体" w:eastAsia="宋体"/>
                <w:sz w:val="21"/>
                <w:szCs w:val="21"/>
              </w:rPr>
              <w:t>1套</w:t>
            </w:r>
          </w:p>
          <w:p>
            <w:pPr>
              <w:spacing w:after="0" w:line="360" w:lineRule="atLeast"/>
              <w:rPr>
                <w:rFonts w:ascii="宋体" w:hAnsi="宋体" w:eastAsia="宋体"/>
                <w:sz w:val="21"/>
                <w:szCs w:val="21"/>
              </w:rPr>
            </w:pPr>
            <w:r>
              <w:rPr>
                <w:rFonts w:hint="eastAsia" w:ascii="宋体" w:hAnsi="宋体" w:eastAsia="宋体"/>
                <w:sz w:val="21"/>
                <w:szCs w:val="21"/>
              </w:rPr>
              <w:t>5</w:t>
            </w:r>
            <w:r>
              <w:rPr>
                <w:rFonts w:hint="eastAsia" w:ascii="宋体" w:hAnsi="宋体" w:eastAsia="宋体"/>
                <w:sz w:val="21"/>
                <w:szCs w:val="21"/>
              </w:rPr>
              <w:tab/>
            </w:r>
            <w:r>
              <w:rPr>
                <w:rFonts w:hint="eastAsia" w:ascii="宋体" w:hAnsi="宋体" w:eastAsia="宋体"/>
                <w:sz w:val="21"/>
                <w:szCs w:val="21"/>
              </w:rPr>
              <w:t>顶空进样器</w:t>
            </w:r>
            <w:r>
              <w:rPr>
                <w:rFonts w:hint="eastAsia" w:ascii="宋体" w:hAnsi="宋体" w:eastAsia="宋体"/>
                <w:sz w:val="21"/>
                <w:szCs w:val="21"/>
                <w:lang w:val="en-US" w:eastAsia="zh-CN"/>
              </w:rPr>
              <w:t xml:space="preserve">          </w:t>
            </w:r>
            <w:r>
              <w:rPr>
                <w:rFonts w:hint="eastAsia" w:ascii="宋体" w:hAnsi="宋体" w:eastAsia="宋体"/>
                <w:sz w:val="21"/>
                <w:szCs w:val="21"/>
              </w:rPr>
              <w:tab/>
            </w:r>
            <w:r>
              <w:rPr>
                <w:rFonts w:hint="eastAsia" w:ascii="宋体" w:hAnsi="宋体" w:eastAsia="宋体"/>
                <w:sz w:val="21"/>
                <w:szCs w:val="21"/>
                <w:lang w:val="en-US" w:eastAsia="zh-CN"/>
              </w:rPr>
              <w:t xml:space="preserve">        </w:t>
            </w:r>
            <w:r>
              <w:rPr>
                <w:rFonts w:hint="eastAsia" w:ascii="宋体" w:hAnsi="宋体" w:eastAsia="宋体"/>
                <w:sz w:val="21"/>
                <w:szCs w:val="21"/>
              </w:rPr>
              <w:t>1个</w:t>
            </w:r>
          </w:p>
          <w:p>
            <w:pPr>
              <w:spacing w:after="0" w:line="360" w:lineRule="atLeast"/>
              <w:rPr>
                <w:rFonts w:ascii="宋体" w:hAnsi="宋体" w:eastAsia="宋体"/>
                <w:sz w:val="21"/>
                <w:szCs w:val="21"/>
              </w:rPr>
            </w:pPr>
            <w:r>
              <w:rPr>
                <w:rFonts w:hint="eastAsia" w:ascii="宋体" w:hAnsi="宋体" w:eastAsia="宋体"/>
                <w:sz w:val="21"/>
                <w:szCs w:val="21"/>
              </w:rPr>
              <w:t>6</w:t>
            </w:r>
            <w:r>
              <w:rPr>
                <w:rFonts w:hint="eastAsia" w:ascii="宋体" w:hAnsi="宋体" w:eastAsia="宋体"/>
                <w:sz w:val="21"/>
                <w:szCs w:val="21"/>
              </w:rPr>
              <w:tab/>
            </w:r>
            <w:r>
              <w:rPr>
                <w:rFonts w:hint="eastAsia" w:ascii="宋体" w:hAnsi="宋体" w:eastAsia="宋体"/>
                <w:sz w:val="21"/>
                <w:szCs w:val="21"/>
              </w:rPr>
              <w:t>中文色谱工作站</w:t>
            </w:r>
            <w:r>
              <w:rPr>
                <w:rFonts w:hint="eastAsia" w:ascii="宋体" w:hAnsi="宋体" w:eastAsia="宋体"/>
                <w:sz w:val="21"/>
                <w:szCs w:val="21"/>
                <w:lang w:val="en-US" w:eastAsia="zh-CN"/>
              </w:rPr>
              <w:t xml:space="preserve">      </w:t>
            </w:r>
            <w:r>
              <w:rPr>
                <w:rFonts w:hint="eastAsia" w:ascii="宋体" w:hAnsi="宋体" w:eastAsia="宋体"/>
                <w:sz w:val="21"/>
                <w:szCs w:val="21"/>
              </w:rPr>
              <w:tab/>
            </w:r>
            <w:r>
              <w:rPr>
                <w:rFonts w:hint="eastAsia" w:ascii="宋体" w:hAnsi="宋体" w:eastAsia="宋体"/>
                <w:sz w:val="21"/>
                <w:szCs w:val="21"/>
                <w:lang w:val="en-US" w:eastAsia="zh-CN"/>
              </w:rPr>
              <w:t xml:space="preserve">        </w:t>
            </w:r>
            <w:r>
              <w:rPr>
                <w:rFonts w:hint="eastAsia" w:ascii="宋体" w:hAnsi="宋体" w:eastAsia="宋体"/>
                <w:sz w:val="21"/>
                <w:szCs w:val="21"/>
              </w:rPr>
              <w:t>1个</w:t>
            </w:r>
          </w:p>
          <w:p>
            <w:pPr>
              <w:spacing w:after="0" w:line="360" w:lineRule="atLeast"/>
              <w:rPr>
                <w:rFonts w:ascii="宋体" w:hAnsi="宋体" w:eastAsia="宋体"/>
                <w:sz w:val="21"/>
                <w:szCs w:val="21"/>
              </w:rPr>
            </w:pPr>
            <w:r>
              <w:rPr>
                <w:rFonts w:ascii="宋体" w:hAnsi="宋体" w:eastAsia="宋体"/>
                <w:sz w:val="21"/>
                <w:szCs w:val="21"/>
              </w:rPr>
              <w:t>7</w:t>
            </w:r>
            <w:r>
              <w:rPr>
                <w:rFonts w:hint="eastAsia" w:ascii="宋体" w:hAnsi="宋体" w:eastAsia="宋体"/>
                <w:sz w:val="21"/>
                <w:szCs w:val="21"/>
              </w:rPr>
              <w:tab/>
            </w:r>
            <w:r>
              <w:rPr>
                <w:rFonts w:hint="eastAsia" w:ascii="宋体" w:hAnsi="宋体" w:eastAsia="宋体"/>
                <w:sz w:val="21"/>
                <w:szCs w:val="21"/>
              </w:rPr>
              <w:t>色谱柱</w:t>
            </w:r>
            <w:r>
              <w:rPr>
                <w:rFonts w:hint="eastAsia" w:ascii="宋体" w:hAnsi="宋体" w:eastAsia="宋体"/>
                <w:sz w:val="21"/>
                <w:szCs w:val="21"/>
                <w:lang w:val="en-US" w:eastAsia="zh-CN"/>
              </w:rPr>
              <w:t>(与主机同品牌）</w:t>
            </w:r>
            <w:r>
              <w:rPr>
                <w:rFonts w:hint="eastAsia" w:ascii="宋体" w:hAnsi="宋体" w:eastAsia="宋体"/>
                <w:sz w:val="21"/>
                <w:szCs w:val="21"/>
              </w:rPr>
              <w:tab/>
            </w:r>
            <w:r>
              <w:rPr>
                <w:rFonts w:hint="eastAsia" w:ascii="宋体" w:hAnsi="宋体" w:eastAsia="宋体"/>
                <w:sz w:val="21"/>
                <w:szCs w:val="21"/>
                <w:lang w:val="en-US" w:eastAsia="zh-CN"/>
              </w:rPr>
              <w:t xml:space="preserve">        </w:t>
            </w:r>
            <w:r>
              <w:rPr>
                <w:rFonts w:hint="eastAsia" w:ascii="宋体" w:hAnsi="宋体" w:eastAsia="宋体"/>
                <w:sz w:val="21"/>
                <w:szCs w:val="21"/>
              </w:rPr>
              <w:t>2根</w:t>
            </w:r>
          </w:p>
          <w:p>
            <w:pPr>
              <w:spacing w:after="0" w:line="360" w:lineRule="atLeast"/>
              <w:rPr>
                <w:rFonts w:ascii="宋体" w:hAnsi="宋体" w:eastAsia="宋体"/>
                <w:sz w:val="21"/>
                <w:szCs w:val="21"/>
              </w:rPr>
            </w:pPr>
            <w:r>
              <w:rPr>
                <w:rFonts w:ascii="宋体" w:hAnsi="宋体" w:eastAsia="宋体"/>
                <w:sz w:val="21"/>
                <w:szCs w:val="21"/>
              </w:rPr>
              <w:t>8</w:t>
            </w:r>
            <w:r>
              <w:rPr>
                <w:rFonts w:hint="eastAsia" w:ascii="宋体" w:hAnsi="宋体" w:eastAsia="宋体"/>
                <w:sz w:val="21"/>
                <w:szCs w:val="21"/>
              </w:rPr>
              <w:tab/>
            </w:r>
            <w:r>
              <w:rPr>
                <w:rFonts w:hint="eastAsia" w:ascii="宋体" w:hAnsi="宋体" w:eastAsia="宋体"/>
                <w:sz w:val="21"/>
                <w:szCs w:val="21"/>
              </w:rPr>
              <w:t>计算机和打印机</w:t>
            </w:r>
            <w:r>
              <w:rPr>
                <w:rFonts w:hint="eastAsia" w:ascii="宋体" w:hAnsi="宋体" w:eastAsia="宋体"/>
                <w:sz w:val="21"/>
                <w:szCs w:val="21"/>
                <w:lang w:val="en-US" w:eastAsia="zh-CN"/>
              </w:rPr>
              <w:t xml:space="preserve">      </w:t>
            </w:r>
            <w:r>
              <w:rPr>
                <w:rFonts w:hint="eastAsia" w:ascii="宋体" w:hAnsi="宋体" w:eastAsia="宋体"/>
                <w:sz w:val="21"/>
                <w:szCs w:val="21"/>
              </w:rPr>
              <w:tab/>
            </w:r>
            <w:r>
              <w:rPr>
                <w:rFonts w:hint="eastAsia" w:ascii="宋体" w:hAnsi="宋体" w:eastAsia="宋体"/>
                <w:sz w:val="21"/>
                <w:szCs w:val="21"/>
                <w:lang w:val="en-US" w:eastAsia="zh-CN"/>
              </w:rPr>
              <w:t xml:space="preserve">        </w:t>
            </w:r>
            <w:r>
              <w:rPr>
                <w:rFonts w:hint="eastAsia" w:ascii="宋体" w:hAnsi="宋体" w:eastAsia="宋体"/>
                <w:sz w:val="21"/>
                <w:szCs w:val="21"/>
              </w:rPr>
              <w:t>1套</w:t>
            </w:r>
          </w:p>
          <w:p>
            <w:pPr>
              <w:spacing w:after="0" w:line="360" w:lineRule="atLeast"/>
              <w:rPr>
                <w:rFonts w:ascii="宋体" w:hAnsi="宋体" w:eastAsia="宋体"/>
                <w:sz w:val="21"/>
                <w:szCs w:val="21"/>
              </w:rPr>
            </w:pPr>
            <w:r>
              <w:rPr>
                <w:rFonts w:ascii="宋体" w:hAnsi="宋体" w:eastAsia="宋体"/>
                <w:sz w:val="21"/>
                <w:szCs w:val="21"/>
              </w:rPr>
              <w:t>9</w:t>
            </w:r>
            <w:r>
              <w:rPr>
                <w:rFonts w:hint="eastAsia" w:ascii="宋体" w:hAnsi="宋体" w:eastAsia="宋体"/>
                <w:sz w:val="21"/>
                <w:szCs w:val="21"/>
              </w:rPr>
              <w:tab/>
            </w:r>
            <w:r>
              <w:rPr>
                <w:rFonts w:hint="eastAsia" w:ascii="宋体" w:hAnsi="宋体" w:eastAsia="宋体"/>
                <w:sz w:val="21"/>
                <w:szCs w:val="21"/>
              </w:rPr>
              <w:t>氮气，氢气，空气气瓶及减压阀</w:t>
            </w:r>
            <w:r>
              <w:rPr>
                <w:rFonts w:hint="eastAsia" w:ascii="宋体" w:hAnsi="宋体" w:eastAsia="宋体"/>
                <w:sz w:val="21"/>
                <w:szCs w:val="21"/>
              </w:rPr>
              <w:tab/>
            </w:r>
            <w:r>
              <w:rPr>
                <w:rFonts w:hint="eastAsia" w:ascii="宋体" w:hAnsi="宋体" w:eastAsia="宋体"/>
                <w:sz w:val="21"/>
                <w:szCs w:val="21"/>
              </w:rPr>
              <w:t>1套</w:t>
            </w:r>
          </w:p>
          <w:p>
            <w:pPr>
              <w:spacing w:after="0" w:line="360" w:lineRule="atLeast"/>
              <w:rPr>
                <w:rFonts w:ascii="宋体" w:hAnsi="宋体" w:eastAsia="宋体"/>
                <w:sz w:val="21"/>
                <w:szCs w:val="21"/>
              </w:rPr>
            </w:pPr>
          </w:p>
          <w:p>
            <w:pPr>
              <w:numPr>
                <w:ilvl w:val="0"/>
                <w:numId w:val="2"/>
              </w:numPr>
              <w:spacing w:after="0" w:line="360" w:lineRule="atLeast"/>
              <w:rPr>
                <w:rFonts w:hint="eastAsia" w:ascii="宋体" w:hAnsi="宋体" w:eastAsia="宋体"/>
                <w:sz w:val="21"/>
                <w:szCs w:val="21"/>
              </w:rPr>
            </w:pPr>
            <w:r>
              <w:rPr>
                <w:rFonts w:hint="eastAsia" w:ascii="宋体" w:hAnsi="宋体" w:eastAsia="宋体"/>
                <w:sz w:val="21"/>
                <w:szCs w:val="21"/>
              </w:rPr>
              <w:t>商务参数</w:t>
            </w:r>
          </w:p>
          <w:p>
            <w:pPr>
              <w:spacing w:after="0" w:line="360" w:lineRule="atLeast"/>
              <w:rPr>
                <w:rFonts w:hint="eastAsia" w:ascii="宋体" w:hAnsi="宋体" w:eastAsia="宋体"/>
                <w:sz w:val="21"/>
                <w:szCs w:val="21"/>
              </w:rPr>
            </w:pPr>
            <w:r>
              <w:rPr>
                <w:rFonts w:hint="eastAsia" w:ascii="宋体" w:hAnsi="宋体" w:eastAsia="宋体"/>
                <w:sz w:val="21"/>
                <w:szCs w:val="21"/>
              </w:rPr>
              <w:t>*1、运输、装卸、培训、安装调试：由中标人负责承担，最终通过使用科室、设备科及相关部门确认验收交付使用。</w:t>
            </w:r>
          </w:p>
          <w:p>
            <w:pPr>
              <w:spacing w:after="0" w:line="360" w:lineRule="atLeast"/>
              <w:rPr>
                <w:rFonts w:hint="eastAsia" w:ascii="宋体" w:hAnsi="宋体" w:eastAsia="宋体"/>
                <w:sz w:val="21"/>
                <w:szCs w:val="21"/>
              </w:rPr>
            </w:pPr>
            <w:r>
              <w:rPr>
                <w:rFonts w:hint="eastAsia" w:ascii="宋体" w:hAnsi="宋体" w:eastAsia="宋体"/>
                <w:sz w:val="21"/>
                <w:szCs w:val="21"/>
              </w:rPr>
              <w:t>*2、交货时间：按合同约定的日期交货。</w:t>
            </w:r>
          </w:p>
          <w:p>
            <w:pPr>
              <w:spacing w:after="0" w:line="360" w:lineRule="atLeast"/>
              <w:rPr>
                <w:rFonts w:hint="eastAsia" w:ascii="宋体" w:hAnsi="宋体" w:eastAsia="宋体"/>
                <w:sz w:val="21"/>
                <w:szCs w:val="21"/>
              </w:rPr>
            </w:pPr>
            <w:r>
              <w:rPr>
                <w:rFonts w:hint="eastAsia" w:ascii="宋体" w:hAnsi="宋体" w:eastAsia="宋体"/>
                <w:sz w:val="21"/>
                <w:szCs w:val="21"/>
              </w:rPr>
              <w:t>*3、交货地点：娄底市中心医院指定地点。</w:t>
            </w:r>
          </w:p>
          <w:p>
            <w:pPr>
              <w:spacing w:after="0" w:line="360" w:lineRule="atLeast"/>
              <w:rPr>
                <w:rFonts w:hint="eastAsia" w:ascii="宋体" w:hAnsi="宋体" w:eastAsia="宋体"/>
                <w:sz w:val="21"/>
                <w:szCs w:val="21"/>
              </w:rPr>
            </w:pPr>
            <w:r>
              <w:rPr>
                <w:rFonts w:hint="eastAsia" w:ascii="宋体" w:hAnsi="宋体" w:eastAsia="宋体"/>
                <w:sz w:val="21"/>
                <w:szCs w:val="21"/>
              </w:rPr>
              <w:t>*4、付款方式：设备验收合格后，供应商将发票交到娄底市中心医院后按程序支付货款90%（按医院财务制度一般情况下4个月内支付、特殊情况下最多不超过6个月），甲方在设备验收合格满</w:t>
            </w:r>
            <w:r>
              <w:rPr>
                <w:rFonts w:hint="eastAsia" w:ascii="宋体" w:hAnsi="宋体" w:eastAsia="宋体"/>
                <w:sz w:val="21"/>
                <w:szCs w:val="21"/>
                <w:lang w:val="en-US" w:eastAsia="zh-CN"/>
              </w:rPr>
              <w:t>3</w:t>
            </w:r>
            <w:r>
              <w:rPr>
                <w:rFonts w:hint="eastAsia" w:ascii="宋体" w:hAnsi="宋体" w:eastAsia="宋体"/>
                <w:sz w:val="21"/>
                <w:szCs w:val="21"/>
              </w:rPr>
              <w:t>年后支付10%余款给乙方。</w:t>
            </w:r>
          </w:p>
          <w:p>
            <w:pPr>
              <w:spacing w:after="0" w:line="360" w:lineRule="atLeast"/>
              <w:rPr>
                <w:rFonts w:hint="eastAsia" w:ascii="宋体" w:hAnsi="宋体" w:eastAsia="宋体"/>
                <w:sz w:val="21"/>
                <w:szCs w:val="21"/>
              </w:rPr>
            </w:pPr>
            <w:r>
              <w:rPr>
                <w:rFonts w:hint="eastAsia" w:ascii="宋体" w:hAnsi="宋体" w:eastAsia="宋体"/>
                <w:sz w:val="21"/>
                <w:szCs w:val="21"/>
              </w:rPr>
              <w:t>*5、质保与售后：整机保修</w:t>
            </w:r>
            <w:r>
              <w:rPr>
                <w:rFonts w:hint="eastAsia" w:ascii="宋体" w:hAnsi="宋体" w:eastAsia="宋体"/>
                <w:sz w:val="21"/>
                <w:szCs w:val="21"/>
                <w:lang w:val="en-US" w:eastAsia="zh-CN"/>
              </w:rPr>
              <w:t>3</w:t>
            </w:r>
            <w:r>
              <w:rPr>
                <w:rFonts w:hint="eastAsia" w:ascii="宋体" w:hAnsi="宋体" w:eastAsia="宋体"/>
                <w:sz w:val="21"/>
                <w:szCs w:val="21"/>
              </w:rPr>
              <w:t>年，终身维修。验收时出具原厂售后质保承诺书，质保期内每年巡检一次，并提交巡检记录。质保期内出现故障，24小时响应，响应后4小时上门服务。</w:t>
            </w:r>
          </w:p>
          <w:p>
            <w:pPr>
              <w:spacing w:after="0" w:line="360" w:lineRule="atLeast"/>
              <w:rPr>
                <w:rFonts w:ascii="宋体" w:hAnsi="宋体" w:eastAsia="宋体"/>
                <w:sz w:val="21"/>
                <w:szCs w:val="21"/>
              </w:rPr>
            </w:pPr>
            <w:r>
              <w:rPr>
                <w:rFonts w:hint="eastAsia" w:ascii="宋体" w:hAnsi="宋体" w:eastAsia="宋体"/>
                <w:sz w:val="21"/>
                <w:szCs w:val="21"/>
              </w:rPr>
              <w:t>*6、在投标文件中必须提供相关佐证资料（加盖原厂公章的技术参数、技术白皮书、说明书、彩页），并在响应表中备注该条参数响应或正偏离的佐证资料所在页码。</w:t>
            </w:r>
          </w:p>
          <w:p>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Theme="minorEastAsia" w:hAnsiTheme="minorEastAsia" w:eastAsiaTheme="minorEastAsia" w:cstheme="minorEastAsia"/>
                <w:bCs/>
                <w:color w:val="auto"/>
                <w:kern w:val="0"/>
                <w:sz w:val="28"/>
                <w:szCs w:val="28"/>
                <w:lang w:val="en-US" w:eastAsia="zh-CN" w:bidi="ar-SA"/>
              </w:rPr>
            </w:pPr>
          </w:p>
        </w:tc>
      </w:tr>
    </w:tbl>
    <w:p>
      <w:pPr>
        <w:pStyle w:val="7"/>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三、标书要求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1、封面：需注明标的名称、投标文件、单位、时间；</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2、“三证合一”或“五证合一”营业执照，医疗器械经营许可证、生产厂家营业执照、生产许可证（如按法律规定需提供）、产品注册证（如按法律规定需提供）；</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3、投标人身份证复印件；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5、履行本项目所必需的资质证明；</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6、针对此项目的技术、服务方案；</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8、投标文件的每一页都必须加盖投标单位的公章；</w:t>
      </w:r>
    </w:p>
    <w:p>
      <w:pPr>
        <w:spacing w:line="360" w:lineRule="auto"/>
        <w:ind w:firstLine="560" w:firstLineChars="200"/>
        <w:rPr>
          <w:rFonts w:hint="default"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9、投标文件参数响应表中必须标注响应项佐证材料所对应页面，否则视为无效投标文件。</w:t>
      </w:r>
    </w:p>
    <w:p>
      <w:pPr>
        <w:spacing w:line="360" w:lineRule="auto"/>
        <w:ind w:firstLine="560" w:firstLineChars="200"/>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t>10、投标文件必须胶装并用纸质文件袋封好（一正贰副），标书必须“A4规格纸张胶制（非打孔或夹装）装订成册，并编制总目录”,要求密封，否则视为符合性审查不合格，作无效投标处理，在开标现场验证时打开，采用现场开标的方式。</w:t>
      </w:r>
    </w:p>
    <w:p>
      <w:pPr>
        <w:rPr>
          <w:rFonts w:hint="eastAsia" w:asciiTheme="minorEastAsia" w:hAnsiTheme="minorEastAsia" w:eastAsiaTheme="minorEastAsia" w:cstheme="minorEastAsia"/>
          <w:bCs/>
          <w:color w:val="auto"/>
          <w:kern w:val="0"/>
          <w:sz w:val="28"/>
          <w:szCs w:val="28"/>
          <w:lang w:val="en-US" w:eastAsia="zh-CN" w:bidi="ar-SA"/>
        </w:rPr>
      </w:pPr>
      <w:r>
        <w:rPr>
          <w:rFonts w:hint="eastAsia" w:asciiTheme="minorEastAsia" w:hAnsiTheme="minorEastAsia" w:eastAsiaTheme="minorEastAsia" w:cstheme="minorEastAsia"/>
          <w:bCs/>
          <w:color w:val="auto"/>
          <w:kern w:val="0"/>
          <w:sz w:val="28"/>
          <w:szCs w:val="28"/>
          <w:lang w:val="en-US" w:eastAsia="zh-CN" w:bidi="ar-SA"/>
        </w:rPr>
        <w:br w:type="page"/>
      </w:r>
    </w:p>
    <w:p>
      <w:pPr>
        <w:spacing w:line="360" w:lineRule="auto"/>
        <w:ind w:firstLine="880" w:firstLineChars="200"/>
        <w:rPr>
          <w:rFonts w:hint="eastAsia" w:ascii="宋体" w:hAnsi="宋体" w:cs="宋体"/>
          <w:color w:val="auto"/>
          <w:sz w:val="44"/>
          <w:szCs w:val="44"/>
          <w:lang w:val="en-US" w:eastAsia="zh-CN"/>
        </w:rPr>
      </w:pPr>
      <w:r>
        <w:rPr>
          <w:rFonts w:hint="eastAsia" w:ascii="宋体" w:hAnsi="宋体" w:cs="宋体"/>
          <w:color w:val="auto"/>
          <w:sz w:val="44"/>
          <w:szCs w:val="44"/>
          <w:lang w:val="en-US" w:eastAsia="zh-CN"/>
        </w:rPr>
        <w:t>第三章</w:t>
      </w:r>
      <w:bookmarkStart w:id="1" w:name="_Toc16523573"/>
      <w:r>
        <w:rPr>
          <w:rFonts w:hint="eastAsia" w:ascii="宋体" w:hAnsi="宋体" w:cs="宋体"/>
          <w:color w:val="auto"/>
          <w:sz w:val="44"/>
          <w:szCs w:val="44"/>
          <w:lang w:val="en-US" w:eastAsia="zh-CN"/>
        </w:rPr>
        <w:t>评标方法及标准</w:t>
      </w:r>
      <w:bookmarkEnd w:id="1"/>
    </w:p>
    <w:p>
      <w:pPr>
        <w:adjustRightInd w:val="0"/>
        <w:snapToGrid w:val="0"/>
        <w:spacing w:line="360" w:lineRule="auto"/>
        <w:jc w:val="center"/>
        <w:rPr>
          <w:rFonts w:hint="eastAsia" w:ascii="宋体" w:hAnsi="宋体" w:cs="宋体"/>
          <w:b/>
          <w:color w:val="auto"/>
          <w:sz w:val="36"/>
        </w:rPr>
      </w:pPr>
      <w:r>
        <w:rPr>
          <w:rFonts w:hint="eastAsia" w:ascii="宋体" w:hAnsi="宋体" w:cs="宋体"/>
          <w:b/>
          <w:color w:val="auto"/>
          <w:sz w:val="36"/>
        </w:rPr>
        <w:t>投标人综合评分表</w:t>
      </w:r>
    </w:p>
    <w:tbl>
      <w:tblPr>
        <w:tblStyle w:val="9"/>
        <w:tblW w:w="4999" w:type="pct"/>
        <w:jc w:val="center"/>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108" w:type="dxa"/>
          <w:bottom w:w="0" w:type="dxa"/>
          <w:right w:w="108" w:type="dxa"/>
        </w:tblCellMar>
      </w:tblPr>
      <w:tblGrid>
        <w:gridCol w:w="603"/>
        <w:gridCol w:w="798"/>
        <w:gridCol w:w="1106"/>
        <w:gridCol w:w="5663"/>
        <w:gridCol w:w="77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565"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序号</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评审项目</w:t>
            </w:r>
          </w:p>
        </w:tc>
        <w:tc>
          <w:tcPr>
            <w:tcW w:w="3171" w:type="pct"/>
            <w:noWrap w:val="0"/>
            <w:vAlign w:val="center"/>
          </w:tcPr>
          <w:p>
            <w:pPr>
              <w:ind w:left="480"/>
              <w:jc w:val="center"/>
              <w:rPr>
                <w:rFonts w:hint="eastAsia" w:ascii="宋体" w:hAnsi="宋体" w:cs="宋体"/>
                <w:color w:val="auto"/>
                <w:sz w:val="28"/>
                <w:szCs w:val="28"/>
              </w:rPr>
            </w:pPr>
            <w:r>
              <w:rPr>
                <w:rFonts w:hint="eastAsia" w:ascii="宋体" w:hAnsi="宋体" w:cs="宋体"/>
                <w:color w:val="auto"/>
                <w:sz w:val="28"/>
                <w:szCs w:val="28"/>
              </w:rPr>
              <w:t>评审标准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分值</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293"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1</w:t>
            </w:r>
          </w:p>
        </w:tc>
        <w:tc>
          <w:tcPr>
            <w:tcW w:w="1078" w:type="pct"/>
            <w:gridSpan w:val="2"/>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价格</w:t>
            </w:r>
          </w:p>
          <w:p>
            <w:pPr>
              <w:jc w:val="center"/>
              <w:rPr>
                <w:rFonts w:hint="eastAsia" w:ascii="宋体" w:hAnsi="宋体" w:cs="宋体"/>
                <w:color w:val="auto"/>
                <w:sz w:val="28"/>
                <w:szCs w:val="28"/>
              </w:rPr>
            </w:pPr>
            <w:r>
              <w:rPr>
                <w:rFonts w:hint="eastAsia" w:ascii="宋体" w:hAnsi="宋体" w:cs="宋体"/>
                <w:color w:val="auto"/>
                <w:sz w:val="28"/>
                <w:szCs w:val="28"/>
              </w:rPr>
              <w:t>（</w:t>
            </w:r>
            <w:r>
              <w:rPr>
                <w:rFonts w:hint="eastAsia" w:ascii="宋体" w:hAnsi="宋体" w:cs="宋体"/>
                <w:color w:val="auto"/>
                <w:sz w:val="28"/>
                <w:szCs w:val="28"/>
                <w:lang w:val="en-US" w:eastAsia="zh-CN"/>
              </w:rPr>
              <w:t>4</w:t>
            </w:r>
            <w:r>
              <w:rPr>
                <w:rFonts w:hint="eastAsia" w:ascii="宋体" w:hAnsi="宋体" w:cs="宋体"/>
                <w:color w:val="auto"/>
                <w:sz w:val="28"/>
                <w:szCs w:val="28"/>
              </w:rPr>
              <w:t>0分）</w:t>
            </w:r>
          </w:p>
        </w:tc>
        <w:tc>
          <w:tcPr>
            <w:tcW w:w="3171" w:type="pct"/>
            <w:noWrap w:val="0"/>
            <w:vAlign w:val="center"/>
          </w:tcPr>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满足招标文件要求且最终投标价格最低的投标报价为评标基准价，其价格分为满分，其他有效投标人的价格分按照下列公式计算：投标报价得分=（评标基准价 ／最终投标报价）×</w:t>
            </w:r>
            <w:r>
              <w:rPr>
                <w:rFonts w:hint="eastAsia" w:ascii="宋体" w:hAnsi="宋体" w:cs="Times New Roman"/>
                <w:color w:val="auto"/>
                <w:sz w:val="28"/>
                <w:szCs w:val="28"/>
                <w:lang w:val="en-US" w:eastAsia="zh-CN"/>
              </w:rPr>
              <w:t>4</w:t>
            </w:r>
            <w:r>
              <w:rPr>
                <w:rFonts w:hint="eastAsia" w:ascii="宋体" w:hAnsi="宋体" w:eastAsia="宋体" w:cs="Times New Roman"/>
                <w:color w:val="auto"/>
                <w:sz w:val="28"/>
                <w:szCs w:val="28"/>
                <w:lang w:val="en-US" w:eastAsia="zh-CN"/>
              </w:rPr>
              <w:t>0</w:t>
            </w:r>
            <w:r>
              <w:rPr>
                <w:rFonts w:hint="eastAsia" w:ascii="宋体" w:hAnsi="宋体" w:eastAsia="宋体" w:cs="Times New Roman"/>
                <w:color w:val="auto"/>
                <w:sz w:val="28"/>
                <w:szCs w:val="28"/>
              </w:rPr>
              <w:t>。</w:t>
            </w:r>
          </w:p>
          <w:p>
            <w:pPr>
              <w:rPr>
                <w:rFonts w:hint="eastAsia"/>
                <w:color w:val="auto"/>
                <w:sz w:val="28"/>
                <w:szCs w:val="28"/>
              </w:rPr>
            </w:pPr>
            <w:r>
              <w:rPr>
                <w:rFonts w:hint="eastAsia" w:ascii="宋体" w:hAnsi="宋体" w:eastAsia="宋体" w:cs="Times New Roman"/>
                <w:color w:val="auto"/>
                <w:sz w:val="28"/>
                <w:szCs w:val="28"/>
              </w:rPr>
              <w:t>“评标委员会认为投标人的报价明显低于其他通过符合性审查投标人的报价，有可能影响产品质量或者不能诚信履约的，应当要求其在评标现场合理的时间内提供书面说明，必要时提交相关证明材料</w:t>
            </w:r>
            <w:r>
              <w:rPr>
                <w:rFonts w:hint="default" w:ascii="宋体" w:hAnsi="宋体" w:eastAsia="宋体" w:cs="Times New Roman"/>
                <w:color w:val="auto"/>
                <w:sz w:val="28"/>
                <w:szCs w:val="28"/>
              </w:rPr>
              <w:t>;</w:t>
            </w:r>
            <w:r>
              <w:rPr>
                <w:rFonts w:hint="eastAsia" w:ascii="宋体" w:hAnsi="宋体" w:eastAsia="宋体" w:cs="Times New Roman"/>
                <w:color w:val="auto"/>
                <w:sz w:val="28"/>
                <w:szCs w:val="28"/>
              </w:rPr>
              <w:t>投标人不能证明其报价合理性的，评标委员会应当将其作为无效投标处理。”</w:t>
            </w:r>
          </w:p>
        </w:tc>
        <w:tc>
          <w:tcPr>
            <w:tcW w:w="406"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0-</w:t>
            </w:r>
            <w:r>
              <w:rPr>
                <w:rFonts w:hint="eastAsia" w:ascii="宋体" w:hAnsi="宋体" w:cs="宋体"/>
                <w:color w:val="auto"/>
                <w:sz w:val="28"/>
                <w:szCs w:val="28"/>
                <w:lang w:val="en-US" w:eastAsia="zh-CN"/>
              </w:rPr>
              <w:t>4</w:t>
            </w:r>
            <w:r>
              <w:rPr>
                <w:rFonts w:hint="eastAsia" w:ascii="宋体" w:hAnsi="宋体" w:cs="宋体"/>
                <w:color w:val="auto"/>
                <w:sz w:val="28"/>
                <w:szCs w:val="28"/>
              </w:rPr>
              <w:t>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161" w:hRule="atLeast"/>
          <w:jc w:val="center"/>
        </w:trPr>
        <w:tc>
          <w:tcPr>
            <w:tcW w:w="344"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2</w:t>
            </w:r>
          </w:p>
        </w:tc>
        <w:tc>
          <w:tcPr>
            <w:tcW w:w="453" w:type="pct"/>
            <w:vMerge w:val="restar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lang w:eastAsia="zh-CN"/>
              </w:rPr>
              <w:t>招标文件响应程度及服务方案</w:t>
            </w:r>
            <w:r>
              <w:rPr>
                <w:rFonts w:hint="eastAsia" w:ascii="宋体" w:hAnsi="宋体" w:cs="宋体"/>
                <w:color w:val="auto"/>
                <w:sz w:val="28"/>
                <w:szCs w:val="28"/>
              </w:rPr>
              <w:t>（</w:t>
            </w:r>
            <w:r>
              <w:rPr>
                <w:rFonts w:hint="eastAsia" w:ascii="宋体" w:hAnsi="宋体" w:cs="宋体"/>
                <w:color w:val="auto"/>
                <w:sz w:val="28"/>
                <w:szCs w:val="28"/>
                <w:lang w:val="en-US" w:eastAsia="zh-CN"/>
              </w:rPr>
              <w:t>10</w:t>
            </w:r>
            <w:r>
              <w:rPr>
                <w:rFonts w:hint="eastAsia" w:ascii="宋体" w:hAnsi="宋体" w:cs="宋体"/>
                <w:color w:val="auto"/>
                <w:sz w:val="28"/>
                <w:szCs w:val="28"/>
              </w:rPr>
              <w:t>分）</w:t>
            </w:r>
          </w:p>
        </w:tc>
        <w:tc>
          <w:tcPr>
            <w:tcW w:w="625" w:type="pct"/>
            <w:noWrap w:val="0"/>
            <w:vAlign w:val="center"/>
          </w:tcPr>
          <w:p>
            <w:pPr>
              <w:jc w:val="center"/>
              <w:rPr>
                <w:rFonts w:hint="eastAsia" w:ascii="宋体" w:hAnsi="宋体" w:cs="宋体"/>
                <w:color w:val="auto"/>
                <w:sz w:val="28"/>
                <w:szCs w:val="28"/>
              </w:rPr>
            </w:pPr>
            <w:r>
              <w:rPr>
                <w:rFonts w:ascii="宋体" w:hAnsi="宋体"/>
                <w:color w:val="auto"/>
                <w:sz w:val="28"/>
                <w:szCs w:val="28"/>
              </w:rPr>
              <w:t>对招标文件的响应程度</w:t>
            </w:r>
          </w:p>
        </w:tc>
        <w:tc>
          <w:tcPr>
            <w:tcW w:w="3171" w:type="pct"/>
            <w:noWrap w:val="0"/>
            <w:vAlign w:val="center"/>
          </w:tcPr>
          <w:p>
            <w:pPr>
              <w:rPr>
                <w:rFonts w:hint="eastAsia" w:ascii="宋体" w:hAnsi="宋体" w:cs="宋体"/>
                <w:color w:val="auto"/>
                <w:sz w:val="28"/>
                <w:szCs w:val="28"/>
              </w:rPr>
            </w:pPr>
            <w:r>
              <w:rPr>
                <w:rFonts w:hint="eastAsia" w:ascii="宋体" w:hAnsi="宋体"/>
                <w:color w:val="auto"/>
                <w:sz w:val="28"/>
                <w:szCs w:val="28"/>
              </w:rPr>
              <w:t>以招标文件格式为基础，根据投标文件制作的优劣，专家酌情打分，每有一处细微偏差扣1分，扣分最多不超过</w:t>
            </w:r>
            <w:r>
              <w:rPr>
                <w:rFonts w:hint="eastAsia" w:ascii="宋体" w:hAnsi="宋体"/>
                <w:color w:val="auto"/>
                <w:sz w:val="28"/>
                <w:szCs w:val="28"/>
                <w:lang w:val="en-US" w:eastAsia="zh-CN"/>
              </w:rPr>
              <w:t>2</w:t>
            </w:r>
            <w:r>
              <w:rPr>
                <w:rFonts w:hint="eastAsia" w:ascii="宋体" w:hAnsi="宋体"/>
                <w:color w:val="auto"/>
                <w:sz w:val="28"/>
                <w:szCs w:val="28"/>
              </w:rPr>
              <w:t>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2</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509" w:hRule="atLeast"/>
          <w:jc w:val="center"/>
        </w:trPr>
        <w:tc>
          <w:tcPr>
            <w:tcW w:w="344" w:type="pct"/>
            <w:vMerge w:val="continue"/>
            <w:noWrap w:val="0"/>
            <w:vAlign w:val="center"/>
          </w:tcPr>
          <w:p>
            <w:pPr>
              <w:jc w:val="center"/>
              <w:rPr>
                <w:rFonts w:hint="eastAsia" w:ascii="宋体" w:hAnsi="宋体" w:cs="宋体"/>
                <w:color w:val="auto"/>
                <w:sz w:val="28"/>
                <w:szCs w:val="28"/>
              </w:rPr>
            </w:pPr>
          </w:p>
        </w:tc>
        <w:tc>
          <w:tcPr>
            <w:tcW w:w="453" w:type="pct"/>
            <w:vMerge w:val="continue"/>
            <w:noWrap w:val="0"/>
            <w:vAlign w:val="center"/>
          </w:tcPr>
          <w:p>
            <w:pPr>
              <w:jc w:val="center"/>
              <w:rPr>
                <w:rFonts w:hint="eastAsia" w:ascii="宋体" w:hAnsi="宋体" w:cs="宋体"/>
                <w:color w:val="auto"/>
                <w:sz w:val="28"/>
                <w:szCs w:val="28"/>
              </w:rPr>
            </w:pPr>
          </w:p>
        </w:tc>
        <w:tc>
          <w:tcPr>
            <w:tcW w:w="625" w:type="pct"/>
            <w:noWrap w:val="0"/>
            <w:vAlign w:val="center"/>
          </w:tcPr>
          <w:p>
            <w:pPr>
              <w:jc w:val="center"/>
              <w:rPr>
                <w:rFonts w:hint="eastAsia" w:ascii="宋体" w:hAnsi="宋体" w:eastAsia="宋体" w:cs="宋体"/>
                <w:color w:val="auto"/>
                <w:sz w:val="28"/>
                <w:szCs w:val="28"/>
                <w:lang w:eastAsia="zh-CN"/>
              </w:rPr>
            </w:pPr>
            <w:r>
              <w:rPr>
                <w:rFonts w:hint="eastAsia" w:ascii="宋体" w:hAnsi="宋体" w:cs="宋体"/>
                <w:color w:val="auto"/>
                <w:sz w:val="28"/>
                <w:szCs w:val="28"/>
                <w:lang w:eastAsia="zh-CN"/>
              </w:rPr>
              <w:t>服务方案</w:t>
            </w:r>
          </w:p>
        </w:tc>
        <w:tc>
          <w:tcPr>
            <w:tcW w:w="3171" w:type="pct"/>
            <w:noWrap w:val="0"/>
            <w:vAlign w:val="center"/>
          </w:tcPr>
          <w:p>
            <w:pPr>
              <w:rPr>
                <w:rFonts w:hint="eastAsia" w:ascii="宋体" w:hAnsi="宋体" w:cs="Times New Roman"/>
                <w:color w:val="auto"/>
                <w:sz w:val="28"/>
                <w:szCs w:val="28"/>
              </w:rPr>
            </w:pPr>
            <w:r>
              <w:rPr>
                <w:rFonts w:hint="eastAsia" w:ascii="宋体" w:hAnsi="宋体" w:cs="Times New Roman"/>
                <w:color w:val="auto"/>
                <w:sz w:val="28"/>
                <w:szCs w:val="28"/>
                <w:lang w:val="en-US" w:eastAsia="zh-CN"/>
              </w:rPr>
              <w:t>1、</w:t>
            </w:r>
            <w:r>
              <w:rPr>
                <w:rFonts w:hint="eastAsia" w:ascii="宋体" w:hAnsi="宋体" w:cs="Times New Roman"/>
                <w:color w:val="auto"/>
                <w:sz w:val="28"/>
                <w:szCs w:val="28"/>
              </w:rPr>
              <w:t>能提供投标人近五年同类型合作业绩，每个</w:t>
            </w:r>
            <w:r>
              <w:rPr>
                <w:rFonts w:hint="eastAsia" w:ascii="宋体" w:hAnsi="宋体" w:cs="Times New Roman"/>
                <w:color w:val="auto"/>
                <w:sz w:val="28"/>
                <w:szCs w:val="28"/>
                <w:lang w:val="en-US" w:eastAsia="zh-CN"/>
              </w:rPr>
              <w:t>业绩</w:t>
            </w:r>
            <w:r>
              <w:rPr>
                <w:rFonts w:hint="eastAsia" w:ascii="宋体" w:hAnsi="宋体" w:cs="Times New Roman"/>
                <w:color w:val="auto"/>
                <w:sz w:val="28"/>
                <w:szCs w:val="28"/>
              </w:rPr>
              <w:t>计</w:t>
            </w:r>
            <w:r>
              <w:rPr>
                <w:rFonts w:hint="eastAsia" w:ascii="宋体" w:hAnsi="宋体" w:cs="Times New Roman"/>
                <w:color w:val="auto"/>
                <w:sz w:val="28"/>
                <w:szCs w:val="28"/>
                <w:lang w:val="en-US" w:eastAsia="zh-CN"/>
              </w:rPr>
              <w:t>2</w:t>
            </w:r>
            <w:r>
              <w:rPr>
                <w:rFonts w:hint="eastAsia" w:ascii="宋体" w:hAnsi="宋体" w:cs="Times New Roman"/>
                <w:color w:val="auto"/>
                <w:sz w:val="28"/>
                <w:szCs w:val="28"/>
              </w:rPr>
              <w:t>分，最多计</w:t>
            </w:r>
            <w:r>
              <w:rPr>
                <w:rFonts w:hint="eastAsia" w:ascii="宋体" w:hAnsi="宋体" w:cs="Times New Roman"/>
                <w:color w:val="auto"/>
                <w:sz w:val="28"/>
                <w:szCs w:val="28"/>
                <w:lang w:val="en-US" w:eastAsia="zh-CN"/>
              </w:rPr>
              <w:t>4</w:t>
            </w:r>
            <w:r>
              <w:rPr>
                <w:rFonts w:hint="eastAsia" w:ascii="宋体" w:hAnsi="宋体" w:cs="Times New Roman"/>
                <w:color w:val="auto"/>
                <w:sz w:val="28"/>
                <w:szCs w:val="28"/>
              </w:rPr>
              <w:t>分（提供合作清单及联系人，并附合同或中标通知书复印件加盖投标人公章）。</w:t>
            </w:r>
          </w:p>
          <w:p>
            <w:pPr>
              <w:rPr>
                <w:rFonts w:hint="eastAsia"/>
                <w:sz w:val="28"/>
                <w:szCs w:val="28"/>
              </w:rPr>
            </w:pPr>
            <w:r>
              <w:rPr>
                <w:rFonts w:hint="eastAsia" w:ascii="宋体" w:hAnsi="宋体" w:cs="Times New Roman"/>
                <w:color w:val="auto"/>
                <w:sz w:val="28"/>
                <w:szCs w:val="28"/>
                <w:lang w:val="en-US" w:eastAsia="zh-CN"/>
              </w:rPr>
              <w:t>2、在上述技术及商务参数中要求的质保年限上，每增加一年计2分，最多计4分。</w:t>
            </w:r>
          </w:p>
        </w:tc>
        <w:tc>
          <w:tcPr>
            <w:tcW w:w="406" w:type="pct"/>
            <w:noWrap w:val="0"/>
            <w:vAlign w:val="center"/>
          </w:tcPr>
          <w:p>
            <w:pPr>
              <w:jc w:val="center"/>
              <w:rPr>
                <w:rFonts w:hint="eastAsia"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8</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1040" w:hRule="atLeast"/>
          <w:jc w:val="center"/>
        </w:trPr>
        <w:tc>
          <w:tcPr>
            <w:tcW w:w="344" w:type="pct"/>
            <w:noWrap w:val="0"/>
            <w:vAlign w:val="center"/>
          </w:tcPr>
          <w:p>
            <w:pPr>
              <w:jc w:val="center"/>
              <w:rPr>
                <w:rFonts w:hint="eastAsia" w:ascii="宋体" w:hAnsi="宋体" w:cs="宋体"/>
                <w:color w:val="auto"/>
                <w:sz w:val="28"/>
                <w:szCs w:val="28"/>
              </w:rPr>
            </w:pPr>
            <w:r>
              <w:rPr>
                <w:rFonts w:hint="eastAsia" w:ascii="宋体" w:hAnsi="宋体" w:cs="宋体"/>
                <w:color w:val="auto"/>
                <w:sz w:val="28"/>
                <w:szCs w:val="28"/>
              </w:rPr>
              <w:t>3</w:t>
            </w:r>
          </w:p>
        </w:tc>
        <w:tc>
          <w:tcPr>
            <w:tcW w:w="453" w:type="pct"/>
            <w:noWrap w:val="0"/>
            <w:vAlign w:val="center"/>
          </w:tcPr>
          <w:p>
            <w:pPr>
              <w:jc w:val="center"/>
              <w:rPr>
                <w:rFonts w:hint="eastAsia" w:ascii="宋体" w:hAnsi="宋体" w:cs="宋体"/>
                <w:color w:val="auto"/>
                <w:sz w:val="28"/>
                <w:szCs w:val="28"/>
              </w:rPr>
            </w:pPr>
            <w:r>
              <w:rPr>
                <w:rFonts w:hint="eastAsia" w:cs="Times New Roman"/>
                <w:bCs/>
                <w:sz w:val="28"/>
                <w:szCs w:val="28"/>
                <w:lang w:val="en-US" w:eastAsia="zh-CN"/>
              </w:rPr>
              <w:t>技术要求及商务要求</w:t>
            </w:r>
            <w:r>
              <w:rPr>
                <w:rFonts w:hint="eastAsia" w:ascii="宋体" w:hAnsi="宋体" w:cs="宋体"/>
                <w:color w:val="auto"/>
                <w:sz w:val="28"/>
                <w:szCs w:val="28"/>
              </w:rPr>
              <w:t>（</w:t>
            </w:r>
            <w:r>
              <w:rPr>
                <w:rFonts w:hint="eastAsia" w:ascii="宋体" w:hAnsi="宋体" w:cs="宋体"/>
                <w:color w:val="auto"/>
                <w:sz w:val="28"/>
                <w:szCs w:val="28"/>
                <w:lang w:val="en-US" w:eastAsia="zh-CN"/>
              </w:rPr>
              <w:t>5</w:t>
            </w:r>
            <w:r>
              <w:rPr>
                <w:rFonts w:hint="eastAsia" w:ascii="宋体" w:hAnsi="宋体" w:cs="宋体"/>
                <w:color w:val="auto"/>
                <w:sz w:val="28"/>
                <w:szCs w:val="28"/>
              </w:rPr>
              <w:t>0分）</w:t>
            </w:r>
          </w:p>
        </w:tc>
        <w:tc>
          <w:tcPr>
            <w:tcW w:w="625" w:type="pct"/>
            <w:noWrap w:val="0"/>
            <w:vAlign w:val="center"/>
          </w:tcPr>
          <w:p>
            <w:pPr>
              <w:jc w:val="center"/>
              <w:rPr>
                <w:rFonts w:hint="default" w:ascii="宋体" w:hAnsi="宋体" w:eastAsia="宋体"/>
                <w:color w:val="auto"/>
                <w:sz w:val="28"/>
                <w:szCs w:val="28"/>
                <w:lang w:val="en-US" w:eastAsia="zh-CN"/>
              </w:rPr>
            </w:pPr>
            <w:r>
              <w:rPr>
                <w:rFonts w:hint="eastAsia" w:cs="Times New Roman"/>
                <w:bCs/>
                <w:sz w:val="28"/>
                <w:szCs w:val="28"/>
                <w:lang w:val="en-US" w:eastAsia="zh-CN"/>
              </w:rPr>
              <w:t>技术要求及商务要求</w:t>
            </w:r>
          </w:p>
        </w:tc>
        <w:tc>
          <w:tcPr>
            <w:tcW w:w="3171" w:type="pct"/>
            <w:noWrap w:val="0"/>
            <w:vAlign w:val="top"/>
          </w:tcPr>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lang w:val="en-US" w:eastAsia="zh-CN"/>
              </w:rPr>
              <w:t>1、技术参数完全符合招标文件要求的，计</w:t>
            </w:r>
            <w:r>
              <w:rPr>
                <w:rFonts w:hint="eastAsia" w:ascii="宋体" w:hAnsi="宋体" w:cs="Times New Roman"/>
                <w:color w:val="auto"/>
                <w:sz w:val="28"/>
                <w:szCs w:val="28"/>
                <w:lang w:val="en-US" w:eastAsia="zh-CN"/>
              </w:rPr>
              <w:t>5</w:t>
            </w:r>
            <w:r>
              <w:rPr>
                <w:rFonts w:hint="eastAsia" w:ascii="宋体" w:hAnsi="宋体" w:eastAsia="宋体" w:cs="Times New Roman"/>
                <w:color w:val="auto"/>
                <w:sz w:val="28"/>
                <w:szCs w:val="28"/>
                <w:lang w:val="en-US" w:eastAsia="zh-CN"/>
              </w:rPr>
              <w:t>0分，任何一条技术参数负偏离扣2分，扣完为止。</w:t>
            </w:r>
          </w:p>
          <w:p>
            <w:pPr>
              <w:rPr>
                <w:rFonts w:hint="eastAsia" w:ascii="宋体" w:hAnsi="宋体" w:eastAsia="宋体" w:cs="Times New Roman"/>
                <w:color w:val="auto"/>
                <w:sz w:val="28"/>
                <w:szCs w:val="28"/>
                <w:lang w:val="en-US" w:eastAsia="zh-CN"/>
              </w:rPr>
            </w:pPr>
            <w:r>
              <w:rPr>
                <w:rFonts w:hint="eastAsia" w:ascii="宋体" w:hAnsi="宋体" w:eastAsia="宋体" w:cs="Times New Roman"/>
                <w:color w:val="auto"/>
                <w:sz w:val="28"/>
                <w:szCs w:val="28"/>
              </w:rPr>
              <w:t>2、</w:t>
            </w:r>
            <w:r>
              <w:rPr>
                <w:rFonts w:hint="eastAsia" w:ascii="宋体" w:hAnsi="宋体" w:eastAsia="宋体" w:cs="Times New Roman"/>
                <w:color w:val="auto"/>
                <w:sz w:val="28"/>
                <w:szCs w:val="28"/>
                <w:lang w:val="en-US" w:eastAsia="zh-CN"/>
              </w:rPr>
              <w:t>带“ ★”“*”号参数为重要条款不允许偏离，否则视同无效投标。</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3、其它技术条款偏离项数之和大于5项将导致无效投标。</w:t>
            </w:r>
          </w:p>
          <w:p>
            <w:pPr>
              <w:pStyle w:val="13"/>
              <w:rPr>
                <w:rFonts w:hint="eastAsia" w:ascii="宋体" w:hAnsi="宋体" w:eastAsia="宋体" w:cs="Times New Roman"/>
                <w:color w:val="auto"/>
                <w:kern w:val="2"/>
                <w:sz w:val="28"/>
                <w:szCs w:val="28"/>
                <w:lang w:val="en-US" w:eastAsia="zh-CN" w:bidi="ar-SA"/>
              </w:rPr>
            </w:pPr>
            <w:r>
              <w:rPr>
                <w:rFonts w:hint="eastAsia" w:ascii="宋体" w:hAnsi="宋体" w:eastAsia="宋体" w:cs="Times New Roman"/>
                <w:color w:val="auto"/>
                <w:sz w:val="28"/>
                <w:szCs w:val="28"/>
                <w:lang w:val="en-US" w:eastAsia="zh-CN"/>
              </w:rPr>
              <w:t>4、</w:t>
            </w:r>
            <w:r>
              <w:rPr>
                <w:rFonts w:hint="eastAsia" w:ascii="宋体" w:hAnsi="宋体" w:eastAsia="宋体" w:cs="Times New Roman"/>
                <w:color w:val="auto"/>
                <w:kern w:val="2"/>
                <w:sz w:val="28"/>
                <w:szCs w:val="28"/>
                <w:lang w:val="en-US" w:eastAsia="zh-CN" w:bidi="ar-SA"/>
              </w:rPr>
              <w:t>打“▲”号条款为重要技术参数（如有），若有部分“▲”条款未响应或不满足，将根据评审要求影响其得分，但不作为无效投标（响应）条款。</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说明：</w:t>
            </w:r>
          </w:p>
          <w:p>
            <w:pPr>
              <w:rPr>
                <w:rFonts w:hint="eastAsia" w:ascii="宋体" w:hAnsi="宋体" w:eastAsia="宋体" w:cs="Times New Roman"/>
                <w:color w:val="auto"/>
                <w:sz w:val="28"/>
                <w:szCs w:val="28"/>
              </w:rPr>
            </w:pPr>
            <w:r>
              <w:rPr>
                <w:rFonts w:hint="eastAsia" w:ascii="宋体" w:hAnsi="宋体" w:eastAsia="宋体" w:cs="Times New Roman"/>
                <w:color w:val="auto"/>
                <w:sz w:val="28"/>
                <w:szCs w:val="28"/>
              </w:rPr>
              <w:t>a、偏离：不满足招标参数要求，配置不详，缺漏项，技术参数表述不清的。</w:t>
            </w:r>
          </w:p>
          <w:p>
            <w:pPr>
              <w:rPr>
                <w:rFonts w:hint="default" w:eastAsia="宋体"/>
                <w:sz w:val="28"/>
                <w:szCs w:val="28"/>
                <w:lang w:val="en-US" w:eastAsia="zh-CN"/>
              </w:rPr>
            </w:pPr>
            <w:r>
              <w:rPr>
                <w:rFonts w:hint="eastAsia" w:ascii="宋体" w:hAnsi="宋体" w:eastAsia="宋体" w:cs="Times New Roman"/>
                <w:color w:val="auto"/>
                <w:sz w:val="28"/>
                <w:szCs w:val="28"/>
              </w:rPr>
              <w:t>b、条款数计算：招标文件中，凡编排有单独的中文序数或阿拉伯数字或英文字母序列号等字符的</w:t>
            </w:r>
            <w:r>
              <w:rPr>
                <w:rFonts w:ascii="宋体" w:hAnsi="宋体"/>
                <w:color w:val="000000" w:themeColor="text1"/>
                <w:sz w:val="28"/>
                <w:szCs w:val="28"/>
                <w14:textFill>
                  <w14:solidFill>
                    <w14:schemeClr w14:val="tx1"/>
                  </w14:solidFill>
                </w14:textFill>
              </w:rPr>
              <w:t>条款算一项技术要求项数</w:t>
            </w:r>
            <w:r>
              <w:rPr>
                <w:rFonts w:hint="eastAsia" w:ascii="宋体" w:hAnsi="宋体"/>
                <w:color w:val="000000" w:themeColor="text1"/>
                <w:sz w:val="28"/>
                <w:szCs w:val="28"/>
                <w14:textFill>
                  <w14:solidFill>
                    <w14:schemeClr w14:val="tx1"/>
                  </w14:solidFill>
                </w14:textFill>
              </w:rPr>
              <w:t>。</w:t>
            </w:r>
          </w:p>
        </w:tc>
        <w:tc>
          <w:tcPr>
            <w:tcW w:w="406" w:type="pct"/>
            <w:noWrap w:val="0"/>
            <w:vAlign w:val="center"/>
          </w:tcPr>
          <w:p>
            <w:pPr>
              <w:jc w:val="center"/>
              <w:rPr>
                <w:rFonts w:hint="default" w:ascii="宋体" w:hAnsi="宋体" w:eastAsia="宋体" w:cs="宋体"/>
                <w:color w:val="auto"/>
                <w:sz w:val="28"/>
                <w:szCs w:val="28"/>
                <w:lang w:val="en-US" w:eastAsia="zh-CN"/>
              </w:rPr>
            </w:pPr>
            <w:r>
              <w:rPr>
                <w:rFonts w:hint="eastAsia" w:ascii="宋体" w:hAnsi="宋体" w:cs="宋体"/>
                <w:color w:val="auto"/>
                <w:sz w:val="28"/>
                <w:szCs w:val="28"/>
              </w:rPr>
              <w:t>0-</w:t>
            </w:r>
            <w:r>
              <w:rPr>
                <w:rFonts w:hint="eastAsia" w:ascii="宋体" w:hAnsi="宋体" w:cs="宋体"/>
                <w:color w:val="auto"/>
                <w:sz w:val="28"/>
                <w:szCs w:val="28"/>
                <w:lang w:val="en-US" w:eastAsia="zh-CN"/>
              </w:rPr>
              <w:t>50</w:t>
            </w:r>
          </w:p>
        </w:tc>
      </w:tr>
    </w:tbl>
    <w:p>
      <w:pPr>
        <w:pStyle w:val="15"/>
        <w:rPr>
          <w:rFonts w:hint="eastAsia" w:ascii="宋体" w:hAnsi="宋体" w:cs="宋体"/>
          <w:color w:val="auto"/>
          <w:szCs w:val="21"/>
        </w:rPr>
      </w:pPr>
    </w:p>
    <w:p>
      <w:pPr>
        <w:spacing w:before="120" w:beforeLines="50" w:after="120" w:afterLines="50" w:line="360" w:lineRule="auto"/>
        <w:rPr>
          <w:rFonts w:hint="eastAsia" w:ascii="宋体" w:hAnsi="宋体" w:cs="宋体"/>
          <w:color w:val="auto"/>
          <w:sz w:val="28"/>
          <w:szCs w:val="28"/>
        </w:rPr>
      </w:pPr>
      <w:r>
        <w:rPr>
          <w:rFonts w:hint="eastAsia" w:ascii="宋体" w:hAnsi="宋体" w:cs="宋体"/>
          <w:color w:val="auto"/>
          <w:sz w:val="28"/>
          <w:szCs w:val="28"/>
        </w:rPr>
        <w:t>注：（1）全体评标委员会对投标人评分的算数平均值即为该投标人的最终评标得分（不得去评分项目的最高得分和最低得分），评分分值计算保留小数点后两位，小数点后第三位“四舍五入”。</w:t>
      </w:r>
    </w:p>
    <w:p>
      <w:pPr>
        <w:numPr>
          <w:ilvl w:val="0"/>
          <w:numId w:val="3"/>
        </w:numPr>
        <w:spacing w:before="120" w:beforeLines="50" w:after="120" w:afterLines="50" w:line="360" w:lineRule="auto"/>
        <w:ind w:leftChars="0" w:firstLine="560" w:firstLineChars="200"/>
        <w:rPr>
          <w:rFonts w:hint="eastAsia" w:ascii="宋体" w:hAnsi="宋体" w:cs="宋体"/>
          <w:color w:val="auto"/>
          <w:sz w:val="28"/>
          <w:szCs w:val="28"/>
        </w:rPr>
      </w:pPr>
      <w:r>
        <w:rPr>
          <w:rFonts w:hint="eastAsia" w:ascii="宋体" w:hAnsi="宋体" w:cs="宋体"/>
          <w:color w:val="auto"/>
          <w:sz w:val="28"/>
          <w:szCs w:val="28"/>
        </w:rPr>
        <w:t>评标结果按评审后得分由高到低顺序排列；综合得分相同的，按投标报价得分由低到高顺序排列；综合得分且投标报价得分相同的，按技术得分由高到低顺序排列。</w:t>
      </w:r>
    </w:p>
    <w:p>
      <w:pPr>
        <w:pStyle w:val="15"/>
        <w:rPr>
          <w:color w:val="auto"/>
        </w:rPr>
      </w:pPr>
    </w:p>
    <w:p>
      <w:pPr>
        <w:rPr>
          <w:color w:val="auto"/>
        </w:rPr>
      </w:pPr>
      <w:r>
        <w:rPr>
          <w:color w:val="auto"/>
        </w:rPr>
        <w:br w:type="page"/>
      </w:r>
    </w:p>
    <w:p>
      <w:pPr>
        <w:pStyle w:val="15"/>
        <w:rPr>
          <w:color w:val="auto"/>
        </w:rPr>
      </w:pPr>
    </w:p>
    <w:p>
      <w:pPr>
        <w:pStyle w:val="15"/>
        <w:widowControl w:val="0"/>
        <w:numPr>
          <w:ilvl w:val="0"/>
          <w:numId w:val="0"/>
        </w:numPr>
        <w:jc w:val="both"/>
        <w:rPr>
          <w:color w:val="auto"/>
          <w:sz w:val="28"/>
          <w:szCs w:val="28"/>
        </w:rPr>
      </w:pPr>
    </w:p>
    <w:p>
      <w:pPr>
        <w:pStyle w:val="15"/>
        <w:widowControl w:val="0"/>
        <w:numPr>
          <w:ilvl w:val="0"/>
          <w:numId w:val="0"/>
        </w:numPr>
        <w:jc w:val="both"/>
        <w:rPr>
          <w:color w:val="auto"/>
          <w:sz w:val="28"/>
          <w:szCs w:val="28"/>
        </w:rPr>
      </w:pPr>
    </w:p>
    <w:p>
      <w:pPr>
        <w:pStyle w:val="2"/>
        <w:numPr>
          <w:ilvl w:val="0"/>
          <w:numId w:val="4"/>
        </w:numPr>
        <w:spacing w:line="240" w:lineRule="auto"/>
        <w:ind w:firstLine="2409" w:firstLineChars="800"/>
        <w:jc w:val="both"/>
        <w:rPr>
          <w:rFonts w:hint="eastAsia" w:ascii="宋体" w:hAnsi="宋体" w:cs="宋体"/>
          <w:color w:val="auto"/>
          <w:sz w:val="30"/>
          <w:szCs w:val="30"/>
        </w:rPr>
      </w:pPr>
      <w:bookmarkStart w:id="2" w:name="_Toc16523574"/>
      <w:r>
        <w:rPr>
          <w:rFonts w:hint="eastAsia" w:ascii="宋体" w:hAnsi="宋体" w:cs="宋体"/>
          <w:color w:val="auto"/>
          <w:sz w:val="30"/>
          <w:szCs w:val="30"/>
          <w:lang w:val="en-US" w:eastAsia="zh-CN"/>
        </w:rPr>
        <w:t xml:space="preserve">   </w:t>
      </w:r>
      <w:r>
        <w:rPr>
          <w:rFonts w:hint="eastAsia" w:ascii="宋体" w:hAnsi="宋体" w:cs="宋体"/>
          <w:color w:val="auto"/>
          <w:sz w:val="30"/>
          <w:szCs w:val="30"/>
        </w:rPr>
        <w:t>投标文件的格式</w:t>
      </w:r>
    </w:p>
    <w:p>
      <w:pPr>
        <w:pStyle w:val="2"/>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2"/>
    <w:p>
      <w:pPr>
        <w:rPr>
          <w:rFonts w:hint="eastAsia"/>
          <w:color w:val="auto"/>
        </w:rPr>
      </w:pPr>
    </w:p>
    <w:p>
      <w:pPr>
        <w:jc w:val="center"/>
        <w:rPr>
          <w:b/>
          <w:color w:val="auto"/>
          <w:sz w:val="24"/>
        </w:rPr>
      </w:pPr>
      <w:r>
        <w:rPr>
          <w:b/>
          <w:color w:val="auto"/>
          <w:sz w:val="28"/>
          <w:szCs w:val="28"/>
        </w:rPr>
        <w:t>第一部分、开标一览表</w:t>
      </w:r>
    </w:p>
    <w:p>
      <w:pPr>
        <w:jc w:val="center"/>
        <w:rPr>
          <w:b/>
          <w:color w:val="auto"/>
          <w:sz w:val="24"/>
        </w:rPr>
      </w:pPr>
    </w:p>
    <w:p>
      <w:pPr>
        <w:pStyle w:val="17"/>
        <w:rPr>
          <w:color w:val="auto"/>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cs="宋体"/>
          <w:b/>
          <w:color w:val="auto"/>
          <w:sz w:val="28"/>
          <w:szCs w:val="28"/>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5"/>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9"/>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rPr>
          <w:rFonts w:hint="eastAsia" w:ascii="宋体" w:hAnsi="宋体" w:cs="宋体"/>
          <w:b/>
          <w:color w:val="auto"/>
          <w:sz w:val="28"/>
          <w:szCs w:val="28"/>
        </w:rPr>
      </w:pPr>
    </w:p>
    <w:p>
      <w:pPr>
        <w:adjustRightInd w:val="0"/>
        <w:snapToGrid w:val="0"/>
        <w:spacing w:line="360" w:lineRule="auto"/>
        <w:jc w:val="center"/>
        <w:rPr>
          <w:rFonts w:hint="eastAsia" w:ascii="宋体" w:hAnsi="宋体" w:cs="宋体"/>
          <w:color w:val="auto"/>
          <w:sz w:val="24"/>
        </w:rPr>
      </w:pPr>
      <w:r>
        <w:rPr>
          <w:rFonts w:hint="eastAsia" w:ascii="宋体" w:hAnsi="宋体" w:cs="宋体"/>
          <w:b/>
          <w:color w:val="auto"/>
          <w:sz w:val="24"/>
          <w:szCs w:val="20"/>
        </w:rPr>
        <w:t>二、投标人资格声明</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致(</w:t>
      </w:r>
      <w:r>
        <w:rPr>
          <w:rFonts w:hint="eastAsia" w:ascii="宋体" w:hAnsi="宋体" w:cs="宋体"/>
          <w:color w:val="auto"/>
          <w:sz w:val="24"/>
          <w:lang w:val="en-US" w:eastAsia="zh-CN"/>
        </w:rPr>
        <w:t xml:space="preserve">           </w:t>
      </w:r>
      <w:r>
        <w:rPr>
          <w:rFonts w:hint="eastAsia" w:ascii="宋体" w:hAnsi="宋体" w:cs="宋体"/>
          <w:color w:val="auto"/>
          <w:sz w:val="24"/>
        </w:rPr>
        <w:t>)：</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按照招标文件的规定，我单位郑重声明如下：</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一、我单位是按照中华人民共和国法律规定登记注册的，注册地点为</w:t>
      </w:r>
      <w:r>
        <w:rPr>
          <w:rFonts w:hint="eastAsia" w:ascii="宋体" w:hAnsi="宋体" w:cs="宋体"/>
          <w:color w:val="auto"/>
          <w:sz w:val="24"/>
          <w:u w:val="single"/>
        </w:rPr>
        <w:t xml:space="preserve">      </w:t>
      </w:r>
      <w:r>
        <w:rPr>
          <w:rFonts w:hint="eastAsia" w:ascii="宋体" w:hAnsi="宋体" w:cs="宋体"/>
          <w:color w:val="auto"/>
          <w:sz w:val="24"/>
        </w:rPr>
        <w:t>，全称为</w:t>
      </w:r>
      <w:r>
        <w:rPr>
          <w:rFonts w:hint="eastAsia" w:ascii="宋体" w:hAnsi="宋体" w:cs="宋体"/>
          <w:color w:val="auto"/>
          <w:sz w:val="24"/>
          <w:u w:val="single"/>
        </w:rPr>
        <w:t xml:space="preserve">      </w:t>
      </w:r>
      <w:r>
        <w:rPr>
          <w:rFonts w:hint="eastAsia" w:ascii="宋体" w:hAnsi="宋体" w:cs="宋体"/>
          <w:color w:val="auto"/>
          <w:sz w:val="24"/>
        </w:rPr>
        <w:t>，统一社会信用代码为</w:t>
      </w:r>
      <w:r>
        <w:rPr>
          <w:rFonts w:hint="eastAsia" w:ascii="宋体" w:hAnsi="宋体" w:cs="宋体"/>
          <w:color w:val="auto"/>
          <w:sz w:val="24"/>
          <w:u w:val="single"/>
        </w:rPr>
        <w:t xml:space="preserve">      </w:t>
      </w:r>
      <w:r>
        <w:rPr>
          <w:rFonts w:hint="eastAsia" w:ascii="宋体" w:hAnsi="宋体" w:cs="宋体"/>
          <w:color w:val="auto"/>
          <w:sz w:val="24"/>
        </w:rPr>
        <w:t>，法定代表人为</w:t>
      </w:r>
      <w:r>
        <w:rPr>
          <w:rFonts w:hint="eastAsia" w:ascii="宋体" w:hAnsi="宋体" w:cs="宋体"/>
          <w:color w:val="auto"/>
          <w:sz w:val="24"/>
          <w:u w:val="single"/>
        </w:rPr>
        <w:t xml:space="preserve">      </w:t>
      </w:r>
      <w:r>
        <w:rPr>
          <w:rFonts w:hint="eastAsia" w:ascii="宋体" w:hAnsi="宋体" w:cs="宋体"/>
          <w:color w:val="auto"/>
          <w:sz w:val="24"/>
        </w:rPr>
        <w:t>，具有独立承担民事责任的能力。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二、我单位具有良好的商业信誉和健全的财务会计制度。</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三、</w:t>
      </w:r>
      <w:r>
        <w:rPr>
          <w:rFonts w:hint="eastAsia" w:ascii="宋体" w:hAnsi="宋体" w:cs="宋体"/>
          <w:color w:val="auto"/>
          <w:sz w:val="24"/>
        </w:rPr>
        <w:t>我单位具有履行本项目采购合同所必需的设备和专业技术能力。</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四、我单位在参加本招标项目前三年内，在经营活动中，未因违法经营受到刑事处罚或者责令停产停业、吊销许可证或者执照、较大数额罚款等行政处罚。其中较大数额罚款是指：对公民处罚款在1000元及以上；对法人或者其他组织处罚款在2万元及以上；法律法规另有规定的，从其规定。</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五、我单位具备法律、行政法规规定的其他条件。</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kern w:val="0"/>
          <w:sz w:val="24"/>
        </w:rPr>
        <w:t>六、</w:t>
      </w:r>
      <w:r>
        <w:rPr>
          <w:rFonts w:hint="eastAsia" w:ascii="宋体" w:hAnsi="宋体" w:cs="宋体"/>
          <w:color w:val="auto"/>
          <w:sz w:val="24"/>
        </w:rPr>
        <w:t>与我单位存在“单位负责人为同一人或者存在直接控股、管理关系”的其他法人单位信息如下（如无，填写“无”）：</w:t>
      </w:r>
    </w:p>
    <w:p>
      <w:pPr>
        <w:adjustRightInd w:val="0"/>
        <w:snapToGrid w:val="0"/>
        <w:spacing w:before="120" w:beforeLines="50" w:line="360" w:lineRule="auto"/>
        <w:ind w:firstLine="480" w:firstLineChars="200"/>
        <w:rPr>
          <w:rFonts w:hint="eastAsia" w:ascii="宋体" w:hAnsi="宋体" w:cs="宋体"/>
          <w:color w:val="auto"/>
          <w:sz w:val="24"/>
          <w:u w:val="single"/>
        </w:rPr>
      </w:pPr>
      <w:r>
        <w:rPr>
          <w:rFonts w:hint="eastAsia" w:ascii="宋体" w:hAnsi="宋体" w:cs="宋体"/>
          <w:color w:val="auto"/>
          <w:sz w:val="24"/>
        </w:rPr>
        <w:t>1、与我单位的法定代表人（单位负责人）为同一人的其他法人单位如下：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2、我单位直接控股的其他法人单位如下：</w:t>
      </w:r>
      <w:r>
        <w:rPr>
          <w:rFonts w:hint="eastAsia" w:ascii="宋体" w:hAnsi="宋体" w:cs="宋体"/>
          <w:color w:val="auto"/>
          <w:sz w:val="24"/>
          <w:u w:val="single"/>
        </w:rPr>
        <w:t xml:space="preserve">                                            </w:t>
      </w:r>
    </w:p>
    <w:p>
      <w:pPr>
        <w:adjustRightInd w:val="0"/>
        <w:snapToGrid w:val="0"/>
        <w:spacing w:before="120" w:beforeLines="50" w:line="360" w:lineRule="auto"/>
        <w:ind w:firstLine="480" w:firstLineChars="200"/>
        <w:rPr>
          <w:rFonts w:hint="eastAsia" w:ascii="宋体" w:hAnsi="宋体" w:cs="宋体"/>
          <w:color w:val="auto"/>
          <w:sz w:val="24"/>
        </w:rPr>
      </w:pPr>
      <w:r>
        <w:rPr>
          <w:rFonts w:hint="eastAsia" w:ascii="宋体" w:hAnsi="宋体" w:cs="宋体"/>
          <w:color w:val="auto"/>
          <w:sz w:val="24"/>
        </w:rPr>
        <w:t>3、与我单位存在管理关系的其他法人单位如下：</w:t>
      </w:r>
      <w:r>
        <w:rPr>
          <w:rFonts w:hint="eastAsia" w:ascii="宋体" w:hAnsi="宋体" w:cs="宋体"/>
          <w:color w:val="auto"/>
          <w:sz w:val="24"/>
          <w:u w:val="single"/>
        </w:rPr>
        <w:t xml:space="preserve">                                      </w:t>
      </w:r>
    </w:p>
    <w:p>
      <w:pPr>
        <w:widowControl/>
        <w:adjustRightInd w:val="0"/>
        <w:snapToGrid w:val="0"/>
        <w:spacing w:before="120" w:beforeLines="50" w:line="360" w:lineRule="auto"/>
        <w:ind w:firstLine="480" w:firstLineChars="200"/>
        <w:jc w:val="left"/>
        <w:rPr>
          <w:rFonts w:hint="eastAsia" w:ascii="宋体" w:hAnsi="宋体" w:cs="宋体"/>
          <w:color w:val="auto"/>
          <w:kern w:val="0"/>
          <w:sz w:val="24"/>
        </w:rPr>
      </w:pPr>
      <w:r>
        <w:rPr>
          <w:rFonts w:hint="eastAsia" w:ascii="宋体" w:hAnsi="宋体" w:cs="宋体"/>
          <w:color w:val="auto"/>
          <w:sz w:val="24"/>
        </w:rPr>
        <w:t>我单位保证上述声明的事项都是真实的，如有虚假，我单位愿意承担相应的法律责任，并承担因此所造成的一切损失。</w:t>
      </w:r>
    </w:p>
    <w:p>
      <w:pPr>
        <w:widowControl/>
        <w:adjustRightInd w:val="0"/>
        <w:snapToGrid w:val="0"/>
        <w:spacing w:before="120" w:beforeLines="50" w:line="360" w:lineRule="auto"/>
        <w:ind w:firstLine="480" w:firstLineChars="200"/>
        <w:jc w:val="left"/>
        <w:rPr>
          <w:rFonts w:hint="eastAsia" w:ascii="宋体" w:hAnsi="宋体" w:cs="宋体"/>
          <w:color w:val="auto"/>
          <w:sz w:val="24"/>
        </w:rPr>
      </w:pPr>
      <w:r>
        <w:rPr>
          <w:rFonts w:hint="eastAsia" w:ascii="宋体" w:hAnsi="宋体" w:cs="宋体"/>
          <w:color w:val="auto"/>
          <w:sz w:val="24"/>
        </w:rPr>
        <w:t>我单位保证随时按照要求提供能够证明上述声明事项真实性的任何有效文件。</w:t>
      </w:r>
    </w:p>
    <w:p>
      <w:pPr>
        <w:widowControl/>
        <w:adjustRightInd w:val="0"/>
        <w:snapToGrid w:val="0"/>
        <w:spacing w:before="120" w:beforeLines="50" w:line="360" w:lineRule="auto"/>
        <w:jc w:val="left"/>
        <w:rPr>
          <w:rFonts w:hint="eastAsia" w:ascii="宋体" w:hAnsi="宋体" w:cs="宋体"/>
          <w:color w:val="auto"/>
          <w:kern w:val="0"/>
          <w:sz w:val="24"/>
        </w:rPr>
      </w:pPr>
      <w:r>
        <w:rPr>
          <w:rFonts w:hint="eastAsia" w:ascii="宋体" w:hAnsi="宋体" w:cs="宋体"/>
          <w:color w:val="auto"/>
          <w:sz w:val="24"/>
        </w:rPr>
        <w:t>投标人名称（盖单位公章）：</w:t>
      </w:r>
    </w:p>
    <w:p>
      <w:pPr>
        <w:widowControl/>
        <w:adjustRightInd w:val="0"/>
        <w:snapToGrid w:val="0"/>
        <w:spacing w:before="120" w:beforeLines="50" w:line="360" w:lineRule="auto"/>
        <w:jc w:val="left"/>
        <w:rPr>
          <w:rFonts w:hint="eastAsia" w:ascii="宋体" w:hAnsi="宋体" w:cs="宋体"/>
          <w:b/>
          <w:bCs/>
          <w:color w:val="auto"/>
          <w:kern w:val="0"/>
          <w:sz w:val="24"/>
        </w:rPr>
      </w:pPr>
      <w:r>
        <w:rPr>
          <w:rFonts w:hint="eastAsia" w:ascii="宋体" w:hAnsi="宋体" w:cs="宋体"/>
          <w:color w:val="auto"/>
          <w:sz w:val="24"/>
        </w:rPr>
        <w:t>法定代表人或委托代理人（签字）：</w:t>
      </w:r>
    </w:p>
    <w:p>
      <w:pPr>
        <w:widowControl/>
        <w:adjustRightInd w:val="0"/>
        <w:snapToGrid w:val="0"/>
        <w:spacing w:before="120" w:beforeLines="50" w:line="360" w:lineRule="auto"/>
        <w:jc w:val="left"/>
        <w:rPr>
          <w:rFonts w:hint="eastAsia" w:ascii="宋体" w:hAnsi="宋体" w:cs="宋体"/>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rPr>
          <w:rFonts w:hint="eastAsia" w:ascii="宋体" w:hAnsi="宋体" w:cs="宋体"/>
          <w:b/>
          <w:color w:val="auto"/>
          <w:sz w:val="24"/>
          <w:szCs w:val="20"/>
        </w:rPr>
      </w:pPr>
    </w:p>
    <w:p>
      <w:pPr>
        <w:adjustRightInd w:val="0"/>
        <w:snapToGrid w:val="0"/>
        <w:spacing w:line="360" w:lineRule="auto"/>
        <w:jc w:val="center"/>
        <w:rPr>
          <w:rFonts w:ascii="宋体" w:hAnsi="宋体" w:cs="宋体"/>
          <w:b/>
          <w:color w:val="auto"/>
          <w:sz w:val="28"/>
          <w:szCs w:val="28"/>
        </w:rPr>
      </w:pPr>
      <w:r>
        <w:rPr>
          <w:rFonts w:hint="eastAsia" w:ascii="宋体" w:hAnsi="宋体" w:cs="宋体"/>
          <w:b/>
          <w:color w:val="auto"/>
          <w:sz w:val="28"/>
          <w:szCs w:val="28"/>
        </w:rPr>
        <w:t>三、符合基本资格条件证明材料复印件或者情况说明</w:t>
      </w:r>
    </w:p>
    <w:p>
      <w:pPr>
        <w:adjustRightInd w:val="0"/>
        <w:snapToGrid w:val="0"/>
        <w:spacing w:line="360" w:lineRule="auto"/>
        <w:jc w:val="center"/>
        <w:rPr>
          <w:rFonts w:hint="eastAsia" w:ascii="宋体" w:hAnsi="宋体" w:cs="宋体"/>
          <w:b/>
          <w:color w:val="auto"/>
          <w:sz w:val="24"/>
          <w:szCs w:val="20"/>
        </w:rPr>
      </w:pPr>
    </w:p>
    <w:p>
      <w:pPr>
        <w:pStyle w:val="3"/>
        <w:keepLines w:val="0"/>
        <w:snapToGrid w:val="0"/>
        <w:spacing w:before="0" w:after="0" w:line="520" w:lineRule="exact"/>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cs="宋体"/>
          <w:b w:val="0"/>
          <w:color w:val="auto"/>
          <w:sz w:val="24"/>
          <w:szCs w:val="24"/>
        </w:rPr>
        <w:t>注：</w:t>
      </w:r>
      <w:r>
        <w:rPr>
          <w:rFonts w:hint="eastAsia" w:ascii="宋体" w:hAnsi="宋体" w:cs="宋体"/>
          <w:b w:val="0"/>
          <w:color w:val="auto"/>
          <w:sz w:val="24"/>
          <w:szCs w:val="24"/>
          <w:lang w:bidi="zh-CN"/>
        </w:rPr>
        <w:t>投标公司的营业执照</w:t>
      </w:r>
      <w:r>
        <w:rPr>
          <w:rFonts w:hint="eastAsia" w:ascii="宋体" w:hAnsi="宋体" w:cs="宋体"/>
          <w:b w:val="0"/>
          <w:color w:val="auto"/>
          <w:sz w:val="24"/>
          <w:szCs w:val="24"/>
          <w:lang w:val="en-US" w:bidi="zh-CN"/>
        </w:rPr>
        <w:t>及资格要求的证明材料，</w:t>
      </w:r>
      <w:r>
        <w:rPr>
          <w:rFonts w:hint="eastAsia" w:ascii="宋体" w:hAnsi="宋体" w:cs="宋体"/>
          <w:b w:val="0"/>
          <w:color w:val="auto"/>
          <w:sz w:val="24"/>
          <w:szCs w:val="24"/>
          <w:lang w:bidi="zh-CN"/>
        </w:rPr>
        <w:t>并加盖单位公章（按顺序装订）。</w:t>
      </w:r>
      <w:r>
        <w:rPr>
          <w:rFonts w:hint="eastAsia" w:ascii="宋体" w:hAnsi="宋体" w:eastAsia="宋体" w:cs="Times New Roman"/>
          <w:b w:val="0"/>
          <w:bCs w:val="0"/>
          <w:color w:val="auto"/>
          <w:kern w:val="2"/>
          <w:sz w:val="24"/>
          <w:szCs w:val="24"/>
          <w:lang w:val="en-US" w:eastAsia="zh-CN" w:bidi="ar-SA"/>
        </w:rPr>
        <w:t>附件    湖南省政府采购供应商资格承诺函</w:t>
      </w:r>
    </w:p>
    <w:p>
      <w:pPr>
        <w:widowControl/>
        <w:spacing w:after="100" w:afterAutospacing="1" w:line="360" w:lineRule="auto"/>
        <w:ind w:left="227" w:right="113" w:firstLine="482"/>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具有独立承担民事责任、具有良好的商业信誉和健全的财务会计制度，依法缴纳税收和社会保障资金，在前三年的经营活动中无重大违法记录，未列入严重失信行为名单，符合政府采购供应商的基本资格要求。</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按照《政府采购促进中小企业发展管理办法》(财库〔2020〕46号)规定，</w:t>
      </w:r>
    </w:p>
    <w:p>
      <w:pPr>
        <w:widowControl/>
        <w:snapToGrid w:val="0"/>
        <w:spacing w:before="100" w:beforeAutospacing="1" w:after="100" w:afterAutospacing="1" w:line="360" w:lineRule="auto"/>
        <w:ind w:left="210" w:leftChars="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本公司企业规模为：          （大型、中型、小型、微型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统一社会信用代码：                        、注册登记机构：                 、 注册日期：                 、有效期：               、注册资本：                、地址：               、经济行业：                 、经济性质：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法定代表人姓名 (签字)：             、身份证号：                           、</w:t>
      </w:r>
    </w:p>
    <w:p>
      <w:pPr>
        <w:widowControl/>
        <w:spacing w:after="100" w:afterAutospacing="1" w:line="360" w:lineRule="auto"/>
        <w:ind w:left="24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手机号：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授权代表人姓名 (签字)：                、身份证号：                     </w:t>
      </w:r>
    </w:p>
    <w:p>
      <w:pPr>
        <w:widowControl/>
        <w:spacing w:after="100" w:afterAutospacing="1" w:line="360" w:lineRule="auto"/>
        <w:ind w:left="246" w:hanging="16"/>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手机号：               。  </w:t>
      </w:r>
    </w:p>
    <w:p>
      <w:pPr>
        <w:adjustRightInd w:val="0"/>
        <w:snapToGrid w:val="0"/>
        <w:spacing w:line="360" w:lineRule="auto"/>
        <w:rPr>
          <w:rFonts w:hint="eastAsia" w:ascii="宋体" w:hAnsi="宋体" w:eastAsia="宋体" w:cs="Times New Roman"/>
          <w:b w:val="0"/>
          <w:bCs w:val="0"/>
          <w:color w:val="auto"/>
          <w:kern w:val="2"/>
          <w:sz w:val="24"/>
          <w:szCs w:val="24"/>
          <w:lang w:val="en-US" w:eastAsia="zh-CN" w:bidi="ar-SA"/>
        </w:rPr>
      </w:pPr>
    </w:p>
    <w:p>
      <w:pPr>
        <w:adjustRightInd w:val="0"/>
        <w:snapToGrid w:val="0"/>
        <w:spacing w:line="360" w:lineRule="auto"/>
        <w:ind w:left="4406" w:leftChars="-302" w:hanging="5040" w:hangingChars="2100"/>
        <w:jc w:val="left"/>
        <w:rPr>
          <w:rFonts w:hint="eastAsia" w:ascii="宋体" w:hAnsi="宋体" w:eastAsia="宋体" w:cs="Times New Roman"/>
          <w:b w:val="0"/>
          <w:bCs w:val="0"/>
          <w:color w:val="auto"/>
          <w:kern w:val="2"/>
          <w:sz w:val="24"/>
          <w:szCs w:val="24"/>
          <w:lang w:val="en-US" w:eastAsia="zh-CN" w:bidi="ar-SA"/>
        </w:rPr>
      </w:pPr>
      <w:r>
        <w:rPr>
          <w:rFonts w:hint="eastAsia" w:ascii="宋体" w:hAnsi="宋体" w:eastAsia="宋体" w:cs="Times New Roman"/>
          <w:b w:val="0"/>
          <w:bCs w:val="0"/>
          <w:color w:val="auto"/>
          <w:kern w:val="2"/>
          <w:sz w:val="24"/>
          <w:szCs w:val="24"/>
          <w:lang w:val="en-US" w:eastAsia="zh-CN" w:bidi="ar-SA"/>
        </w:rPr>
        <w:t xml:space="preserve">                           供应商名称（盖公章）：                                    </w:t>
      </w:r>
    </w:p>
    <w:p>
      <w:pPr>
        <w:adjustRightInd w:val="0"/>
        <w:snapToGrid w:val="0"/>
        <w:spacing w:line="360" w:lineRule="auto"/>
        <w:ind w:left="4406" w:leftChars="-302" w:hanging="5040" w:hangingChars="2100"/>
        <w:jc w:val="right"/>
        <w:rPr>
          <w:rFonts w:hint="eastAsia" w:ascii="宋体" w:hAnsi="宋体" w:eastAsia="宋体" w:cs="Times New Roman"/>
          <w:b w:val="0"/>
          <w:bCs w:val="0"/>
          <w:color w:val="auto"/>
          <w:kern w:val="2"/>
          <w:sz w:val="24"/>
          <w:szCs w:val="24"/>
          <w:lang w:val="en-US" w:eastAsia="zh-CN" w:bidi="ar-SA"/>
        </w:rPr>
      </w:pPr>
      <w:r>
        <w:rPr>
          <w:rFonts w:hint="eastAsia" w:ascii="宋体" w:hAnsi="宋体" w:cs="Times New Roman"/>
          <w:b w:val="0"/>
          <w:bCs w:val="0"/>
          <w:color w:val="auto"/>
          <w:kern w:val="2"/>
          <w:sz w:val="24"/>
          <w:szCs w:val="24"/>
          <w:lang w:val="en-US" w:eastAsia="zh-CN" w:bidi="ar-SA"/>
        </w:rPr>
        <w:t>2023</w:t>
      </w:r>
      <w:r>
        <w:rPr>
          <w:rFonts w:hint="eastAsia" w:ascii="宋体" w:hAnsi="宋体" w:eastAsia="宋体" w:cs="Times New Roman"/>
          <w:b w:val="0"/>
          <w:bCs w:val="0"/>
          <w:color w:val="auto"/>
          <w:kern w:val="2"/>
          <w:sz w:val="24"/>
          <w:szCs w:val="24"/>
          <w:lang w:val="en-US" w:eastAsia="zh-CN" w:bidi="ar-SA"/>
        </w:rPr>
        <w:t>年     月     日</w:t>
      </w: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Times New Roman"/>
          <w:b w:val="0"/>
          <w:bCs w:val="0"/>
          <w:color w:val="auto"/>
          <w:kern w:val="2"/>
          <w:sz w:val="24"/>
          <w:szCs w:val="24"/>
          <w:lang w:val="en-US" w:eastAsia="zh-CN" w:bidi="ar-SA"/>
        </w:rPr>
      </w:pPr>
    </w:p>
    <w:p>
      <w:pPr>
        <w:jc w:val="left"/>
        <w:rPr>
          <w:rFonts w:hint="eastAsia" w:ascii="宋体" w:hAnsi="宋体" w:eastAsia="宋体" w:cs="宋体"/>
          <w:b/>
          <w:color w:val="auto"/>
          <w:sz w:val="24"/>
          <w:lang w:val="en-US" w:eastAsia="zh-CN"/>
        </w:rPr>
      </w:pPr>
      <w:r>
        <w:rPr>
          <w:rFonts w:hint="eastAsia" w:ascii="宋体" w:hAnsi="宋体" w:eastAsia="宋体" w:cs="Times New Roman"/>
          <w:b w:val="0"/>
          <w:bCs w:val="0"/>
          <w:color w:val="auto"/>
          <w:kern w:val="2"/>
          <w:sz w:val="24"/>
          <w:szCs w:val="24"/>
          <w:lang w:val="en-US" w:eastAsia="zh-CN" w:bidi="ar-SA"/>
        </w:rPr>
        <w:t>注、企业规模划分标准：《关于印发中小企业划型标准规定的通知》（工信部联企业〔2011〕300号）</w:t>
      </w:r>
    </w:p>
    <w:p>
      <w:pPr>
        <w:jc w:val="center"/>
        <w:rPr>
          <w:rFonts w:hint="eastAsia" w:ascii="宋体" w:hAnsi="宋体" w:cs="宋体"/>
          <w:b/>
          <w:color w:val="auto"/>
          <w:sz w:val="24"/>
        </w:rPr>
        <w:sectPr>
          <w:headerReference r:id="rId3" w:type="default"/>
          <w:footerReference r:id="rId4" w:type="default"/>
          <w:pgSz w:w="11906" w:h="16838"/>
          <w:pgMar w:top="1191" w:right="1587" w:bottom="1020" w:left="1587" w:header="567" w:footer="283" w:gutter="0"/>
          <w:cols w:space="720" w:num="1"/>
          <w:docGrid w:linePitch="312" w:charSpace="0"/>
        </w:sectPr>
      </w:pP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3" w:name="_Toc486424819"/>
      <w:bookmarkStart w:id="4" w:name="_Toc476514128"/>
    </w:p>
    <w:p>
      <w:pPr>
        <w:pStyle w:val="15"/>
        <w:rPr>
          <w:rFonts w:hint="eastAsia"/>
          <w:lang w:eastAsia="zh-CN"/>
        </w:rPr>
      </w:pPr>
    </w:p>
    <w:p>
      <w:pPr>
        <w:spacing w:before="120" w:beforeLines="50" w:after="120" w:afterLines="50" w:line="276" w:lineRule="auto"/>
        <w:jc w:val="center"/>
        <w:rPr>
          <w:b/>
          <w:color w:val="auto"/>
          <w:sz w:val="24"/>
        </w:rPr>
      </w:pPr>
      <w:r>
        <w:rPr>
          <w:b/>
          <w:color w:val="auto"/>
          <w:sz w:val="24"/>
        </w:rPr>
        <w:t>采购需求响应/偏离表</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9"/>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bookmarkEnd w:id="3"/>
    <w:bookmarkEnd w:id="4"/>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（2）如不提供此表，则视为投标人不满足招标文件第三章的所有条款要求，其投标无效；</w:t>
      </w:r>
    </w:p>
    <w:p>
      <w:pPr>
        <w:adjustRightInd w:val="0"/>
        <w:snapToGrid w:val="0"/>
        <w:spacing w:before="50" w:line="360" w:lineRule="auto"/>
        <w:ind w:left="-88" w:leftChars="-42"/>
        <w:rPr>
          <w:color w:val="auto"/>
          <w:sz w:val="24"/>
        </w:rPr>
      </w:pPr>
      <w:r>
        <w:rPr>
          <w:color w:val="auto"/>
          <w:sz w:val="24"/>
        </w:rPr>
        <w:t>（3）在招标人与中标人签订合同时，如中标人未在投标文件“采购需求偏离表”中列出偏离说明，无论已发生或即将发生任何情形，均视为完全符合招标文件要求，并写入合同。若中标人在合同签订前，以上述事项为借口而不履行合同签订手续及执行合同，则视作拒绝与招标人签订合同。</w:t>
      </w:r>
    </w:p>
    <w:p>
      <w:pPr>
        <w:rPr>
          <w:color w:val="auto"/>
          <w:sz w:val="24"/>
        </w:rPr>
      </w:pPr>
      <w:r>
        <w:rPr>
          <w:color w:val="auto"/>
          <w:sz w:val="24"/>
        </w:rPr>
        <w:br w:type="page"/>
      </w:r>
    </w:p>
    <w:p>
      <w:pPr>
        <w:pStyle w:val="13"/>
      </w:pPr>
    </w:p>
    <w:p>
      <w:pPr>
        <w:spacing w:before="120" w:beforeLines="50" w:after="120" w:afterLines="50" w:line="276" w:lineRule="auto"/>
        <w:rPr>
          <w:rFonts w:hint="eastAsia" w:eastAsia="宋体"/>
          <w:b/>
          <w:bCs/>
          <w:color w:val="auto"/>
          <w:sz w:val="28"/>
          <w:szCs w:val="28"/>
          <w:lang w:eastAsia="zh-CN"/>
        </w:rPr>
      </w:pPr>
    </w:p>
    <w:p>
      <w:pPr>
        <w:pStyle w:val="15"/>
        <w:rPr>
          <w:rFonts w:hint="eastAsia"/>
          <w:lang w:eastAsia="zh-CN"/>
        </w:rPr>
      </w:pPr>
    </w:p>
    <w:p>
      <w:pPr>
        <w:spacing w:before="120" w:beforeLines="50" w:after="120" w:afterLines="50" w:line="276" w:lineRule="auto"/>
        <w:jc w:val="center"/>
        <w:rPr>
          <w:rFonts w:hint="eastAsia" w:ascii="宋体" w:hAnsi="宋体" w:cs="宋体"/>
          <w:color w:val="auto"/>
          <w:sz w:val="24"/>
        </w:rPr>
      </w:pPr>
    </w:p>
    <w:p>
      <w:pPr>
        <w:adjustRightInd w:val="0"/>
        <w:snapToGrid w:val="0"/>
        <w:spacing w:before="120" w:beforeLines="50" w:line="360" w:lineRule="auto"/>
        <w:rPr>
          <w:rFonts w:ascii="宋体" w:hAnsi="宋体" w:cs="宋体"/>
          <w:b/>
          <w:color w:val="auto"/>
          <w:sz w:val="24"/>
        </w:rPr>
      </w:pPr>
    </w:p>
    <w:p>
      <w:pPr>
        <w:pStyle w:val="17"/>
        <w:rPr>
          <w:color w:val="auto"/>
        </w:rPr>
      </w:pPr>
    </w:p>
    <w:p>
      <w:pPr>
        <w:pStyle w:val="17"/>
        <w:rPr>
          <w:color w:val="auto"/>
        </w:rPr>
      </w:pPr>
    </w:p>
    <w:p>
      <w:pPr>
        <w:pStyle w:val="17"/>
        <w:rPr>
          <w:color w:val="auto"/>
        </w:rPr>
      </w:pPr>
    </w:p>
    <w:p>
      <w:pPr>
        <w:pStyle w:val="17"/>
        <w:rPr>
          <w:color w:val="auto"/>
        </w:rPr>
      </w:pPr>
    </w:p>
    <w:p>
      <w:pPr>
        <w:pStyle w:val="18"/>
        <w:tabs>
          <w:tab w:val="left" w:pos="2312"/>
          <w:tab w:val="left" w:pos="2313"/>
        </w:tabs>
        <w:autoSpaceDE w:val="0"/>
        <w:autoSpaceDN w:val="0"/>
        <w:spacing w:before="43"/>
        <w:ind w:left="2312" w:firstLine="562"/>
        <w:rPr>
          <w:rFonts w:ascii="宋体" w:hAnsi="宋体" w:cs="宋体"/>
          <w:b/>
          <w:color w:val="auto"/>
          <w:sz w:val="28"/>
          <w:szCs w:val="28"/>
        </w:rPr>
      </w:pPr>
      <w:r>
        <w:rPr>
          <w:rFonts w:hint="eastAsia" w:ascii="Times New Roman" w:hAnsi="Times New Roman"/>
          <w:b/>
          <w:bCs/>
          <w:color w:val="auto"/>
          <w:sz w:val="28"/>
          <w:szCs w:val="28"/>
        </w:rPr>
        <w:t>第四部分、</w:t>
      </w:r>
      <w:r>
        <w:rPr>
          <w:rFonts w:hint="eastAsia" w:ascii="宋体" w:hAnsi="宋体" w:cs="宋体"/>
          <w:b/>
          <w:color w:val="auto"/>
          <w:sz w:val="28"/>
          <w:szCs w:val="28"/>
        </w:rPr>
        <w:t>同类项目业绩</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7"/>
        <w:rPr>
          <w:color w:val="auto"/>
        </w:rPr>
      </w:pPr>
    </w:p>
    <w:p>
      <w:pPr>
        <w:pStyle w:val="17"/>
        <w:rPr>
          <w:rFonts w:hint="eastAsia"/>
          <w:color w:val="auto"/>
        </w:rPr>
      </w:pPr>
    </w:p>
    <w:p>
      <w:pPr>
        <w:pStyle w:val="17"/>
        <w:rPr>
          <w:color w:val="auto"/>
        </w:rPr>
      </w:pPr>
    </w:p>
    <w:p>
      <w:pPr>
        <w:pStyle w:val="17"/>
        <w:rPr>
          <w:color w:val="auto"/>
        </w:rPr>
      </w:pPr>
    </w:p>
    <w:p>
      <w:pPr>
        <w:pStyle w:val="17"/>
        <w:rPr>
          <w:color w:val="auto"/>
        </w:rPr>
      </w:pPr>
    </w:p>
    <w:p>
      <w:pPr>
        <w:pStyle w:val="17"/>
        <w:rPr>
          <w:color w:val="auto"/>
        </w:rPr>
      </w:pPr>
    </w:p>
    <w:p>
      <w:pPr>
        <w:pStyle w:val="17"/>
        <w:rPr>
          <w:color w:val="auto"/>
        </w:rPr>
      </w:pPr>
    </w:p>
    <w:p>
      <w:pPr>
        <w:pStyle w:val="17"/>
        <w:rPr>
          <w:rFonts w:hint="eastAsia"/>
          <w:color w:val="auto"/>
        </w:rPr>
      </w:pPr>
    </w:p>
    <w:p>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8"/>
        <w:tabs>
          <w:tab w:val="left" w:pos="2312"/>
          <w:tab w:val="left" w:pos="2313"/>
        </w:tabs>
        <w:autoSpaceDE w:val="0"/>
        <w:autoSpaceDN w:val="0"/>
        <w:spacing w:before="43"/>
        <w:ind w:left="2312" w:firstLine="0" w:firstLineChars="0"/>
        <w:rPr>
          <w:rFonts w:ascii="宋体" w:hAnsi="宋体" w:cs="宋体"/>
          <w:b/>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r>
        <w:rPr>
          <w:rFonts w:hint="eastAsia" w:ascii="Times New Roman" w:hAnsi="Times New Roman"/>
          <w:b/>
          <w:bCs/>
          <w:color w:val="auto"/>
          <w:sz w:val="28"/>
          <w:szCs w:val="28"/>
        </w:rPr>
        <w:t>第五部分、</w:t>
      </w:r>
      <w:r>
        <w:rPr>
          <w:rFonts w:hint="eastAsia" w:ascii="Times New Roman" w:hAnsi="Times New Roman"/>
          <w:b/>
          <w:bCs/>
          <w:color w:val="auto"/>
          <w:sz w:val="28"/>
          <w:szCs w:val="28"/>
          <w:lang w:val="en-US" w:eastAsia="zh-CN"/>
        </w:rPr>
        <w:t>技术及</w:t>
      </w:r>
      <w:r>
        <w:rPr>
          <w:rFonts w:hint="eastAsia" w:ascii="宋体" w:hAnsi="宋体" w:cs="宋体"/>
          <w:b/>
          <w:color w:val="auto"/>
          <w:sz w:val="28"/>
          <w:szCs w:val="28"/>
        </w:rPr>
        <w:t>服务方案</w:t>
      </w:r>
    </w:p>
    <w:p>
      <w:pPr>
        <w:adjustRightInd w:val="0"/>
        <w:snapToGrid w:val="0"/>
        <w:spacing w:before="120" w:beforeLines="50" w:line="360" w:lineRule="auto"/>
        <w:jc w:val="center"/>
        <w:rPr>
          <w:rFonts w:hint="eastAsia" w:ascii="宋体" w:hAnsi="宋体" w:eastAsia="宋体" w:cs="宋体"/>
          <w:color w:val="auto"/>
          <w:sz w:val="24"/>
          <w:lang w:eastAsia="zh-CN"/>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pStyle w:val="15"/>
        <w:rPr>
          <w:rFonts w:hint="eastAsia"/>
          <w:lang w:eastAsia="zh-CN"/>
        </w:rPr>
      </w:pPr>
    </w:p>
    <w:p>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8"/>
        <w:tabs>
          <w:tab w:val="left" w:pos="2312"/>
          <w:tab w:val="left" w:pos="2313"/>
        </w:tabs>
        <w:autoSpaceDE w:val="0"/>
        <w:autoSpaceDN w:val="0"/>
        <w:spacing w:before="43"/>
        <w:ind w:left="2312" w:firstLine="0" w:firstLineChars="0"/>
        <w:rPr>
          <w:rFonts w:hint="eastAsia" w:ascii="宋体" w:hAnsi="宋体" w:eastAsia="宋体" w:cs="宋体"/>
          <w:color w:val="auto"/>
          <w:sz w:val="24"/>
          <w:lang w:eastAsia="zh-CN"/>
        </w:rPr>
      </w:pPr>
    </w:p>
    <w:p>
      <w:pPr>
        <w:pStyle w:val="18"/>
        <w:tabs>
          <w:tab w:val="left" w:pos="2312"/>
          <w:tab w:val="left" w:pos="2313"/>
        </w:tabs>
        <w:autoSpaceDE w:val="0"/>
        <w:autoSpaceDN w:val="0"/>
        <w:spacing w:before="43"/>
        <w:ind w:left="2312" w:firstLine="0" w:firstLineChars="0"/>
        <w:rPr>
          <w:rFonts w:ascii="Times New Roman" w:hAnsi="Times New Roman"/>
          <w:b/>
          <w:bCs/>
          <w:color w:val="auto"/>
          <w:sz w:val="28"/>
          <w:szCs w:val="28"/>
        </w:rPr>
      </w:pPr>
      <w:r>
        <w:rPr>
          <w:rFonts w:hint="eastAsia" w:ascii="Times New Roman" w:hAnsi="Times New Roman"/>
          <w:b/>
          <w:bCs/>
          <w:color w:val="auto"/>
          <w:sz w:val="28"/>
          <w:szCs w:val="28"/>
        </w:rPr>
        <w:t xml:space="preserve"> </w:t>
      </w:r>
      <w:r>
        <w:rPr>
          <w:rFonts w:ascii="Times New Roman" w:hAnsi="Times New Roman"/>
          <w:b/>
          <w:bCs/>
          <w:color w:val="auto"/>
          <w:sz w:val="28"/>
          <w:szCs w:val="28"/>
        </w:rPr>
        <w:t xml:space="preserve">  </w:t>
      </w:r>
    </w:p>
    <w:p>
      <w:pPr>
        <w:numPr>
          <w:ilvl w:val="0"/>
          <w:numId w:val="5"/>
        </w:numPr>
        <w:jc w:val="center"/>
        <w:rPr>
          <w:rFonts w:hint="eastAsia" w:ascii="Times New Roman" w:hAnsi="Times New Roman" w:eastAsia="宋体" w:cs="Times New Roman"/>
          <w:b/>
          <w:bCs/>
          <w:color w:val="auto"/>
          <w:kern w:val="2"/>
          <w:sz w:val="28"/>
          <w:szCs w:val="28"/>
          <w:lang w:val="en-US" w:eastAsia="zh-CN" w:bidi="ar-SA"/>
        </w:rPr>
      </w:pPr>
      <w:r>
        <w:rPr>
          <w:rFonts w:hint="eastAsia" w:ascii="Times New Roman" w:hAnsi="Times New Roman" w:eastAsia="宋体" w:cs="Times New Roman"/>
          <w:b/>
          <w:bCs/>
          <w:color w:val="auto"/>
          <w:kern w:val="2"/>
          <w:sz w:val="28"/>
          <w:szCs w:val="28"/>
          <w:lang w:val="en-US" w:eastAsia="zh-CN" w:bidi="ar-SA"/>
        </w:rPr>
        <w:t>质保及维护方案</w:t>
      </w:r>
    </w:p>
    <w:p>
      <w:pPr>
        <w:adjustRightInd w:val="0"/>
        <w:snapToGrid w:val="0"/>
        <w:spacing w:before="120" w:beforeLines="50" w:line="360" w:lineRule="auto"/>
        <w:jc w:val="center"/>
        <w:rPr>
          <w:rFonts w:ascii="宋体" w:hAnsi="宋体" w:cs="宋体"/>
          <w:color w:val="auto"/>
          <w:sz w:val="24"/>
        </w:rPr>
      </w:pPr>
      <w:r>
        <w:rPr>
          <w:rFonts w:hint="eastAsia" w:ascii="宋体" w:hAnsi="宋体" w:cs="宋体"/>
          <w:color w:val="auto"/>
          <w:sz w:val="24"/>
        </w:rPr>
        <w:t>备</w:t>
      </w:r>
      <w:r>
        <w:rPr>
          <w:rFonts w:ascii="宋体" w:hAnsi="宋体" w:cs="宋体"/>
          <w:color w:val="auto"/>
          <w:sz w:val="24"/>
        </w:rPr>
        <w:t>注：根据第</w:t>
      </w:r>
      <w:r>
        <w:rPr>
          <w:rFonts w:hint="eastAsia" w:ascii="宋体" w:hAnsi="宋体" w:cs="宋体"/>
          <w:color w:val="auto"/>
          <w:sz w:val="24"/>
          <w:lang w:val="en-US" w:eastAsia="zh-CN"/>
        </w:rPr>
        <w:t>三</w:t>
      </w:r>
      <w:r>
        <w:rPr>
          <w:rFonts w:ascii="宋体" w:hAnsi="宋体" w:cs="宋体"/>
          <w:color w:val="auto"/>
          <w:sz w:val="24"/>
        </w:rPr>
        <w:t>章《评标方法及标准》—综合评分表—记分因素</w:t>
      </w:r>
      <w:r>
        <w:rPr>
          <w:rFonts w:hint="eastAsia" w:ascii="宋体" w:hAnsi="宋体" w:cs="宋体"/>
          <w:color w:val="auto"/>
          <w:sz w:val="24"/>
        </w:rPr>
        <w:t>要求</w:t>
      </w:r>
      <w:r>
        <w:rPr>
          <w:rFonts w:ascii="宋体" w:hAnsi="宋体" w:cs="宋体"/>
          <w:color w:val="auto"/>
          <w:sz w:val="24"/>
        </w:rPr>
        <w:t>，提供材料</w:t>
      </w:r>
    </w:p>
    <w:p>
      <w:pPr>
        <w:rPr>
          <w:rFonts w:ascii="宋体" w:hAnsi="宋体" w:cs="宋体"/>
          <w:color w:val="auto"/>
          <w:sz w:val="24"/>
        </w:rPr>
      </w:pPr>
      <w:r>
        <w:rPr>
          <w:rFonts w:ascii="宋体" w:hAnsi="宋体" w:cs="宋体"/>
          <w:color w:val="auto"/>
          <w:sz w:val="24"/>
        </w:rPr>
        <w:br w:type="page"/>
      </w:r>
    </w:p>
    <w:p>
      <w:pPr>
        <w:keepNext w:val="0"/>
        <w:keepLines w:val="0"/>
        <w:pageBreakBefore w:val="0"/>
        <w:widowControl w:val="0"/>
        <w:kinsoku/>
        <w:wordWrap/>
        <w:overflowPunct/>
        <w:topLinePunct w:val="0"/>
        <w:autoSpaceDE/>
        <w:autoSpaceDN/>
        <w:bidi w:val="0"/>
        <w:adjustRightInd/>
        <w:snapToGrid/>
        <w:spacing w:line="480" w:lineRule="exact"/>
        <w:jc w:val="center"/>
        <w:textAlignment w:val="auto"/>
        <w:rPr>
          <w:rFonts w:hint="eastAsia" w:ascii="黑体" w:hAnsi="黑体" w:eastAsia="黑体" w:cs="黑体"/>
          <w:color w:val="auto"/>
          <w:sz w:val="44"/>
          <w:szCs w:val="44"/>
          <w:lang w:val="en-US" w:eastAsia="zh-CN"/>
        </w:rPr>
      </w:pPr>
      <w:r>
        <w:rPr>
          <w:rFonts w:hint="eastAsia" w:ascii="黑体" w:hAnsi="黑体" w:eastAsia="黑体" w:cs="黑体"/>
          <w:color w:val="auto"/>
          <w:sz w:val="44"/>
          <w:szCs w:val="44"/>
          <w:lang w:val="en-US" w:eastAsia="zh-CN"/>
        </w:rPr>
        <w:t>医疗设备采购合同</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b/>
          <w:bCs/>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甲方（采购方）：</w:t>
      </w:r>
      <w:r>
        <w:rPr>
          <w:rFonts w:hint="eastAsia" w:ascii="宋体" w:hAnsi="宋体" w:eastAsia="宋体" w:cs="宋体"/>
          <w:color w:val="auto"/>
          <w:sz w:val="24"/>
          <w:szCs w:val="24"/>
          <w:lang w:val="en-US" w:eastAsia="zh-CN"/>
        </w:rPr>
        <w:t>娄底市中心医院</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统一社会信用代码：12431300447162073W</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乙方（供货方）：</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统一社会信用代码：</w:t>
      </w:r>
    </w:p>
    <w:p>
      <w:pPr>
        <w:keepNext w:val="0"/>
        <w:keepLines w:val="0"/>
        <w:pageBreakBefore w:val="0"/>
        <w:widowControl w:val="0"/>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甲方通过</w:t>
      </w:r>
      <w:r>
        <w:rPr>
          <w:rFonts w:hint="eastAsia" w:ascii="宋体" w:hAnsi="宋体" w:eastAsia="宋体" w:cs="宋体"/>
          <w:color w:val="auto"/>
          <w:sz w:val="24"/>
          <w:szCs w:val="24"/>
          <w:u w:val="single"/>
          <w:lang w:val="en-US" w:eastAsia="zh-CN"/>
        </w:rPr>
        <w:t xml:space="preserve"> </w:t>
      </w:r>
      <w:r>
        <w:rPr>
          <w:rFonts w:hint="eastAsia" w:ascii="宋体" w:hAnsi="宋体" w:cs="宋体"/>
          <w:color w:val="auto"/>
          <w:sz w:val="24"/>
          <w:szCs w:val="24"/>
          <w:u w:val="single"/>
          <w:lang w:val="en-US" w:eastAsia="zh-CN"/>
        </w:rPr>
        <w:t>公开挂网</w:t>
      </w:r>
      <w:r>
        <w:rPr>
          <w:rFonts w:hint="eastAsia" w:ascii="宋体" w:hAnsi="宋体" w:eastAsia="宋体" w:cs="宋体"/>
          <w:color w:val="auto"/>
          <w:sz w:val="24"/>
          <w:szCs w:val="24"/>
          <w:u w:val="single"/>
          <w:lang w:val="en-US" w:eastAsia="zh-CN"/>
        </w:rPr>
        <w:t>（采购方式）</w:t>
      </w:r>
      <w:r>
        <w:rPr>
          <w:rFonts w:hint="eastAsia" w:ascii="宋体" w:hAnsi="宋体" w:eastAsia="宋体" w:cs="宋体"/>
          <w:color w:val="auto"/>
          <w:sz w:val="24"/>
          <w:szCs w:val="24"/>
          <w:lang w:val="en-US" w:eastAsia="zh-CN"/>
        </w:rPr>
        <w:t>采购</w:t>
      </w:r>
      <w:r>
        <w:rPr>
          <w:rFonts w:hint="eastAsia" w:ascii="宋体" w:hAnsi="宋体" w:eastAsia="宋体" w:cs="宋体"/>
          <w:color w:val="auto"/>
          <w:sz w:val="24"/>
          <w:szCs w:val="24"/>
          <w:u w:val="single"/>
          <w:lang w:val="en-US" w:eastAsia="zh-CN"/>
        </w:rPr>
        <w:t xml:space="preserve">  气相色谱仪（带顶空自动进样器）           （设备名称）</w:t>
      </w:r>
      <w:r>
        <w:rPr>
          <w:rFonts w:hint="eastAsia" w:ascii="宋体" w:hAnsi="宋体" w:eastAsia="宋体" w:cs="宋体"/>
          <w:color w:val="auto"/>
          <w:sz w:val="24"/>
          <w:szCs w:val="24"/>
          <w:lang w:val="en-US" w:eastAsia="zh-CN"/>
        </w:rPr>
        <w:t>，乙方为成交供应商。根据《中华人民共和国民法典》《中华人民共和国政府采购法》等相关法律规定，甲乙双方在采购项目确定的基础上，就采购</w:t>
      </w:r>
      <w:r>
        <w:rPr>
          <w:rFonts w:hint="eastAsia" w:ascii="宋体" w:hAnsi="宋体" w:eastAsia="宋体" w:cs="宋体"/>
          <w:color w:val="auto"/>
          <w:sz w:val="24"/>
          <w:szCs w:val="24"/>
          <w:u w:val="single"/>
          <w:lang w:val="en-US" w:eastAsia="zh-CN"/>
        </w:rPr>
        <w:t xml:space="preserve">气相色谱仪 </w:t>
      </w:r>
      <w:r>
        <w:rPr>
          <w:rFonts w:hint="eastAsia" w:ascii="宋体" w:hAnsi="宋体" w:eastAsia="宋体" w:cs="宋体"/>
          <w:color w:val="auto"/>
          <w:sz w:val="24"/>
          <w:szCs w:val="24"/>
          <w:lang w:val="en-US" w:eastAsia="zh-CN"/>
        </w:rPr>
        <w:t>事宜平等、自愿、公平、诚信协商，达成一致，特订立本合同，以资共同遵守。</w:t>
      </w:r>
      <w:bookmarkStart w:id="5" w:name="_GoBack"/>
      <w:bookmarkEnd w:id="5"/>
    </w:p>
    <w:p>
      <w:pPr>
        <w:keepNext w:val="0"/>
        <w:keepLines w:val="0"/>
        <w:pageBreakBefore w:val="0"/>
        <w:widowControl w:val="0"/>
        <w:numPr>
          <w:ilvl w:val="0"/>
          <w:numId w:val="6"/>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采购内容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1.1   设备名称、品牌、型号、价格</w:t>
      </w:r>
    </w:p>
    <w:tbl>
      <w:tblPr>
        <w:tblStyle w:val="9"/>
        <w:tblpPr w:leftFromText="180" w:rightFromText="180" w:vertAnchor="text" w:horzAnchor="page" w:tblpX="1965" w:tblpY="148"/>
        <w:tblOverlap w:val="never"/>
        <w:tblW w:w="84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17"/>
        <w:gridCol w:w="1220"/>
        <w:gridCol w:w="1760"/>
        <w:gridCol w:w="1320"/>
        <w:gridCol w:w="940"/>
        <w:gridCol w:w="1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设备</w:t>
            </w:r>
            <w:r>
              <w:rPr>
                <w:rFonts w:hint="eastAsia" w:ascii="宋体" w:hAnsi="宋体" w:eastAsia="宋体" w:cs="宋体"/>
                <w:color w:val="000000" w:themeColor="text1"/>
                <w:kern w:val="0"/>
                <w:sz w:val="24"/>
                <w:szCs w:val="24"/>
                <w14:textFill>
                  <w14:solidFill>
                    <w14:schemeClr w14:val="tx1"/>
                  </w14:solidFill>
                </w14:textFill>
              </w:rPr>
              <w:t>名称</w:t>
            </w:r>
          </w:p>
        </w:tc>
        <w:tc>
          <w:tcPr>
            <w:tcW w:w="12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品牌</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lang w:eastAsia="zh-CN"/>
                <w14:textFill>
                  <w14:solidFill>
                    <w14:schemeClr w14:val="tx1"/>
                  </w14:solidFill>
                </w14:textFill>
              </w:rPr>
            </w:pPr>
            <w:r>
              <w:rPr>
                <w:rFonts w:hint="eastAsia" w:ascii="宋体" w:hAnsi="宋体" w:eastAsia="宋体" w:cs="宋体"/>
                <w:color w:val="000000" w:themeColor="text1"/>
                <w:kern w:val="0"/>
                <w:sz w:val="24"/>
                <w:szCs w:val="24"/>
                <w:lang w:eastAsia="zh-CN"/>
                <w14:textFill>
                  <w14:solidFill>
                    <w14:schemeClr w14:val="tx1"/>
                  </w14:solidFill>
                </w14:textFill>
              </w:rPr>
              <w:t>型号</w:t>
            </w: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单价（元）</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数量</w:t>
            </w: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eastAsia" w:ascii="宋体" w:hAnsi="宋体" w:eastAsia="宋体" w:cs="宋体"/>
                <w:color w:val="000000" w:themeColor="text1"/>
                <w:kern w:val="0"/>
                <w:sz w:val="24"/>
                <w:szCs w:val="24"/>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金额（元）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1517"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default" w:ascii="宋体" w:hAnsi="宋体" w:eastAsia="宋体" w:cs="宋体"/>
                <w:color w:val="000000" w:themeColor="text1"/>
                <w:kern w:val="0"/>
                <w:sz w:val="24"/>
                <w:szCs w:val="24"/>
                <w:lang w:val="en-US" w:eastAsia="zh-CN"/>
                <w14:textFill>
                  <w14:solidFill>
                    <w14:schemeClr w14:val="tx1"/>
                  </w14:solidFill>
                </w14:textFill>
              </w:rPr>
              <w:t xml:space="preserve"> </w:t>
            </w:r>
            <w:r>
              <w:rPr>
                <w:rFonts w:hint="default" w:ascii="宋体" w:hAnsi="宋体" w:eastAsia="宋体" w:cs="宋体"/>
                <w:color w:val="000000" w:themeColor="text1"/>
                <w:kern w:val="0"/>
                <w:sz w:val="22"/>
                <w:szCs w:val="22"/>
                <w:lang w:val="en-US" w:eastAsia="zh-CN"/>
                <w14:textFill>
                  <w14:solidFill>
                    <w14:schemeClr w14:val="tx1"/>
                  </w14:solidFill>
                </w14:textFill>
              </w:rPr>
              <w:t>气相色谱仪（带顶空自动进样器）</w:t>
            </w:r>
          </w:p>
        </w:tc>
        <w:tc>
          <w:tcPr>
            <w:tcW w:w="1220" w:type="dxa"/>
            <w:noWrap w:val="0"/>
            <w:vAlign w:val="center"/>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176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32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 </w:t>
            </w:r>
          </w:p>
        </w:tc>
        <w:tc>
          <w:tcPr>
            <w:tcW w:w="940"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c>
          <w:tcPr>
            <w:tcW w:w="1654" w:type="dxa"/>
            <w:noWrap w:val="0"/>
            <w:vAlign w:val="top"/>
          </w:tcPr>
          <w:p>
            <w:pPr>
              <w:keepNext w:val="0"/>
              <w:keepLines w:val="0"/>
              <w:pageBreakBefore w:val="0"/>
              <w:widowControl/>
              <w:kinsoku/>
              <w:wordWrap/>
              <w:overflowPunct/>
              <w:topLinePunct w:val="0"/>
              <w:autoSpaceDE/>
              <w:autoSpaceDN/>
              <w:bidi w:val="0"/>
              <w:adjustRightInd/>
              <w:snapToGrid/>
              <w:spacing w:line="480" w:lineRule="exact"/>
              <w:jc w:val="center"/>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8411" w:type="dxa"/>
            <w:gridSpan w:val="6"/>
            <w:noWrap w:val="0"/>
            <w:vAlign w:val="top"/>
          </w:tcPr>
          <w:p>
            <w:pPr>
              <w:keepNext w:val="0"/>
              <w:keepLines w:val="0"/>
              <w:pageBreakBefore w:val="0"/>
              <w:widowControl/>
              <w:kinsoku/>
              <w:wordWrap/>
              <w:overflowPunct/>
              <w:topLinePunct w:val="0"/>
              <w:autoSpaceDE/>
              <w:autoSpaceDN/>
              <w:bidi w:val="0"/>
              <w:adjustRightInd/>
              <w:snapToGrid/>
              <w:spacing w:line="480" w:lineRule="exact"/>
              <w:jc w:val="left"/>
              <w:textAlignment w:val="auto"/>
              <w:rPr>
                <w:rFonts w:hint="default" w:ascii="宋体" w:hAnsi="宋体" w:eastAsia="宋体" w:cs="宋体"/>
                <w:color w:val="000000" w:themeColor="text1"/>
                <w:kern w:val="0"/>
                <w:sz w:val="24"/>
                <w:szCs w:val="24"/>
                <w:lang w:val="en-US" w:eastAsia="zh-CN"/>
                <w14:textFill>
                  <w14:solidFill>
                    <w14:schemeClr w14:val="tx1"/>
                  </w14:solidFill>
                </w14:textFill>
              </w:rPr>
            </w:pPr>
            <w:r>
              <w:rPr>
                <w:rFonts w:hint="eastAsia" w:ascii="宋体" w:hAnsi="宋体" w:eastAsia="宋体" w:cs="宋体"/>
                <w:color w:val="000000" w:themeColor="text1"/>
                <w:kern w:val="0"/>
                <w:sz w:val="24"/>
                <w:szCs w:val="24"/>
                <w14:textFill>
                  <w14:solidFill>
                    <w14:schemeClr w14:val="tx1"/>
                  </w14:solidFill>
                </w14:textFill>
              </w:rPr>
              <w:t>合计</w:t>
            </w:r>
            <w:r>
              <w:rPr>
                <w:rFonts w:hint="eastAsia" w:ascii="宋体" w:hAnsi="宋体" w:eastAsia="宋体" w:cs="宋体"/>
                <w:color w:val="000000" w:themeColor="text1"/>
                <w:kern w:val="0"/>
                <w:sz w:val="24"/>
                <w:szCs w:val="24"/>
                <w:lang w:eastAsia="zh-CN"/>
                <w14:textFill>
                  <w14:solidFill>
                    <w14:schemeClr w14:val="tx1"/>
                  </w14:solidFill>
                </w14:textFill>
              </w:rPr>
              <w:t>价款</w:t>
            </w:r>
            <w:r>
              <w:rPr>
                <w:rFonts w:hint="eastAsia" w:ascii="宋体" w:hAnsi="宋体" w:eastAsia="宋体" w:cs="宋体"/>
                <w:color w:val="000000" w:themeColor="text1"/>
                <w:kern w:val="0"/>
                <w:sz w:val="24"/>
                <w:szCs w:val="24"/>
                <w14:textFill>
                  <w14:solidFill>
                    <w14:schemeClr w14:val="tx1"/>
                  </w14:solidFill>
                </w14:textFill>
              </w:rPr>
              <w:t>金额（大写）：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eastAsia="zh-CN"/>
                <w14:textFill>
                  <w14:solidFill>
                    <w14:schemeClr w14:val="tx1"/>
                  </w14:solidFill>
                </w14:textFill>
              </w:rPr>
              <w:t>元</w:t>
            </w:r>
            <w:r>
              <w:rPr>
                <w:rFonts w:hint="eastAsia" w:ascii="宋体" w:hAnsi="宋体" w:eastAsia="宋体" w:cs="宋体"/>
                <w:color w:val="000000" w:themeColor="text1"/>
                <w:kern w:val="0"/>
                <w:sz w:val="24"/>
                <w:szCs w:val="24"/>
                <w:lang w:val="en-US" w:eastAsia="zh-CN"/>
                <w14:textFill>
                  <w14:solidFill>
                    <w14:schemeClr w14:val="tx1"/>
                  </w14:solidFill>
                </w14:textFill>
              </w:rPr>
              <w:t xml:space="preserve">整      </w:t>
            </w:r>
            <w:r>
              <w:rPr>
                <w:rFonts w:hint="eastAsia" w:ascii="宋体" w:hAnsi="宋体" w:eastAsia="宋体" w:cs="宋体"/>
                <w:color w:val="000000" w:themeColor="text1"/>
                <w:kern w:val="0"/>
                <w:sz w:val="24"/>
                <w:szCs w:val="24"/>
                <w14:textFill>
                  <w14:solidFill>
                    <w14:schemeClr w14:val="tx1"/>
                  </w14:solidFill>
                </w14:textFill>
              </w:rPr>
              <w:t>人民币（小写）：</w:t>
            </w:r>
            <w:r>
              <w:rPr>
                <w:rFonts w:hint="eastAsia" w:ascii="宋体" w:hAnsi="宋体" w:eastAsia="宋体" w:cs="宋体"/>
                <w:color w:val="000000" w:themeColor="text1"/>
                <w:kern w:val="0"/>
                <w:sz w:val="24"/>
                <w:szCs w:val="24"/>
                <w:u w:val="single"/>
                <w:lang w:val="en-US" w:eastAsia="zh-CN"/>
                <w14:textFill>
                  <w14:solidFill>
                    <w14:schemeClr w14:val="tx1"/>
                  </w14:solidFill>
                </w14:textFill>
              </w:rPr>
              <w:t xml:space="preserve">        </w:t>
            </w:r>
            <w:r>
              <w:rPr>
                <w:rFonts w:hint="eastAsia" w:ascii="宋体" w:hAnsi="宋体" w:eastAsia="宋体" w:cs="宋体"/>
                <w:color w:val="000000" w:themeColor="text1"/>
                <w:kern w:val="0"/>
                <w:sz w:val="24"/>
                <w:szCs w:val="24"/>
                <w:lang w:val="en-US" w:eastAsia="zh-CN"/>
                <w14:textFill>
                  <w14:solidFill>
                    <w14:schemeClr w14:val="tx1"/>
                  </w14:solidFill>
                </w14:textFill>
              </w:rPr>
              <w:t>元</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1.2   本合同约定价格为固定价格，不因物价、市场波动变更。</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1.3   本合同约定价格包括且不限于设计费、材料费、人工费、安装费、包装费、运输费、装卸费、调试费、检测、检验费、税费、保险费、售后服务费等在内所有费用。 </w:t>
      </w:r>
    </w:p>
    <w:p>
      <w:pPr>
        <w:keepNext w:val="0"/>
        <w:keepLines w:val="0"/>
        <w:pageBreakBefore w:val="0"/>
        <w:widowControl w:val="0"/>
        <w:numPr>
          <w:ilvl w:val="0"/>
          <w:numId w:val="6"/>
        </w:numPr>
        <w:kinsoku/>
        <w:wordWrap/>
        <w:overflowPunct/>
        <w:topLinePunct w:val="0"/>
        <w:autoSpaceDE/>
        <w:autoSpaceDN/>
        <w:bidi w:val="0"/>
        <w:adjustRightInd/>
        <w:snapToGrid/>
        <w:spacing w:line="480" w:lineRule="exact"/>
        <w:ind w:left="0" w:leftChars="0" w:firstLine="482" w:firstLineChars="200"/>
        <w:jc w:val="both"/>
        <w:textAlignment w:val="auto"/>
        <w:rPr>
          <w:rFonts w:hint="default" w:ascii="宋体" w:hAnsi="宋体" w:eastAsia="宋体" w:cs="宋体"/>
          <w:b/>
          <w:bCs/>
          <w:color w:val="auto"/>
          <w:sz w:val="24"/>
          <w:szCs w:val="24"/>
          <w:lang w:val="en-US" w:eastAsia="zh-CN"/>
        </w:rPr>
      </w:pPr>
      <w:r>
        <w:rPr>
          <w:rFonts w:hint="default" w:ascii="宋体" w:hAnsi="宋体" w:eastAsia="宋体" w:cs="宋体"/>
          <w:b/>
          <w:bCs/>
          <w:color w:val="auto"/>
          <w:sz w:val="24"/>
          <w:szCs w:val="24"/>
          <w:lang w:val="en-US" w:eastAsia="zh-CN"/>
        </w:rPr>
        <w:t>交货时间、地点、运输及装卸</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2.1  </w:t>
      </w:r>
      <w:r>
        <w:rPr>
          <w:rFonts w:hint="default" w:ascii="宋体" w:hAnsi="宋体" w:eastAsia="宋体" w:cs="宋体"/>
          <w:color w:val="auto"/>
          <w:sz w:val="24"/>
          <w:szCs w:val="24"/>
          <w:lang w:val="en-US" w:eastAsia="zh-CN"/>
        </w:rPr>
        <w:t>交货时间：乙方应在</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日之前将设备运至</w:t>
      </w:r>
      <w:r>
        <w:rPr>
          <w:rFonts w:hint="eastAsia" w:ascii="宋体" w:hAnsi="宋体" w:eastAsia="宋体" w:cs="宋体"/>
          <w:color w:val="auto"/>
          <w:sz w:val="24"/>
          <w:szCs w:val="24"/>
          <w:lang w:val="en-US" w:eastAsia="zh-CN"/>
        </w:rPr>
        <w:t>甲方指定交货</w:t>
      </w:r>
      <w:r>
        <w:rPr>
          <w:rFonts w:hint="default" w:ascii="宋体" w:hAnsi="宋体" w:eastAsia="宋体" w:cs="宋体"/>
          <w:color w:val="auto"/>
          <w:sz w:val="24"/>
          <w:szCs w:val="24"/>
          <w:lang w:val="en-US" w:eastAsia="zh-CN"/>
        </w:rPr>
        <w:t>地点，并</w:t>
      </w:r>
      <w:r>
        <w:rPr>
          <w:rFonts w:hint="default"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default" w:ascii="宋体" w:hAnsi="宋体" w:eastAsia="宋体" w:cs="宋体"/>
          <w:color w:val="auto"/>
          <w:sz w:val="24"/>
          <w:szCs w:val="24"/>
          <w:lang w:val="en-US" w:eastAsia="zh-CN"/>
        </w:rPr>
        <w:t>日之前完成安装、调试，办理验收手续并交付甲方使用。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2</w:t>
      </w:r>
      <w:r>
        <w:rPr>
          <w:rFonts w:hint="eastAsia" w:ascii="宋体" w:hAnsi="宋体" w:eastAsia="宋体" w:cs="宋体"/>
          <w:color w:val="auto"/>
          <w:sz w:val="24"/>
          <w:szCs w:val="24"/>
          <w:lang w:val="en-US" w:eastAsia="zh-CN"/>
        </w:rPr>
        <w:t>.2  甲方指定</w:t>
      </w:r>
      <w:r>
        <w:rPr>
          <w:rFonts w:hint="default" w:ascii="宋体" w:hAnsi="宋体" w:eastAsia="宋体" w:cs="宋体"/>
          <w:color w:val="auto"/>
          <w:sz w:val="24"/>
          <w:szCs w:val="24"/>
          <w:lang w:val="en-US" w:eastAsia="zh-CN"/>
        </w:rPr>
        <w:t>交货地点：娄底市中心医院</w:t>
      </w:r>
      <w:r>
        <w:rPr>
          <w:rFonts w:hint="eastAsia" w:ascii="宋体" w:hAnsi="宋体" w:eastAsia="宋体" w:cs="宋体"/>
          <w:color w:val="auto"/>
          <w:sz w:val="24"/>
          <w:szCs w:val="24"/>
          <w:lang w:val="en-US" w:eastAsia="zh-CN"/>
        </w:rPr>
        <w:t>设备科</w:t>
      </w:r>
      <w:r>
        <w:rPr>
          <w:rFonts w:hint="default" w:ascii="宋体" w:hAnsi="宋体" w:eastAsia="宋体" w:cs="宋体"/>
          <w:color w:val="auto"/>
          <w:sz w:val="24"/>
          <w:szCs w:val="24"/>
          <w:lang w:val="en-US" w:eastAsia="zh-CN"/>
        </w:rPr>
        <w:t>（湖南省娄底市</w:t>
      </w:r>
      <w:r>
        <w:rPr>
          <w:rFonts w:hint="eastAsia" w:ascii="宋体" w:hAnsi="宋体" w:eastAsia="宋体" w:cs="宋体"/>
          <w:color w:val="auto"/>
          <w:sz w:val="24"/>
          <w:szCs w:val="24"/>
          <w:lang w:val="en-US" w:eastAsia="zh-CN"/>
        </w:rPr>
        <w:t>娄星区</w:t>
      </w:r>
      <w:r>
        <w:rPr>
          <w:rFonts w:hint="default" w:ascii="宋体" w:hAnsi="宋体" w:eastAsia="宋体" w:cs="宋体"/>
          <w:color w:val="auto"/>
          <w:sz w:val="24"/>
          <w:szCs w:val="24"/>
          <w:lang w:val="en-US" w:eastAsia="zh-CN"/>
        </w:rPr>
        <w:t xml:space="preserve">长青中街51号）。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w:t>
      </w:r>
      <w:r>
        <w:rPr>
          <w:rFonts w:hint="default" w:ascii="宋体" w:hAnsi="宋体" w:eastAsia="宋体" w:cs="宋体"/>
          <w:color w:val="auto"/>
          <w:sz w:val="24"/>
          <w:szCs w:val="24"/>
          <w:lang w:val="en-US" w:eastAsia="zh-CN"/>
        </w:rPr>
        <w:t>3</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运输及装卸：由乙方自备交通运输工具将设备运至合同约定地点，并负责设备装卸</w:t>
      </w:r>
      <w:r>
        <w:rPr>
          <w:rFonts w:hint="eastAsia" w:ascii="宋体" w:hAnsi="宋体" w:eastAsia="宋体" w:cs="宋体"/>
          <w:color w:val="auto"/>
          <w:sz w:val="24"/>
          <w:szCs w:val="24"/>
          <w:lang w:val="en-US" w:eastAsia="zh-CN"/>
        </w:rPr>
        <w:t>的人工及费用</w:t>
      </w:r>
      <w:r>
        <w:rPr>
          <w:rFonts w:hint="default"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000000" w:themeColor="text1"/>
          <w:sz w:val="24"/>
          <w:szCs w:val="24"/>
          <w:lang w:val="en-US" w:eastAsia="zh-CN"/>
          <w14:textFill>
            <w14:solidFill>
              <w14:schemeClr w14:val="tx1"/>
            </w14:solidFill>
          </w14:textFill>
        </w:rPr>
        <w:t>第三条 质量标准、质量验收、包装要求</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0000FF"/>
          <w:sz w:val="24"/>
          <w:szCs w:val="24"/>
          <w:lang w:val="en-US" w:eastAsia="zh-CN"/>
        </w:rPr>
      </w:pPr>
      <w:r>
        <w:rPr>
          <w:rFonts w:hint="eastAsia" w:ascii="宋体" w:hAnsi="宋体" w:eastAsia="宋体" w:cs="宋体"/>
          <w:color w:val="auto"/>
          <w:sz w:val="24"/>
          <w:szCs w:val="24"/>
          <w:lang w:val="en-US" w:eastAsia="zh-CN"/>
        </w:rPr>
        <w:t>3.1  质量标准：乙方提供设备的质量、安装应符合或优于国家标准；</w:t>
      </w:r>
      <w:r>
        <w:rPr>
          <w:rFonts w:hint="eastAsia" w:ascii="宋体" w:hAnsi="宋体" w:eastAsia="宋体" w:cs="宋体"/>
          <w:color w:val="0000FF"/>
          <w:sz w:val="24"/>
          <w:szCs w:val="24"/>
          <w:lang w:val="en-US" w:eastAsia="zh-CN"/>
        </w:rPr>
        <w:t>如响应文件中的技术参数和质量标准高于国家标准，则设备的技术参数和质量标准以响应文件为准。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3.2  质量验收：以本合同约定标准按以下方式进行验收：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到货验收：乙方将设备运至指定交货地点后，应通知甲方，并向甲方提供厂家标准资料文件（进口设备需提供真实有效的海关报关单，其他设备需提供产品合格证）。甲方自接到乙方通知之日起7日内组织人员对设备按合同约定及厂家出厂装箱单进行到货验收，经甲方验收合格后签署验收报告单，乙方方可进行现场拆包、安装、调试、培训。如经甲方验收不合格，乙方应在</w:t>
      </w:r>
      <w:r>
        <w:rPr>
          <w:rFonts w:hint="eastAsia" w:ascii="宋体" w:hAnsi="宋体" w:eastAsia="宋体" w:cs="宋体"/>
          <w:color w:val="auto"/>
          <w:sz w:val="24"/>
          <w:szCs w:val="24"/>
          <w:highlight w:val="none"/>
          <w:u w:val="single"/>
          <w:lang w:val="en-US" w:eastAsia="zh-CN"/>
        </w:rPr>
        <w:t>7</w:t>
      </w:r>
      <w:r>
        <w:rPr>
          <w:rFonts w:hint="eastAsia" w:ascii="宋体" w:hAnsi="宋体" w:eastAsia="宋体" w:cs="宋体"/>
          <w:color w:val="auto"/>
          <w:sz w:val="24"/>
          <w:szCs w:val="24"/>
          <w:highlight w:val="none"/>
          <w:lang w:val="en-US" w:eastAsia="zh-CN"/>
        </w:rPr>
        <w:t>日内无条件予以更换。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拆包、安装、调试、培训验收：乙方将设备全部拆包、安装、调试、培训后应及时通知甲方，甲方自接到乙方通知之日起7日内自行组织或委托第三方进行总体验收，验收合格后签署总体验收报告单。如经甲方或第三方验收不合格，乙方应在</w:t>
      </w:r>
      <w:r>
        <w:rPr>
          <w:rFonts w:hint="eastAsia" w:ascii="宋体" w:hAnsi="宋体" w:eastAsia="宋体" w:cs="宋体"/>
          <w:color w:val="auto"/>
          <w:sz w:val="24"/>
          <w:szCs w:val="24"/>
          <w:highlight w:val="none"/>
          <w:u w:val="single"/>
          <w:lang w:val="en-US" w:eastAsia="zh-CN"/>
        </w:rPr>
        <w:t xml:space="preserve">7 </w:t>
      </w:r>
      <w:r>
        <w:rPr>
          <w:rFonts w:hint="eastAsia" w:ascii="宋体" w:hAnsi="宋体" w:eastAsia="宋体" w:cs="宋体"/>
          <w:color w:val="auto"/>
          <w:sz w:val="24"/>
          <w:szCs w:val="24"/>
          <w:highlight w:val="none"/>
          <w:lang w:val="en-US" w:eastAsia="zh-CN"/>
        </w:rPr>
        <w:t>日内无条件予以返工并承担所有费用。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甲方验收时如发现乙方所交付、安装的设备不符合本合同约定，甲方应做出详尽的现场记录，由甲乙双方签署备忘录，该现场记录和备忘录作为乙方补交缺少部件、更换不符标准部件的有效依据，由此产生的一切经济损失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3.3  包装要求：乙方提供的设备必须为原厂包装，外包装到货时应保证完好无损，否则甲方有权拒绝收货，由此造成的延期交货违约责任和一切经济损失全部由乙方承担。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第四条 安装、培训、通知等事项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4.1  甲方负责协调、处理与安装、调试有关事宜，为乙方创造良好的安装、调试环境。</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4.2  甲方委派</w:t>
      </w:r>
      <w:r>
        <w:rPr>
          <w:rFonts w:hint="eastAsia" w:ascii="宋体" w:hAnsi="宋体" w:eastAsia="宋体" w:cs="宋体"/>
          <w:color w:val="auto"/>
          <w:sz w:val="24"/>
          <w:szCs w:val="24"/>
          <w:u w:val="single"/>
          <w:lang w:val="en-US" w:eastAsia="zh-CN"/>
        </w:rPr>
        <w:t xml:space="preserve">  杨娟  </w:t>
      </w:r>
      <w:r>
        <w:rPr>
          <w:rFonts w:hint="eastAsia" w:ascii="宋体" w:hAnsi="宋体" w:eastAsia="宋体" w:cs="宋体"/>
          <w:color w:val="auto"/>
          <w:sz w:val="24"/>
          <w:szCs w:val="24"/>
          <w:lang w:val="en-US" w:eastAsia="zh-CN"/>
        </w:rPr>
        <w:t>作为代表，跟踪、检查安装、调试现场。</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4.3  乙方负责对甲方的操作人员进行免费培训。</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4.4  乙方在安装、调试过程中应加强操作人员的安全教育，杜绝安全事故的发生。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4.5  本合同任何一方给另一方的通知，除合同另有约定外，都应以书面（包括手机短信、传真、特快专递、电子邮件、媒体公告等）形式发送，另一方应以书面形式确认。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4.6  双方确认的文书（包括法院的法律文书）送达地址：</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（1）甲方的文书送达地址：娄底市中心医院（湖南省娄底市娄星区长青中街51号）；联系人：朱振宇，联系电话：15673845559。</w:t>
      </w:r>
    </w:p>
    <w:p>
      <w:pPr>
        <w:keepNext w:val="0"/>
        <w:keepLines w:val="0"/>
        <w:pageBreakBefore w:val="0"/>
        <w:widowControl w:val="0"/>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none"/>
          <w:lang w:val="en-US" w:eastAsia="zh-CN"/>
        </w:rPr>
      </w:pPr>
      <w:r>
        <w:rPr>
          <w:rFonts w:hint="eastAsia" w:ascii="宋体" w:hAnsi="宋体" w:eastAsia="宋体" w:cs="宋体"/>
          <w:color w:val="auto"/>
          <w:sz w:val="24"/>
          <w:szCs w:val="24"/>
          <w:lang w:val="en-US" w:eastAsia="zh-CN"/>
        </w:rPr>
        <w:t>（2）乙方的文书送达地址</w:t>
      </w:r>
      <w:r>
        <w:rPr>
          <w:rFonts w:hint="eastAsia" w:ascii="宋体" w:hAnsi="宋体" w:eastAsia="宋体" w:cs="宋体"/>
          <w:color w:val="auto"/>
          <w:sz w:val="24"/>
          <w:szCs w:val="24"/>
          <w:u w:val="none"/>
          <w:lang w:val="en-US" w:eastAsia="zh-CN"/>
        </w:rPr>
        <w:t>：</w:t>
      </w:r>
      <w:r>
        <w:rPr>
          <w:rFonts w:hint="eastAsia" w:cs="宋体"/>
          <w:color w:val="000000"/>
          <w:sz w:val="24"/>
          <w:szCs w:val="24"/>
          <w:u w:val="single"/>
          <w:lang w:val="en-US" w:eastAsia="zh-CN"/>
        </w:rPr>
        <w:t xml:space="preserve">       </w:t>
      </w:r>
      <w:r>
        <w:rPr>
          <w:rFonts w:hint="eastAsia" w:ascii="宋体" w:hAnsi="宋体" w:eastAsia="宋体" w:cs="宋体"/>
          <w:color w:val="auto"/>
          <w:sz w:val="24"/>
          <w:szCs w:val="24"/>
          <w:lang w:val="en-US" w:eastAsia="zh-CN"/>
        </w:rPr>
        <w:t>；联系人：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u w:val="none"/>
          <w:lang w:val="en-US" w:eastAsia="zh-CN"/>
        </w:rPr>
        <w:t xml:space="preserve"> ，</w:t>
      </w:r>
      <w:r>
        <w:rPr>
          <w:rFonts w:hint="eastAsia" w:ascii="宋体" w:hAnsi="宋体" w:eastAsia="宋体" w:cs="宋体"/>
          <w:color w:val="auto"/>
          <w:sz w:val="24"/>
          <w:szCs w:val="24"/>
          <w:lang w:val="en-US" w:eastAsia="zh-CN"/>
        </w:rPr>
        <w:t>联系电话：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u w:val="single"/>
          <w:lang w:val="en-US" w:eastAsia="zh-CN"/>
        </w:rPr>
        <w:t xml:space="preserve"> </w:t>
      </w:r>
      <w:r>
        <w:rPr>
          <w:rFonts w:hint="eastAsia" w:ascii="宋体" w:hAnsi="宋体" w:eastAsia="宋体" w:cs="宋体"/>
          <w:color w:val="auto"/>
          <w:sz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（3）以上地址和联系方式如发生变化，应及时通知对方。如未及时通知，应承担相应的后果。</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第五条 售后服务</w:t>
      </w:r>
    </w:p>
    <w:p>
      <w:pPr>
        <w:keepNext w:val="0"/>
        <w:keepLines w:val="0"/>
        <w:pageBreakBefore w:val="0"/>
        <w:widowControl/>
        <w:numPr>
          <w:ilvl w:val="-1"/>
          <w:numId w:val="0"/>
        </w:numPr>
        <w:kinsoku/>
        <w:wordWrap/>
        <w:overflowPunct/>
        <w:topLinePunct w:val="0"/>
        <w:autoSpaceDE/>
        <w:autoSpaceDN/>
        <w:bidi w:val="0"/>
        <w:adjustRightInd/>
        <w:snapToGrid/>
        <w:spacing w:line="480" w:lineRule="exact"/>
        <w:ind w:firstLine="480" w:firstLineChars="200"/>
        <w:jc w:val="left"/>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5.1  本合同设备质保期为</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年，自甲方在总体验收报告单上签字确认合格之日起算。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sz w:val="24"/>
          <w:szCs w:val="24"/>
          <w:lang w:val="en-US" w:eastAsia="zh-CN"/>
        </w:rPr>
      </w:pPr>
      <w:r>
        <w:rPr>
          <w:rFonts w:hint="eastAsia" w:ascii="宋体" w:hAnsi="宋体" w:eastAsia="宋体" w:cs="宋体"/>
          <w:color w:val="auto"/>
          <w:sz w:val="24"/>
          <w:szCs w:val="24"/>
          <w:lang w:val="en-US" w:eastAsia="zh-CN"/>
        </w:rPr>
        <w:t xml:space="preserve">5.2  </w:t>
      </w:r>
      <w:r>
        <w:rPr>
          <w:rFonts w:hint="eastAsia" w:ascii="宋体" w:hAnsi="宋体" w:eastAsia="宋体" w:cs="宋体"/>
          <w:sz w:val="24"/>
        </w:rPr>
        <w:t>乙方在质保期内免费提供维修、更换、保养、咨询等服务。</w:t>
      </w:r>
      <w:r>
        <w:rPr>
          <w:rFonts w:hint="eastAsia" w:ascii="宋体" w:hAnsi="宋体" w:eastAsia="宋体" w:cs="宋体"/>
          <w:color w:val="auto"/>
          <w:sz w:val="24"/>
          <w:szCs w:val="24"/>
          <w:lang w:val="en-US" w:eastAsia="zh-CN"/>
        </w:rPr>
        <w:t>如设备在</w:t>
      </w:r>
      <w:r>
        <w:rPr>
          <w:rFonts w:hint="eastAsia" w:ascii="宋体" w:hAnsi="宋体" w:eastAsia="宋体" w:cs="宋体"/>
          <w:sz w:val="24"/>
        </w:rPr>
        <w:t>质</w:t>
      </w:r>
      <w:r>
        <w:rPr>
          <w:rFonts w:hint="eastAsia" w:ascii="宋体" w:hAnsi="宋体" w:eastAsia="宋体" w:cs="宋体"/>
          <w:color w:val="auto"/>
          <w:sz w:val="24"/>
          <w:szCs w:val="24"/>
          <w:lang w:val="en-US" w:eastAsia="zh-CN"/>
        </w:rPr>
        <w:t>保期内出现质量问题，乙方应在接到甲方通知（包括电话通知）后24小时内赶到现场，到场后4小时内完成维修或更换，相关费用由乙方承担。如乙方不及时履行保修义务，甲方有权委托第三方进行维修，</w:t>
      </w:r>
      <w:r>
        <w:rPr>
          <w:rFonts w:hint="eastAsia" w:ascii="宋体" w:hAnsi="宋体" w:eastAsia="宋体" w:cs="宋体"/>
          <w:sz w:val="24"/>
          <w:szCs w:val="24"/>
          <w:lang w:val="en-US" w:eastAsia="zh-CN"/>
        </w:rPr>
        <w:t>由此产生的相关费用，在支付价款中予以扣除或要求乙方支付对应货物价款。</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5.3  质保期内，乙方每年至少对设备进行两次巡检并免费保养。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5.4  质保期届满后，如设备出现问题，乙方应在接到甲方通知（包括电话通知）后24小时内到场，到场后4小时内完成维修或更换，相关费用由甲方承担。</w:t>
      </w:r>
    </w:p>
    <w:p>
      <w:pPr>
        <w:keepNext w:val="0"/>
        <w:keepLines w:val="0"/>
        <w:pageBreakBefore w:val="0"/>
        <w:numPr>
          <w:ilvl w:val="0"/>
          <w:numId w:val="0"/>
        </w:numPr>
        <w:kinsoku/>
        <w:wordWrap/>
        <w:overflowPunct/>
        <w:topLinePunct w:val="0"/>
        <w:autoSpaceDE/>
        <w:autoSpaceDN/>
        <w:bidi w:val="0"/>
        <w:adjustRightInd/>
        <w:snapToGrid/>
        <w:spacing w:line="480" w:lineRule="exact"/>
        <w:ind w:firstLine="480" w:firstLineChars="200"/>
        <w:textAlignment w:val="auto"/>
        <w:rPr>
          <w:rFonts w:hint="eastAsia" w:ascii="宋体" w:hAnsi="宋体" w:eastAsia="宋体" w:cs="宋体"/>
          <w:b w:val="0"/>
          <w:color w:val="auto"/>
          <w:sz w:val="24"/>
          <w:szCs w:val="24"/>
          <w:lang w:val="en-US" w:eastAsia="zh-CN"/>
        </w:rPr>
      </w:pPr>
      <w:r>
        <w:rPr>
          <w:rFonts w:hint="eastAsia" w:ascii="宋体" w:hAnsi="宋体" w:eastAsia="宋体" w:cs="宋体"/>
          <w:color w:val="auto"/>
          <w:sz w:val="24"/>
          <w:szCs w:val="24"/>
        </w:rPr>
        <w:t>5</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 xml:space="preserve">5  </w:t>
      </w:r>
      <w:r>
        <w:rPr>
          <w:rFonts w:hint="eastAsia" w:ascii="宋体" w:hAnsi="宋体" w:eastAsia="宋体" w:cs="宋体"/>
          <w:color w:val="auto"/>
          <w:sz w:val="24"/>
          <w:szCs w:val="24"/>
        </w:rPr>
        <w:t>乙方须指派</w:t>
      </w:r>
      <w:r>
        <w:rPr>
          <w:rFonts w:hint="eastAsia" w:ascii="宋体" w:hAnsi="宋体" w:eastAsia="宋体" w:cs="宋体"/>
          <w:color w:val="auto"/>
          <w:sz w:val="24"/>
          <w:szCs w:val="24"/>
          <w:u w:val="non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eastAsia="zh-CN"/>
        </w:rPr>
        <w:t>，</w:t>
      </w:r>
      <w:r>
        <w:rPr>
          <w:rFonts w:hint="eastAsia" w:ascii="宋体" w:hAnsi="宋体" w:eastAsia="宋体" w:cs="宋体"/>
          <w:color w:val="auto"/>
          <w:sz w:val="24"/>
          <w:szCs w:val="24"/>
          <w:lang w:val="en-US" w:eastAsia="zh-CN"/>
        </w:rPr>
        <w:t>电话：</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 xml:space="preserve"> </w:t>
      </w:r>
      <w:r>
        <w:rPr>
          <w:rFonts w:hint="eastAsia" w:ascii="宋体" w:hAnsi="宋体" w:eastAsia="宋体" w:cs="宋体"/>
          <w:color w:val="auto"/>
          <w:sz w:val="24"/>
          <w:szCs w:val="24"/>
        </w:rPr>
        <w:t>专门负责与甲方联系售后服务事宜，如人员发生变动，应及时通知甲方。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第六条 结算、付款方式</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6.1  甲方通过银行转账方式向乙方指定银行账户支付结算价款：自甲方在总体验收报告单上签字确认合格之日起4个月内，支付结算总价款的90%；自甲方在总体验收报告单上签字确认合格之日起满</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年的10个工作日内，</w:t>
      </w:r>
      <w:r>
        <w:rPr>
          <w:rFonts w:hint="eastAsia" w:ascii="宋体" w:hAnsi="宋体" w:eastAsia="宋体" w:cs="宋体"/>
          <w:color w:val="0000FF"/>
          <w:sz w:val="24"/>
          <w:szCs w:val="24"/>
          <w:lang w:val="en-US" w:eastAsia="zh-CN"/>
        </w:rPr>
        <w:t>免息</w:t>
      </w:r>
      <w:r>
        <w:rPr>
          <w:rFonts w:hint="eastAsia" w:ascii="宋体" w:hAnsi="宋体" w:eastAsia="宋体" w:cs="宋体"/>
          <w:color w:val="auto"/>
          <w:sz w:val="24"/>
          <w:szCs w:val="24"/>
          <w:lang w:val="en-US" w:eastAsia="zh-CN"/>
        </w:rPr>
        <w:t>支付结算总价款的10%。</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6.2  乙方应在甲方首次付款前，提供以自己名义开具的与结算总价款对应的增值税普通发票送交甲方，如因未及时提供发票导致逾期付款，乙方自行承担相应责任。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6.3  乙方开具的发票金额应与总体验收报告单内容一致，甲方不支付超出总体验收报告单内容以外的任何费用。</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6.4  乙方指定账户</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 xml:space="preserve">开户名：  </w:t>
      </w:r>
      <w:r>
        <w:rPr>
          <w:rFonts w:hint="eastAsia" w:ascii="宋体" w:hAnsi="宋体" w:eastAsia="宋体" w:cs="宋体"/>
          <w:color w:val="auto"/>
          <w:sz w:val="24"/>
          <w:szCs w:val="24"/>
          <w:u w:val="singl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4"/>
          <w:szCs w:val="24"/>
          <w:u w:val="none"/>
          <w:lang w:val="en-US" w:eastAsia="zh-CN"/>
        </w:rPr>
      </w:pPr>
      <w:r>
        <w:rPr>
          <w:rFonts w:hint="eastAsia" w:ascii="宋体" w:hAnsi="宋体" w:eastAsia="宋体" w:cs="宋体"/>
          <w:color w:val="auto"/>
          <w:sz w:val="24"/>
          <w:szCs w:val="24"/>
          <w:lang w:val="en-US" w:eastAsia="zh-CN"/>
        </w:rPr>
        <w:t>开户银行：</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4"/>
          <w:szCs w:val="24"/>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color w:val="000000"/>
          <w:sz w:val="28"/>
          <w:szCs w:val="28"/>
          <w:u w:val="none"/>
          <w:lang w:val="en-US" w:eastAsia="zh-CN"/>
        </w:rPr>
      </w:pPr>
      <w:r>
        <w:rPr>
          <w:rFonts w:hint="eastAsia" w:ascii="宋体" w:hAnsi="宋体" w:eastAsia="宋体" w:cs="宋体"/>
          <w:color w:val="auto"/>
          <w:sz w:val="24"/>
          <w:szCs w:val="24"/>
          <w:lang w:val="en-US" w:eastAsia="zh-CN"/>
        </w:rPr>
        <w:t>账号：</w:t>
      </w:r>
      <w:r>
        <w:rPr>
          <w:rFonts w:hint="eastAsia" w:ascii="宋体" w:hAnsi="宋体"/>
          <w:color w:val="000000"/>
          <w:sz w:val="28"/>
          <w:szCs w:val="28"/>
          <w:u w:val="none"/>
          <w:lang w:val="en-US" w:eastAsia="zh-CN"/>
        </w:rPr>
        <w:t xml:space="preserve"> </w:t>
      </w:r>
      <w:r>
        <w:rPr>
          <w:rFonts w:hint="eastAsia" w:ascii="宋体" w:hAnsi="宋体"/>
          <w:color w:val="000000"/>
          <w:sz w:val="24"/>
          <w:szCs w:val="24"/>
          <w:u w:val="none"/>
          <w:lang w:val="en-US" w:eastAsia="zh-CN"/>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color w:val="000000"/>
          <w:sz w:val="28"/>
          <w:szCs w:val="28"/>
          <w:u w:val="none"/>
          <w:lang w:val="en-US" w:eastAsia="zh-CN"/>
        </w:rPr>
        <w:t xml:space="preserve">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b/>
          <w:bCs/>
          <w:color w:val="auto"/>
          <w:sz w:val="24"/>
          <w:szCs w:val="24"/>
          <w:lang w:val="en-US" w:eastAsia="zh-CN"/>
        </w:rPr>
        <w:t>第七条 风险承担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7.1  乙方履行本合同过程中发生事故，包括但不限于在运输、装卸、安装及调试过程中发生事故，给甲方、乙方或第三方人身、财产造成的所有损失，均由乙方负责处理和承担全部法律责任、经济赔偿。</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7.2  货物毁损、丢失的风险自甲方在总体验收报告单上签字确认合格后转移给甲方，此前货物的一切风险均由乙方承担。</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2" w:firstLineChars="200"/>
        <w:jc w:val="both"/>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第八条 违约责任</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8.1  如乙方未在本合同约定时间内将验收合格的货物交付给甲方使用，除应赔偿甲方因此造成的损失外，每逾期一日，按本合同约定总价款的千分之一向甲方支付违约金，甲方可在约定应付价款中对该费用予以扣除。</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8.2  乙方出现以下违约情形之一的，甲方有权拒绝支付任何价款并解除合同</w:t>
      </w:r>
      <w:r>
        <w:rPr>
          <w:rFonts w:hint="eastAsia" w:ascii="宋体" w:hAnsi="宋体" w:eastAsia="宋体" w:cs="宋体"/>
          <w:sz w:val="24"/>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（1）乙方逾期</w:t>
      </w:r>
      <w:r>
        <w:rPr>
          <w:rFonts w:hint="eastAsia" w:ascii="宋体" w:hAnsi="宋体" w:eastAsia="宋体" w:cs="宋体"/>
          <w:color w:val="auto"/>
          <w:sz w:val="24"/>
          <w:szCs w:val="24"/>
          <w:u w:val="single"/>
          <w:lang w:val="en-US" w:eastAsia="zh-CN"/>
        </w:rPr>
        <w:t xml:space="preserve"> 30 </w:t>
      </w:r>
      <w:r>
        <w:rPr>
          <w:rFonts w:hint="eastAsia" w:ascii="宋体" w:hAnsi="宋体" w:eastAsia="宋体" w:cs="宋体"/>
          <w:color w:val="auto"/>
          <w:sz w:val="24"/>
          <w:szCs w:val="24"/>
          <w:lang w:val="en-US" w:eastAsia="zh-CN"/>
        </w:rPr>
        <w:t>日仍不能供货；</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（2）乙方提供的设备质量不符合国家标准、本合同标准或响应文件约定标准；</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（3）乙方将订单转包、分包给第三方；</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（4）其他根本违约的情形。</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3.如乙方单方解除合同或甲方因乙方原因解除合同，乙方应赔偿给甲方造成的全部经济损失，并按本合同总价款 30%标准支付甲方违约金。</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第九条 争议解决</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本合同履行中发生争议，双方应先协商解决，协商解决不成的，由甲方所在地有管辖权的人民法院管辖。</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第十条 附则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1.本合同未尽事宜，双方另行协商签订补充协议。</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2.本合同组成文件和优先解释顺序：本合同补充协议；本合同及附件；议价结果公示；响应文件；采购文件；其他与本合同有关的资料。</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ind w:firstLine="480" w:firstLineChars="200"/>
        <w:jc w:val="both"/>
        <w:textAlignment w:val="auto"/>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3.本合同一式伍份，甲方执肆份、乙方执壹份，自双方签字并盖章之日起生效。</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甲方（盖章）：</w:t>
      </w:r>
      <w:r>
        <w:rPr>
          <w:rFonts w:hint="eastAsia" w:ascii="宋体" w:hAnsi="宋体" w:eastAsia="宋体" w:cs="宋体"/>
          <w:color w:val="auto"/>
          <w:sz w:val="24"/>
          <w:szCs w:val="24"/>
          <w:lang w:val="en-US" w:eastAsia="zh-CN"/>
        </w:rPr>
        <w:t>娄底市中心医院</w:t>
      </w:r>
      <w:r>
        <w:rPr>
          <w:rFonts w:hint="default" w:ascii="宋体" w:hAnsi="宋体" w:eastAsia="宋体" w:cs="宋体"/>
          <w:color w:val="auto"/>
          <w:sz w:val="24"/>
          <w:szCs w:val="24"/>
          <w:lang w:val="en-US" w:eastAsia="zh-CN"/>
        </w:rPr>
        <w:t xml:space="preserve">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乙方（盖章）</w:t>
      </w:r>
      <w:r>
        <w:rPr>
          <w:rFonts w:hint="eastAsia" w:ascii="宋体" w:hAnsi="宋体" w:eastAsia="宋体" w:cs="宋体"/>
          <w:color w:val="auto"/>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default" w:ascii="宋体" w:hAnsi="宋体" w:eastAsia="宋体" w:cs="宋体"/>
          <w:color w:val="auto"/>
          <w:sz w:val="24"/>
          <w:szCs w:val="24"/>
          <w:lang w:val="en-US" w:eastAsia="zh-CN"/>
        </w:rPr>
        <w:t xml:space="preserve">法定代表人（签字）：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法定代表人（签字）：    </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eastAsia" w:ascii="宋体" w:hAnsi="宋体" w:eastAsia="宋体" w:cs="宋体"/>
          <w:color w:val="auto"/>
          <w:sz w:val="24"/>
          <w:szCs w:val="24"/>
          <w:lang w:val="en-US"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或</w:t>
      </w:r>
      <w:r>
        <w:rPr>
          <w:rFonts w:hint="default" w:ascii="宋体" w:hAnsi="宋体" w:eastAsia="宋体" w:cs="宋体"/>
          <w:color w:val="auto"/>
          <w:sz w:val="24"/>
          <w:szCs w:val="24"/>
          <w:lang w:val="en-US" w:eastAsia="zh-CN"/>
        </w:rPr>
        <w:t xml:space="preserve">委托代理人（签字）：        </w:t>
      </w:r>
      <w:r>
        <w:rPr>
          <w:rFonts w:hint="eastAsia" w:ascii="宋体" w:hAnsi="宋体" w:eastAsia="宋体" w:cs="宋体"/>
          <w:color w:val="auto"/>
          <w:sz w:val="24"/>
          <w:szCs w:val="24"/>
          <w:lang w:val="en-US" w:eastAsia="zh-CN"/>
        </w:rPr>
        <w:t xml:space="preserve">      或</w:t>
      </w:r>
      <w:r>
        <w:rPr>
          <w:rFonts w:hint="default" w:ascii="宋体" w:hAnsi="宋体" w:eastAsia="宋体" w:cs="宋体"/>
          <w:color w:val="auto"/>
          <w:sz w:val="24"/>
          <w:szCs w:val="24"/>
          <w:lang w:val="en-US" w:eastAsia="zh-CN"/>
        </w:rPr>
        <w:t>委托代理人（签字）：</w:t>
      </w:r>
    </w:p>
    <w:p>
      <w:pPr>
        <w:keepNext w:val="0"/>
        <w:keepLines w:val="0"/>
        <w:pageBreakBefore w:val="0"/>
        <w:widowControl w:val="0"/>
        <w:numPr>
          <w:ilvl w:val="0"/>
          <w:numId w:val="0"/>
        </w:numPr>
        <w:kinsoku/>
        <w:wordWrap/>
        <w:overflowPunct/>
        <w:topLinePunct w:val="0"/>
        <w:autoSpaceDE/>
        <w:autoSpaceDN/>
        <w:bidi w:val="0"/>
        <w:adjustRightInd/>
        <w:snapToGrid/>
        <w:spacing w:line="480" w:lineRule="exact"/>
        <w:jc w:val="both"/>
        <w:textAlignment w:val="auto"/>
      </w:pPr>
      <w:r>
        <w:rPr>
          <w:rFonts w:hint="default" w:ascii="宋体" w:hAnsi="宋体" w:eastAsia="宋体" w:cs="宋体"/>
          <w:color w:val="auto"/>
          <w:sz w:val="24"/>
          <w:szCs w:val="24"/>
          <w:lang w:val="en-US" w:eastAsia="zh-CN"/>
        </w:rPr>
        <w:t>合同签订地</w:t>
      </w:r>
      <w:r>
        <w:rPr>
          <w:rFonts w:hint="eastAsia" w:ascii="宋体" w:hAnsi="宋体" w:eastAsia="宋体" w:cs="宋体"/>
          <w:color w:val="auto"/>
          <w:sz w:val="24"/>
          <w:szCs w:val="24"/>
          <w:lang w:val="en-US" w:eastAsia="zh-CN"/>
        </w:rPr>
        <w:t>履行地</w:t>
      </w:r>
      <w:r>
        <w:rPr>
          <w:rFonts w:hint="default" w:ascii="宋体" w:hAnsi="宋体" w:eastAsia="宋体" w:cs="宋体"/>
          <w:color w:val="auto"/>
          <w:sz w:val="24"/>
          <w:szCs w:val="24"/>
          <w:lang w:val="en-US" w:eastAsia="zh-CN"/>
        </w:rPr>
        <w:t xml:space="preserve">：娄底市娄星区 </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签订时间：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年</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月</w:t>
      </w:r>
      <w:r>
        <w:rPr>
          <w:rFonts w:hint="eastAsia" w:ascii="宋体" w:hAnsi="宋体" w:eastAsia="宋体" w:cs="宋体"/>
          <w:color w:val="auto"/>
          <w:sz w:val="24"/>
          <w:szCs w:val="24"/>
          <w:lang w:val="en-US" w:eastAsia="zh-CN"/>
        </w:rPr>
        <w:t xml:space="preserve">     </w:t>
      </w:r>
      <w:r>
        <w:rPr>
          <w:rFonts w:hint="default" w:ascii="宋体" w:hAnsi="宋体" w:eastAsia="宋体" w:cs="宋体"/>
          <w:color w:val="auto"/>
          <w:sz w:val="24"/>
          <w:szCs w:val="24"/>
          <w:lang w:val="en-US" w:eastAsia="zh-CN"/>
        </w:rPr>
        <w:t>日</w:t>
      </w:r>
    </w:p>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Arial Unicode MS">
    <w:altName w:val="宋体"/>
    <w:panose1 w:val="00000000000000000000"/>
    <w:charset w:val="86"/>
    <w:family w:val="roman"/>
    <w:pitch w:val="default"/>
    <w:sig w:usb0="00000000" w:usb1="00000000" w:usb2="00000000" w:usb3="00000000" w:csb0="00040001" w:csb1="00000000"/>
  </w:font>
  <w:font w:name="方正小标宋简体">
    <w:altName w:val="宋体"/>
    <w:panose1 w:val="02010601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EE324B"/>
    <w:multiLevelType w:val="singleLevel"/>
    <w:tmpl w:val="B6EE324B"/>
    <w:lvl w:ilvl="0" w:tentative="0">
      <w:start w:val="4"/>
      <w:numFmt w:val="chineseCounting"/>
      <w:suff w:val="space"/>
      <w:lvlText w:val="第%1章"/>
      <w:lvlJc w:val="left"/>
      <w:rPr>
        <w:rFonts w:hint="eastAsia"/>
      </w:rPr>
    </w:lvl>
  </w:abstractNum>
  <w:abstractNum w:abstractNumId="1">
    <w:nsid w:val="BB68914C"/>
    <w:multiLevelType w:val="singleLevel"/>
    <w:tmpl w:val="BB68914C"/>
    <w:lvl w:ilvl="0" w:tentative="0">
      <w:start w:val="2"/>
      <w:numFmt w:val="chineseCounting"/>
      <w:suff w:val="nothing"/>
      <w:lvlText w:val="%1、"/>
      <w:lvlJc w:val="left"/>
      <w:rPr>
        <w:rFonts w:hint="eastAsia"/>
      </w:rPr>
    </w:lvl>
  </w:abstractNum>
  <w:abstractNum w:abstractNumId="2">
    <w:nsid w:val="DEBE52CF"/>
    <w:multiLevelType w:val="singleLevel"/>
    <w:tmpl w:val="DEBE52CF"/>
    <w:lvl w:ilvl="0" w:tentative="0">
      <w:start w:val="2"/>
      <w:numFmt w:val="decimal"/>
      <w:suff w:val="nothing"/>
      <w:lvlText w:val="（%1）"/>
      <w:lvlJc w:val="left"/>
    </w:lvl>
  </w:abstractNum>
  <w:abstractNum w:abstractNumId="3">
    <w:nsid w:val="DFCC3393"/>
    <w:multiLevelType w:val="singleLevel"/>
    <w:tmpl w:val="DFCC3393"/>
    <w:lvl w:ilvl="0" w:tentative="0">
      <w:start w:val="6"/>
      <w:numFmt w:val="chineseCounting"/>
      <w:suff w:val="nothing"/>
      <w:lvlText w:val="第%1部分、"/>
      <w:lvlJc w:val="left"/>
      <w:rPr>
        <w:rFonts w:hint="eastAsia"/>
      </w:rPr>
    </w:lvl>
  </w:abstractNum>
  <w:abstractNum w:abstractNumId="4">
    <w:nsid w:val="1E6DDE31"/>
    <w:multiLevelType w:val="singleLevel"/>
    <w:tmpl w:val="1E6DDE31"/>
    <w:lvl w:ilvl="0" w:tentative="0">
      <w:start w:val="1"/>
      <w:numFmt w:val="chineseCounting"/>
      <w:suff w:val="space"/>
      <w:lvlText w:val="第%1条"/>
      <w:lvlJc w:val="left"/>
      <w:rPr>
        <w:rFonts w:hint="eastAsia"/>
      </w:rPr>
    </w:lvl>
  </w:abstractNum>
  <w:abstractNum w:abstractNumId="5">
    <w:nsid w:val="6BE0BE61"/>
    <w:multiLevelType w:val="singleLevel"/>
    <w:tmpl w:val="6BE0BE61"/>
    <w:lvl w:ilvl="0" w:tentative="0">
      <w:start w:val="5"/>
      <w:numFmt w:val="chineseCounting"/>
      <w:suff w:val="nothing"/>
      <w:lvlText w:val="%1、"/>
      <w:lvlJc w:val="left"/>
      <w:rPr>
        <w:rFonts w:hint="eastAsia"/>
      </w:rPr>
    </w:lvl>
  </w:abstractNum>
  <w:num w:numId="1">
    <w:abstractNumId w:val="1"/>
  </w:num>
  <w:num w:numId="2">
    <w:abstractNumId w:val="5"/>
  </w:num>
  <w:num w:numId="3">
    <w:abstractNumId w:val="2"/>
  </w:num>
  <w:num w:numId="4">
    <w:abstractNumId w:val="0"/>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IxNjY4ZjY1NTE3YzA2ZWY0NzM4YzY2Y2MyZGE5MzcifQ=="/>
  </w:docVars>
  <w:rsids>
    <w:rsidRoot w:val="38464489"/>
    <w:rsid w:val="013D1928"/>
    <w:rsid w:val="07B93C8A"/>
    <w:rsid w:val="0C3703B8"/>
    <w:rsid w:val="38464489"/>
    <w:rsid w:val="47DE55F6"/>
    <w:rsid w:val="59832A99"/>
    <w:rsid w:val="5A716D37"/>
    <w:rsid w:val="5D401BB0"/>
    <w:rsid w:val="5F3D27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paragraph" w:styleId="3">
    <w:name w:val="heading 3"/>
    <w:basedOn w:val="1"/>
    <w:next w:val="1"/>
    <w:qFormat/>
    <w:uiPriority w:val="0"/>
    <w:pPr>
      <w:keepNext/>
      <w:keepLines/>
      <w:adjustRightInd w:val="0"/>
      <w:spacing w:before="260" w:after="260" w:line="416" w:lineRule="atLeast"/>
      <w:textAlignment w:val="baseline"/>
      <w:outlineLvl w:val="2"/>
    </w:pPr>
    <w:rPr>
      <w:b/>
      <w:kern w:val="0"/>
      <w:sz w:val="32"/>
      <w:szCs w:val="20"/>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4">
    <w:name w:val="Body Text Indent"/>
    <w:basedOn w:val="1"/>
    <w:qFormat/>
    <w:uiPriority w:val="99"/>
    <w:pPr>
      <w:spacing w:line="400" w:lineRule="exact"/>
      <w:ind w:left="630"/>
    </w:pPr>
    <w:rPr>
      <w:rFonts w:ascii="楷体_GB2312"/>
      <w:sz w:val="30"/>
      <w:szCs w:val="30"/>
    </w:rPr>
  </w:style>
  <w:style w:type="paragraph" w:styleId="5">
    <w:name w:val="footer"/>
    <w:basedOn w:val="1"/>
    <w:qFormat/>
    <w:uiPriority w:val="0"/>
    <w:pPr>
      <w:tabs>
        <w:tab w:val="center" w:pos="4153"/>
        <w:tab w:val="right" w:pos="8306"/>
      </w:tabs>
      <w:snapToGrid w:val="0"/>
      <w:jc w:val="left"/>
    </w:pPr>
    <w:rPr>
      <w:kern w:val="0"/>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qFormat/>
    <w:uiPriority w:val="0"/>
    <w:rPr>
      <w:sz w:val="24"/>
    </w:rPr>
  </w:style>
  <w:style w:type="paragraph" w:styleId="8">
    <w:name w:val="Body Text First Indent 2"/>
    <w:basedOn w:val="4"/>
    <w:next w:val="1"/>
    <w:qFormat/>
    <w:uiPriority w:val="0"/>
    <w:pPr>
      <w:overflowPunct w:val="0"/>
      <w:adjustRightInd w:val="0"/>
      <w:spacing w:line="500" w:lineRule="exact"/>
      <w:ind w:firstLine="420" w:firstLineChars="200"/>
      <w:textAlignment w:val="baseline"/>
    </w:pPr>
    <w:rPr>
      <w:rFonts w:eastAsia="仿宋_GB2312"/>
      <w:kern w:val="28"/>
      <w:sz w:val="28"/>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qFormat/>
    <w:uiPriority w:val="0"/>
    <w:rPr>
      <w:rFonts w:eastAsia="Arial"/>
    </w:rPr>
  </w:style>
  <w:style w:type="paragraph" w:customStyle="1" w:styleId="13">
    <w:name w:val="Default"/>
    <w:next w:val="14"/>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4">
    <w:name w:val="大标题"/>
    <w:basedOn w:val="1"/>
    <w:next w:val="8"/>
    <w:qFormat/>
    <w:uiPriority w:val="0"/>
    <w:pPr>
      <w:jc w:val="center"/>
    </w:pPr>
    <w:rPr>
      <w:rFonts w:ascii="Arial" w:hAnsi="Arial" w:eastAsia="宋体"/>
      <w:b/>
      <w:sz w:val="28"/>
      <w:szCs w:val="24"/>
    </w:rPr>
  </w:style>
  <w:style w:type="paragraph" w:customStyle="1" w:styleId="15">
    <w:name w:val="列出段落1"/>
    <w:basedOn w:val="1"/>
    <w:qFormat/>
    <w:uiPriority w:val="99"/>
    <w:pPr>
      <w:ind w:firstLine="420" w:firstLineChars="200"/>
    </w:pPr>
  </w:style>
  <w:style w:type="paragraph" w:customStyle="1" w:styleId="16">
    <w:name w:val="正文 A"/>
    <w:qFormat/>
    <w:uiPriority w:val="0"/>
    <w:pPr>
      <w:keepNext w:val="0"/>
      <w:keepLines w:val="0"/>
      <w:pageBreakBefore w:val="0"/>
      <w:widowControl w:val="0"/>
      <w:numPr>
        <w:ilvl w:val="0"/>
        <w:numId w:val="0"/>
      </w:numPr>
      <w:suppressLineNumbers w:val="0"/>
      <w:pBdr>
        <w:top w:val="none" w:color="auto" w:sz="0" w:space="0"/>
        <w:left w:val="none" w:color="auto" w:sz="0" w:space="0"/>
        <w:bottom w:val="none" w:color="auto" w:sz="0" w:space="0"/>
        <w:right w:val="none" w:color="auto" w:sz="0" w:space="0"/>
        <w:between w:val="none" w:color="auto" w:sz="0" w:space="0"/>
      </w:pBdr>
      <w:shd w:val="clear" w:color="auto" w:fill="auto"/>
      <w:suppressAutoHyphens w:val="0"/>
      <w:bidi w:val="0"/>
      <w:spacing w:before="0" w:beforeAutospacing="0" w:after="0" w:afterAutospacing="0" w:line="240" w:lineRule="auto"/>
      <w:ind w:left="0" w:right="0" w:firstLine="0"/>
      <w:jc w:val="both"/>
      <w:outlineLvl w:val="9"/>
    </w:pPr>
    <w:rPr>
      <w:rFonts w:ascii="Times New Roman" w:hAnsi="Times New Roman" w:eastAsia="Arial Unicode MS" w:cs="Arial Unicode MS"/>
      <w:color w:val="000000"/>
      <w:spacing w:val="0"/>
      <w:w w:val="100"/>
      <w:kern w:val="2"/>
      <w:position w:val="0"/>
      <w:sz w:val="21"/>
      <w:szCs w:val="21"/>
      <w:u w:val="none" w:color="000000"/>
      <w:shd w:val="clear" w:color="auto" w:fill="auto"/>
      <w:vertAlign w:val="baseline"/>
      <w:lang w:val="en-US"/>
    </w:rPr>
  </w:style>
  <w:style w:type="paragraph" w:customStyle="1" w:styleId="17">
    <w:name w:val="无间隔1"/>
    <w:qFormat/>
    <w:uiPriority w:val="0"/>
    <w:pPr>
      <w:widowControl w:val="0"/>
      <w:jc w:val="both"/>
    </w:pPr>
    <w:rPr>
      <w:rFonts w:ascii="Calibri" w:hAnsi="Calibri" w:eastAsia="宋体" w:cs="Times New Roman"/>
      <w:kern w:val="2"/>
      <w:sz w:val="21"/>
      <w:szCs w:val="22"/>
      <w:lang w:val="en-US" w:eastAsia="zh-CN" w:bidi="ar-SA"/>
    </w:rPr>
  </w:style>
  <w:style w:type="paragraph" w:styleId="18">
    <w:name w:val="List Paragraph"/>
    <w:basedOn w:val="1"/>
    <w:qFormat/>
    <w:uiPriority w:val="34"/>
    <w:pPr>
      <w:ind w:firstLine="420" w:firstLineChars="200"/>
    </w:pPr>
    <w:rPr>
      <w:rFonts w:ascii="Calibri" w:hAnsi="Calibri"/>
      <w:szCs w:val="22"/>
    </w:rPr>
  </w:style>
  <w:style w:type="character" w:customStyle="1" w:styleId="19">
    <w:name w:val="NormalCharacter"/>
    <w:semiHidden/>
    <w:qFormat/>
    <w:uiPriority w:val="0"/>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20</Pages>
  <Words>7887</Words>
  <Characters>8318</Characters>
  <Lines>0</Lines>
  <Paragraphs>0</Paragraphs>
  <TotalTime>0</TotalTime>
  <ScaleCrop>false</ScaleCrop>
  <LinksUpToDate>false</LinksUpToDate>
  <CharactersWithSpaces>9315</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2023-05-06T02:25:00Z</dcterms:created>
  <dc:creator>是小豹子</dc:creator>
  <cp:lastModifiedBy>是小豹子</cp:lastModifiedBy>
  <cp:lastPrinted>2023-10-11T01:45:00Z</cp:lastPrinted>
  <dcterms:modified xsi:type="dcterms:W3CDTF">2023-10-12T08:03:22Z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4A3BD7C44A924F77A3C1C47747772F3B_13</vt:lpwstr>
  </property>
</Properties>
</file>