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（男性性功能检测仪</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男性性功能检测仪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男性性功能检测仪</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院内公开挂网，最低价评分，在满足所有参数的条件下，报价最低者中标，如有两个并列最低价，则由两个并列最低价投标人再次报价，直至出现最低报价为止。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男性性功能检测仪</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37.5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Calibri" w:hAnsi="Calibri" w:eastAsia="宋体" w:cs="Times New Roman"/>
          <w:b/>
          <w:bCs/>
          <w:kern w:val="0"/>
          <w:sz w:val="24"/>
          <w:szCs w:val="24"/>
          <w:lang w:val="en-US" w:eastAsia="zh-CN"/>
        </w:rPr>
      </w:pPr>
      <w:r>
        <w:rPr>
          <w:rFonts w:hint="eastAsia" w:ascii="Calibri" w:hAnsi="Calibri" w:eastAsia="宋体" w:cs="Times New Roman"/>
          <w:b/>
          <w:bCs/>
          <w:kern w:val="0"/>
          <w:sz w:val="24"/>
          <w:szCs w:val="24"/>
          <w:lang w:val="en-US" w:eastAsia="zh-CN"/>
        </w:rPr>
        <w:t>神经电生理检测模块</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电刺激强度0~31V可调，电刺激强度误差：≤±10%；</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电刺激脉宽300~1000us可调，电刺激脉宽误差：≤±10%；</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电刺激脉冲重复周期0.5s~1s可调，重复周期误差：≤±10%；</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接收周期（记录分析时间）10~500ms可调，接收周期误差：≤±15%。</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Calibri" w:hAnsi="Calibri" w:eastAsia="宋体" w:cs="Times New Roman"/>
          <w:b/>
          <w:bCs/>
          <w:kern w:val="0"/>
          <w:sz w:val="24"/>
          <w:szCs w:val="24"/>
          <w:lang w:val="en-US" w:eastAsia="zh-CN"/>
        </w:rPr>
      </w:pPr>
      <w:r>
        <w:rPr>
          <w:rFonts w:hint="eastAsia" w:ascii="Calibri" w:hAnsi="Calibri" w:eastAsia="宋体" w:cs="Times New Roman"/>
          <w:b/>
          <w:bCs/>
          <w:kern w:val="0"/>
          <w:sz w:val="24"/>
          <w:szCs w:val="24"/>
          <w:lang w:val="en-US" w:eastAsia="zh-CN"/>
        </w:rPr>
        <w:t>阴茎夜间勃起动态检测模块</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有效记录时间：0~10小时</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在睡眠状态下，HOLTER（数据存储记录器）连续记录阴茎勃起次数、持续时间、峰值等指标</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非线性度：＜5%</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传感器张力量程：0-250克</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记录时间可精确到秒；</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FLASH存储技术，即使断电，数据记录盒中存储的信号也不会丢失</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内置性心理测评与诊断:</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利用国际通用的性心理测评问卷，了解患者性活动时的各种真实表现，评估出性功能障碍的程度及病因，为制定出有效的治疗方案提供参考。</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Calibri" w:hAnsi="Calibri" w:eastAsia="宋体" w:cs="Times New Roman"/>
          <w:b/>
          <w:bCs/>
          <w:kern w:val="0"/>
          <w:sz w:val="24"/>
          <w:szCs w:val="24"/>
          <w:lang w:val="en-US" w:eastAsia="zh-CN"/>
        </w:rPr>
      </w:pPr>
      <w:r>
        <w:rPr>
          <w:rFonts w:hint="eastAsia" w:ascii="Calibri" w:hAnsi="Calibri" w:eastAsia="宋体" w:cs="Times New Roman"/>
          <w:b/>
          <w:bCs/>
          <w:kern w:val="0"/>
          <w:sz w:val="24"/>
          <w:szCs w:val="24"/>
          <w:lang w:val="en-US" w:eastAsia="zh-CN"/>
        </w:rPr>
        <w:t>多普勒血流检测参数</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超声发射频率：CW方式，8.2MHz，误差≤±10% ；</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血流多普勒速度响应范围：10cm/s～80cm/s；</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最大探测深度：</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35mm</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最大检测速度：</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40cm/s</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多普勒为CW超声连续波</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具备自动增益控制；心率自动识别计算</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可选模式：频率模式，速度模式</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Calibri" w:hAnsi="Calibri" w:eastAsia="宋体" w:cs="Times New Roman"/>
          <w:b/>
          <w:bCs/>
          <w:kern w:val="0"/>
          <w:sz w:val="24"/>
          <w:szCs w:val="24"/>
          <w:lang w:val="en-US" w:eastAsia="zh-CN"/>
        </w:rPr>
      </w:pPr>
      <w:r>
        <w:rPr>
          <w:rFonts w:hint="eastAsia" w:ascii="Calibri" w:hAnsi="Calibri" w:eastAsia="宋体" w:cs="Times New Roman"/>
          <w:b/>
          <w:bCs/>
          <w:kern w:val="0"/>
          <w:sz w:val="24"/>
          <w:szCs w:val="24"/>
          <w:lang w:val="en-US" w:eastAsia="zh-CN"/>
        </w:rPr>
        <w:t>敏感度阈值检测参数</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振动电路电压范围：0V-50V连续可调，步进0.1V，误差范围±10%；</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振动头振幅加速度峰值范围0～11.4m/s2连续可调，误差范围≤±15%；振动头震动主频100Hz，误差范围≤±5%。</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振动头振动加速度峰值准确性误差范围：≤±15%。</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振动头应该耐受医用酒精反复擦拭消毒，不应损坏。</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振动头直径6mm、10mm及13mm三种，误差范围≤±10%。</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可进行阴茎的敏感神经测定（振动），振动测量范围：0-10级，精度1级</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设备开机后，按手柄振动头或台式振动头上按钮，电路将自动升压。</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自动升压速度要求：从0-5V自动升压过程中所用时间为32秒，误差：≤±15%。</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自动升压过程中，再按手柄振动头或台式振动头上按钮，升压会停止，振动强度保持不变。</w:t>
      </w:r>
    </w:p>
    <w:p>
      <w:pPr>
        <w:numPr>
          <w:ilvl w:val="1"/>
          <w:numId w:val="3"/>
        </w:numPr>
        <w:bidi w:val="0"/>
        <w:spacing w:line="360" w:lineRule="auto"/>
        <w:ind w:left="850" w:leftChars="0" w:hanging="453"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升压停止，振动强度保持不变的情况下，再按手柄振动头或台式振动头按钮，振动头会停止振动。</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892"/>
        <w:gridCol w:w="2745"/>
        <w:gridCol w:w="115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3" w:type="dxa"/>
            <w:noWrap w:val="0"/>
            <w:vAlign w:val="top"/>
          </w:tcPr>
          <w:p>
            <w:pPr>
              <w:jc w:val="center"/>
              <w:rPr>
                <w:rFonts w:hint="eastAsia" w:ascii="宋体" w:hAnsi="宋体" w:eastAsia="宋体" w:cs="宋体"/>
                <w:bCs/>
                <w:sz w:val="21"/>
                <w:szCs w:val="21"/>
              </w:rPr>
            </w:pPr>
            <w:r>
              <w:rPr>
                <w:rFonts w:hint="eastAsia" w:ascii="宋体" w:hAnsi="宋体" w:eastAsia="宋体" w:cs="宋体"/>
                <w:bCs/>
                <w:sz w:val="21"/>
                <w:szCs w:val="21"/>
              </w:rPr>
              <w:t>仪器名称</w:t>
            </w:r>
          </w:p>
        </w:tc>
        <w:tc>
          <w:tcPr>
            <w:tcW w:w="892" w:type="dxa"/>
            <w:noWrap w:val="0"/>
            <w:vAlign w:val="top"/>
          </w:tcPr>
          <w:p>
            <w:pPr>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745" w:type="dxa"/>
            <w:noWrap w:val="0"/>
            <w:vAlign w:val="top"/>
          </w:tcPr>
          <w:p>
            <w:pPr>
              <w:jc w:val="center"/>
              <w:rPr>
                <w:rFonts w:hint="eastAsia" w:ascii="宋体" w:hAnsi="宋体" w:eastAsia="宋体" w:cs="宋体"/>
                <w:bCs/>
                <w:sz w:val="21"/>
                <w:szCs w:val="21"/>
              </w:rPr>
            </w:pPr>
            <w:r>
              <w:rPr>
                <w:rFonts w:hint="eastAsia" w:ascii="宋体" w:hAnsi="宋体" w:eastAsia="宋体" w:cs="宋体"/>
                <w:bCs/>
                <w:sz w:val="21"/>
                <w:szCs w:val="21"/>
              </w:rPr>
              <w:t>装箱物品名称</w:t>
            </w:r>
          </w:p>
        </w:tc>
        <w:tc>
          <w:tcPr>
            <w:tcW w:w="1152" w:type="dxa"/>
            <w:noWrap w:val="0"/>
            <w:vAlign w:val="top"/>
          </w:tcPr>
          <w:p>
            <w:pPr>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1148" w:type="dxa"/>
            <w:noWrap w:val="0"/>
            <w:vAlign w:val="top"/>
          </w:tcPr>
          <w:p>
            <w:pPr>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343" w:type="dxa"/>
            <w:vMerge w:val="restart"/>
            <w:noWrap w:val="0"/>
            <w:vAlign w:val="center"/>
          </w:tcPr>
          <w:p>
            <w:pPr>
              <w:spacing w:line="240" w:lineRule="auto"/>
              <w:ind w:left="0"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rPr>
              <w:t>男性性功能检测仪</w:t>
            </w:r>
          </w:p>
        </w:tc>
        <w:tc>
          <w:tcPr>
            <w:tcW w:w="892" w:type="dxa"/>
            <w:noWrap w:val="0"/>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745" w:type="dxa"/>
            <w:noWrap w:val="0"/>
            <w:vAlign w:val="top"/>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主机</w:t>
            </w:r>
          </w:p>
        </w:tc>
        <w:tc>
          <w:tcPr>
            <w:tcW w:w="1152" w:type="dxa"/>
            <w:noWrap w:val="0"/>
            <w:vAlign w:val="top"/>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一</w:t>
            </w:r>
            <w:r>
              <w:rPr>
                <w:rFonts w:hint="eastAsia" w:ascii="宋体" w:hAnsi="宋体" w:eastAsia="宋体" w:cs="宋体"/>
                <w:bCs/>
                <w:sz w:val="21"/>
                <w:szCs w:val="21"/>
                <w:lang w:eastAsia="zh-CN"/>
              </w:rPr>
              <w:t>套</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p>
        </w:tc>
        <w:tc>
          <w:tcPr>
            <w:tcW w:w="2745" w:type="dxa"/>
            <w:noWrap w:val="0"/>
            <w:vAlign w:val="top"/>
          </w:tcPr>
          <w:p>
            <w:pPr>
              <w:spacing w:line="240" w:lineRule="auto"/>
              <w:rPr>
                <w:rFonts w:hint="eastAsia" w:ascii="宋体" w:hAnsi="宋体" w:eastAsia="宋体" w:cs="宋体"/>
                <w:bCs/>
                <w:sz w:val="21"/>
                <w:szCs w:val="21"/>
              </w:rPr>
            </w:pPr>
            <w:r>
              <w:rPr>
                <w:rFonts w:hint="eastAsia" w:ascii="宋体" w:hAnsi="宋体" w:eastAsia="宋体" w:cs="宋体"/>
                <w:bCs/>
                <w:sz w:val="21"/>
                <w:szCs w:val="21"/>
                <w:lang w:eastAsia="zh-CN"/>
              </w:rPr>
              <w:t>多普勒</w:t>
            </w:r>
            <w:r>
              <w:rPr>
                <w:rFonts w:hint="eastAsia" w:ascii="宋体" w:hAnsi="宋体" w:eastAsia="宋体" w:cs="宋体"/>
                <w:bCs/>
                <w:sz w:val="21"/>
                <w:szCs w:val="21"/>
              </w:rPr>
              <w:t>探头</w:t>
            </w:r>
          </w:p>
        </w:tc>
        <w:tc>
          <w:tcPr>
            <w:tcW w:w="1152" w:type="dxa"/>
            <w:noWrap w:val="0"/>
            <w:vAlign w:val="top"/>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一个</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3</w:t>
            </w:r>
          </w:p>
        </w:tc>
        <w:tc>
          <w:tcPr>
            <w:tcW w:w="2745" w:type="dxa"/>
            <w:noWrap w:val="0"/>
            <w:vAlign w:val="top"/>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耦合剂</w:t>
            </w:r>
          </w:p>
        </w:tc>
        <w:tc>
          <w:tcPr>
            <w:tcW w:w="1152" w:type="dxa"/>
            <w:noWrap w:val="0"/>
            <w:vAlign w:val="top"/>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一瓶</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2745" w:type="dxa"/>
            <w:noWrap w:val="0"/>
            <w:vAlign w:val="top"/>
          </w:tcPr>
          <w:p>
            <w:pPr>
              <w:spacing w:line="24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NPT记录盒</w:t>
            </w:r>
          </w:p>
        </w:tc>
        <w:tc>
          <w:tcPr>
            <w:tcW w:w="1152" w:type="dxa"/>
            <w:noWrap w:val="0"/>
            <w:vAlign w:val="top"/>
          </w:tcPr>
          <w:p>
            <w:pPr>
              <w:spacing w:line="24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四</w:t>
            </w:r>
            <w:r>
              <w:rPr>
                <w:rFonts w:hint="eastAsia" w:ascii="宋体" w:hAnsi="宋体" w:eastAsia="宋体" w:cs="宋体"/>
                <w:bCs/>
                <w:sz w:val="21"/>
                <w:szCs w:val="21"/>
                <w:lang w:eastAsia="zh-CN"/>
              </w:rPr>
              <w:t>个</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p>
        </w:tc>
        <w:tc>
          <w:tcPr>
            <w:tcW w:w="2745" w:type="dxa"/>
            <w:noWrap w:val="0"/>
            <w:vAlign w:val="top"/>
          </w:tcPr>
          <w:p>
            <w:pPr>
              <w:spacing w:line="24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NPT数据线</w:t>
            </w:r>
          </w:p>
        </w:tc>
        <w:tc>
          <w:tcPr>
            <w:tcW w:w="1152" w:type="dxa"/>
            <w:noWrap w:val="0"/>
            <w:vAlign w:val="top"/>
          </w:tcPr>
          <w:p>
            <w:pPr>
              <w:spacing w:line="24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一根</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2745" w:type="dxa"/>
            <w:noWrap w:val="0"/>
            <w:vAlign w:val="top"/>
          </w:tcPr>
          <w:p>
            <w:pPr>
              <w:spacing w:line="24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患者按键盒</w:t>
            </w:r>
          </w:p>
        </w:tc>
        <w:tc>
          <w:tcPr>
            <w:tcW w:w="1152" w:type="dxa"/>
            <w:noWrap w:val="0"/>
            <w:vAlign w:val="top"/>
          </w:tcPr>
          <w:p>
            <w:pPr>
              <w:spacing w:line="24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一个</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w:t>
            </w:r>
          </w:p>
        </w:tc>
        <w:tc>
          <w:tcPr>
            <w:tcW w:w="2745" w:type="dxa"/>
            <w:noWrap w:val="0"/>
            <w:vAlign w:val="top"/>
          </w:tcPr>
          <w:p>
            <w:pPr>
              <w:spacing w:line="24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 xml:space="preserve">震动探头     </w:t>
            </w:r>
          </w:p>
        </w:tc>
        <w:tc>
          <w:tcPr>
            <w:tcW w:w="1152" w:type="dxa"/>
            <w:noWrap w:val="0"/>
            <w:vAlign w:val="top"/>
          </w:tcPr>
          <w:p>
            <w:pPr>
              <w:spacing w:line="24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一个</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2745" w:type="dxa"/>
            <w:noWrap w:val="0"/>
            <w:vAlign w:val="top"/>
          </w:tcPr>
          <w:p>
            <w:pPr>
              <w:spacing w:line="24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电极线</w:t>
            </w:r>
          </w:p>
        </w:tc>
        <w:tc>
          <w:tcPr>
            <w:tcW w:w="1152" w:type="dxa"/>
            <w:noWrap w:val="0"/>
            <w:vAlign w:val="top"/>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一套</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w:t>
            </w:r>
          </w:p>
        </w:tc>
        <w:tc>
          <w:tcPr>
            <w:tcW w:w="2745" w:type="dxa"/>
            <w:noWrap w:val="0"/>
            <w:vAlign w:val="top"/>
          </w:tcPr>
          <w:p>
            <w:pPr>
              <w:spacing w:line="24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USB数据线</w:t>
            </w:r>
          </w:p>
        </w:tc>
        <w:tc>
          <w:tcPr>
            <w:tcW w:w="1152" w:type="dxa"/>
            <w:noWrap w:val="0"/>
            <w:vAlign w:val="top"/>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一根</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w:t>
            </w:r>
          </w:p>
        </w:tc>
        <w:tc>
          <w:tcPr>
            <w:tcW w:w="2745" w:type="dxa"/>
            <w:noWrap w:val="0"/>
            <w:vAlign w:val="top"/>
          </w:tcPr>
          <w:p>
            <w:pPr>
              <w:spacing w:line="240" w:lineRule="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电池</w:t>
            </w:r>
          </w:p>
        </w:tc>
        <w:tc>
          <w:tcPr>
            <w:tcW w:w="1152" w:type="dxa"/>
            <w:noWrap w:val="0"/>
            <w:vAlign w:val="top"/>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四个</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w:t>
            </w:r>
          </w:p>
        </w:tc>
        <w:tc>
          <w:tcPr>
            <w:tcW w:w="2745" w:type="dxa"/>
            <w:noWrap w:val="0"/>
            <w:vAlign w:val="top"/>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电源线、地线、保险丝</w:t>
            </w:r>
          </w:p>
        </w:tc>
        <w:tc>
          <w:tcPr>
            <w:tcW w:w="1152" w:type="dxa"/>
            <w:noWrap w:val="0"/>
            <w:vAlign w:val="top"/>
          </w:tcPr>
          <w:p>
            <w:pPr>
              <w:spacing w:line="24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一套</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w:t>
            </w:r>
          </w:p>
        </w:tc>
        <w:tc>
          <w:tcPr>
            <w:tcW w:w="2745" w:type="dxa"/>
            <w:noWrap w:val="0"/>
            <w:vAlign w:val="top"/>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打印机</w:t>
            </w:r>
          </w:p>
        </w:tc>
        <w:tc>
          <w:tcPr>
            <w:tcW w:w="1152" w:type="dxa"/>
            <w:noWrap w:val="0"/>
            <w:vAlign w:val="top"/>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一台</w:t>
            </w:r>
          </w:p>
        </w:tc>
        <w:tc>
          <w:tcPr>
            <w:tcW w:w="1148" w:type="dxa"/>
            <w:noWrap w:val="0"/>
            <w:vAlign w:val="top"/>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343" w:type="dxa"/>
            <w:vMerge w:val="continue"/>
            <w:noWrap w:val="0"/>
            <w:vAlign w:val="top"/>
          </w:tcPr>
          <w:p>
            <w:pPr>
              <w:jc w:val="center"/>
              <w:rPr>
                <w:rFonts w:hint="eastAsia" w:ascii="宋体" w:hAnsi="宋体" w:eastAsia="宋体" w:cs="宋体"/>
                <w:bCs/>
                <w:sz w:val="21"/>
                <w:szCs w:val="21"/>
              </w:rPr>
            </w:pPr>
          </w:p>
        </w:tc>
        <w:tc>
          <w:tcPr>
            <w:tcW w:w="89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w:t>
            </w:r>
          </w:p>
        </w:tc>
        <w:tc>
          <w:tcPr>
            <w:tcW w:w="2745"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产品三证、说明书、保修卡</w:t>
            </w:r>
          </w:p>
        </w:tc>
        <w:tc>
          <w:tcPr>
            <w:tcW w:w="1152" w:type="dxa"/>
            <w:noWrap w:val="0"/>
            <w:vAlign w:val="center"/>
          </w:tcPr>
          <w:p>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一套</w:t>
            </w:r>
          </w:p>
        </w:tc>
        <w:tc>
          <w:tcPr>
            <w:tcW w:w="1148" w:type="dxa"/>
            <w:noWrap w:val="0"/>
            <w:vAlign w:val="top"/>
          </w:tcPr>
          <w:p>
            <w:pPr>
              <w:spacing w:line="240" w:lineRule="auto"/>
              <w:jc w:val="center"/>
              <w:rPr>
                <w:rFonts w:hint="eastAsia" w:ascii="宋体" w:hAnsi="宋体" w:eastAsia="宋体" w:cs="宋体"/>
                <w:bCs/>
                <w:sz w:val="21"/>
                <w:szCs w:val="21"/>
                <w:lang w:val="en-US" w:eastAsia="zh-CN"/>
              </w:rPr>
            </w:pPr>
          </w:p>
        </w:tc>
      </w:tr>
    </w:tbl>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Chars="0" w:firstLine="480" w:firstLineChars="200"/>
        <w:jc w:val="both"/>
        <w:textAlignment w:val="auto"/>
        <w:rPr>
          <w:rFonts w:hint="eastAsia" w:asciiTheme="minorEastAsia" w:hAnsiTheme="minorEastAsia" w:eastAsiaTheme="minorEastAsia" w:cstheme="minorEastAsia"/>
          <w:bCs/>
          <w:color w:val="auto"/>
          <w:kern w:val="0"/>
          <w:sz w:val="24"/>
          <w:szCs w:val="24"/>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6、在投标文件中必须提供相关佐证资料（加盖原厂公章的技术参数、技术白皮书、说明书、彩页），并在响应表中备注该条参数响应或正偏离的佐证资料所在页码。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公开挂网</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 xml:space="preserve"> </w:t>
      </w:r>
      <w:r>
        <w:rPr>
          <w:rFonts w:hint="eastAsia" w:ascii="宋体" w:hAnsi="宋体" w:cs="宋体"/>
          <w:color w:val="0000FF"/>
          <w:sz w:val="24"/>
          <w:szCs w:val="24"/>
          <w:u w:val="single"/>
          <w:lang w:val="en-US" w:eastAsia="zh-CN"/>
        </w:rPr>
        <w:t>男性性功能检测仪</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 xml:space="preserve"> </w:t>
      </w:r>
      <w:r>
        <w:rPr>
          <w:rFonts w:hint="eastAsia" w:ascii="宋体" w:hAnsi="宋体" w:cs="宋体"/>
          <w:color w:val="0000FF"/>
          <w:sz w:val="24"/>
          <w:szCs w:val="24"/>
          <w:u w:val="single"/>
          <w:lang w:val="en-US" w:eastAsia="zh-CN"/>
        </w:rPr>
        <w:t>男性性功能检测仪</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FF"/>
                <w:kern w:val="0"/>
                <w:sz w:val="24"/>
                <w:szCs w:val="24"/>
                <w:lang w:val="en-US" w:eastAsia="zh-CN"/>
              </w:rPr>
              <w:t>男性性功能检测仪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  本合同约定价格包括且不限于设计费、材料费、人工费、安装费、包装费、运输费、装卸费、调试费、检测、检验费、税费、保险费、售后服务费等在内所有费用。</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eastAsia="宋体" w:cs="宋体"/>
          <w:color w:val="auto"/>
          <w:sz w:val="24"/>
          <w:szCs w:val="24"/>
          <w:lang w:val="en-US" w:eastAsia="zh-CN"/>
        </w:rPr>
        <w:t>接到甲方通知15个自然日内将</w:t>
      </w:r>
      <w:r>
        <w:rPr>
          <w:rFonts w:hint="default" w:ascii="宋体" w:hAnsi="宋体" w:eastAsia="宋体" w:cs="宋体"/>
          <w:color w:val="auto"/>
          <w:sz w:val="24"/>
          <w:szCs w:val="24"/>
          <w:lang w:val="en-US" w:eastAsia="zh-CN"/>
        </w:rPr>
        <w:t>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lang w:val="en-US" w:eastAsia="zh-CN"/>
        </w:rPr>
        <w:t>在1个自然日内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w:t>
      </w:r>
      <w:r>
        <w:rPr>
          <w:rFonts w:hint="eastAsia" w:ascii="宋体" w:hAnsi="宋体" w:eastAsia="宋体" w:cs="宋体"/>
          <w:color w:val="FF0000"/>
          <w:sz w:val="24"/>
          <w:szCs w:val="24"/>
          <w:highlight w:val="none"/>
        </w:rPr>
        <w:t>使用科室、设备科及相关部门</w:t>
      </w:r>
      <w:r>
        <w:rPr>
          <w:rFonts w:hint="eastAsia" w:ascii="宋体" w:hAnsi="宋体" w:eastAsia="宋体" w:cs="宋体"/>
          <w:color w:val="FF0000"/>
          <w:sz w:val="24"/>
          <w:szCs w:val="24"/>
          <w:highlight w:val="none"/>
          <w:lang w:val="en-US" w:eastAsia="zh-CN"/>
        </w:rPr>
        <w:t>进行</w:t>
      </w:r>
      <w:r>
        <w:rPr>
          <w:rFonts w:hint="eastAsia" w:ascii="宋体" w:hAnsi="宋体" w:eastAsia="宋体" w:cs="宋体"/>
          <w:color w:val="auto"/>
          <w:sz w:val="24"/>
          <w:szCs w:val="24"/>
          <w:highlight w:val="none"/>
          <w:lang w:val="en-US" w:eastAsia="zh-CN"/>
        </w:rPr>
        <w:t>总体验收，验收合格后签署总体验收报告单。如经甲方验收不合格，乙方应在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r>
        <w:rPr>
          <w:rFonts w:hint="eastAsia" w:ascii="宋体" w:hAnsi="宋体" w:cs="宋体"/>
          <w:color w:val="0000FF"/>
          <w:sz w:val="24"/>
          <w:szCs w:val="24"/>
          <w:lang w:val="en-US" w:eastAsia="zh-CN"/>
        </w:rPr>
        <w:t>一</w:t>
      </w:r>
      <w:r>
        <w:rPr>
          <w:rFonts w:hint="eastAsia" w:ascii="宋体" w:hAnsi="宋体" w:eastAsia="宋体" w:cs="宋体"/>
          <w:color w:val="auto"/>
          <w:sz w:val="24"/>
          <w:szCs w:val="24"/>
          <w:lang w:val="en-US" w:eastAsia="zh-CN"/>
        </w:rPr>
        <w:t>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562" w:firstLineChars="200"/>
        <w:textAlignment w:val="baseline"/>
        <w:rPr>
          <w:rFonts w:hint="eastAsia" w:asciiTheme="minorEastAsia" w:hAnsiTheme="minorEastAsia" w:eastAsiaTheme="minorEastAsia" w:cstheme="minorEastAsia"/>
          <w:bCs/>
          <w:color w:val="auto"/>
          <w:kern w:val="0"/>
          <w:sz w:val="28"/>
          <w:szCs w:val="28"/>
          <w:lang w:val="en-US" w:eastAsia="zh-CN" w:bidi="ar-SA"/>
        </w:rPr>
      </w:pPr>
    </w:p>
    <w:p>
      <w:pPr>
        <w:rPr>
          <w:rFonts w:hint="eastAsia"/>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pStyle w:val="2"/>
        <w:rPr>
          <w:rFonts w:hint="eastAsia"/>
          <w:lang w:val="en-US" w:eastAsia="zh-CN"/>
        </w:rPr>
      </w:pPr>
    </w:p>
    <w:p>
      <w:pPr>
        <w:rPr>
          <w:rFonts w:hint="eastAsia"/>
          <w:lang w:val="en-US" w:eastAsia="zh-CN"/>
        </w:rPr>
      </w:pPr>
    </w:p>
    <w:p>
      <w:pPr>
        <w:pStyle w:val="11"/>
        <w:rPr>
          <w:rFonts w:hint="eastAsia"/>
          <w:lang w:val="en-US" w:eastAsia="zh-CN"/>
        </w:rPr>
      </w:pPr>
    </w:p>
    <w:p>
      <w:pPr>
        <w:pStyle w:val="11"/>
        <w:rPr>
          <w:rFonts w:hint="eastAsia"/>
          <w:lang w:val="en-US" w:eastAsia="zh-CN"/>
        </w:rPr>
      </w:pPr>
    </w:p>
    <w:p>
      <w:pPr>
        <w:spacing w:line="360" w:lineRule="auto"/>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rPr>
          <w:rFonts w:hint="eastAsia" w:ascii="宋体" w:hAnsi="宋体" w:cs="宋体"/>
          <w:color w:val="auto"/>
          <w:sz w:val="44"/>
          <w:szCs w:val="4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4" w:name="_GoBack"/>
      <w:bookmarkEnd w:id="4"/>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D3CA35E7"/>
    <w:multiLevelType w:val="multilevel"/>
    <w:tmpl w:val="D3CA35E7"/>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F22833F1"/>
    <w:multiLevelType w:val="singleLevel"/>
    <w:tmpl w:val="F22833F1"/>
    <w:lvl w:ilvl="0" w:tentative="0">
      <w:start w:val="1"/>
      <w:numFmt w:val="decimal"/>
      <w:suff w:val="nothing"/>
      <w:lvlText w:val="%1、"/>
      <w:lvlJc w:val="left"/>
    </w:lvl>
  </w:abstractNum>
  <w:abstractNum w:abstractNumId="3">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E331420"/>
    <w:rsid w:val="0EDD1643"/>
    <w:rsid w:val="10914EF9"/>
    <w:rsid w:val="12080B62"/>
    <w:rsid w:val="12994AC5"/>
    <w:rsid w:val="129F447F"/>
    <w:rsid w:val="1AF56B46"/>
    <w:rsid w:val="1DB933AD"/>
    <w:rsid w:val="1F796B24"/>
    <w:rsid w:val="1FE73549"/>
    <w:rsid w:val="20B41DA7"/>
    <w:rsid w:val="28E81B29"/>
    <w:rsid w:val="29B45A41"/>
    <w:rsid w:val="2C7642D0"/>
    <w:rsid w:val="2DD77C64"/>
    <w:rsid w:val="2DDA1E78"/>
    <w:rsid w:val="2EAC037F"/>
    <w:rsid w:val="2EB67A5C"/>
    <w:rsid w:val="302741D2"/>
    <w:rsid w:val="308B184D"/>
    <w:rsid w:val="340F06E9"/>
    <w:rsid w:val="372F7378"/>
    <w:rsid w:val="397348CD"/>
    <w:rsid w:val="3B3B544D"/>
    <w:rsid w:val="3B654F2B"/>
    <w:rsid w:val="3BB72BAE"/>
    <w:rsid w:val="3E584E51"/>
    <w:rsid w:val="429A4992"/>
    <w:rsid w:val="435B161D"/>
    <w:rsid w:val="43B25DAC"/>
    <w:rsid w:val="4B7F39F4"/>
    <w:rsid w:val="4BAE646F"/>
    <w:rsid w:val="4CAC1559"/>
    <w:rsid w:val="4DCD6AB3"/>
    <w:rsid w:val="50540C20"/>
    <w:rsid w:val="51AC28BD"/>
    <w:rsid w:val="611B6B1B"/>
    <w:rsid w:val="64133D6A"/>
    <w:rsid w:val="678E4F5D"/>
    <w:rsid w:val="680E122C"/>
    <w:rsid w:val="6DE375E4"/>
    <w:rsid w:val="71584067"/>
    <w:rsid w:val="74566F5C"/>
    <w:rsid w:val="750117A8"/>
    <w:rsid w:val="77423DFF"/>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2023-10-11T00:56:16Z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3505A2AB25E048A4A9B0E6A6741CA1BA_11</vt:lpwstr>
  </property>
</Properties>
</file>