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（监护仪</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十一</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监护仪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监护仪</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监护仪</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监护仪2台，血流动力模块1个</w:t>
            </w:r>
            <w:bookmarkStart w:id="4" w:name="_GoBack"/>
            <w:bookmarkEnd w:id="4"/>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18</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1.监护仪结构：</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模块化插件式床边监护仪，主机、显示屏和插件槽一体化设计，主机插槽数≥4个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监护仪主机（非辅助插件箱）每个槽位均具备插件模块红外通讯接口以及金属硬件通讯接口（非供电接口），保证模块通讯速率及稳定性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≥15英寸彩色电容触摸屏，高分辨率≥1280×800像素，≥8通道显示，显示屏亮度自动调节，屏幕支持手势滑动操作，支持穿戴医用防护手套操作</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1.4.</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采用无风扇设计</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可内置高能锂电池，供电时间≥4小时</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1.6.</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配置≥4个USB接口，支持连接存储介质、鼠标、键盘、条码扫描枪等USB设备</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2监测参数：</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基本功能模块支持心电，呼吸，心率，无创血压，血氧饱和度，脉搏，双通道体温和双通道有创血压的同时监测</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2.2</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标配基本功能模块支持升级从监护仪拔出后作为一个独立的监护仪支持病人的无缝转移，插入监护仪操作插槽作为主机模块，具有独立操作显示屏，屏幕尺寸≥5.5英寸，内置锂电池供电≥4小时，无风扇设计</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2.3.</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ECG支持3/5导心电监测，可选配6/12导联心电监测。</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2.4.</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支持房颤及室上性心律失常分析功能，如：室上性心动过速，SVCs/min等，标配支持≥27种实时心律失常分析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2.5.</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支持≥3通道心电波形同步分析，可进行多导心电分析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2.6.</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提供ST段分析功能，适用于成人，小儿和新生儿，支持在专门的窗口中分组显示心脏前壁，下壁和侧壁的ST实时片段和参考片段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2.7.</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支持RR呼吸率测量，测量范围：1～200rpm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2.8.</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具有QT/QTc实时连续测量功能，提供QT，QTc和ΔQTc参数值的显示</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2.9.</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无创血压适用于成人，小儿和新生儿</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2.10.</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无创血压提供手动、自动间隔、连续、序列、整点五种 测量模式</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2.11.</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提供辅助静脉穿刺功能</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2.12.</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NIBP 成人病人类型收缩压测量：25～290mmHg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2.13.</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血氧监测适用于成人，小儿和新生儿</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2.14.</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提供灌注指数（PI）的监测</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2.15.</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配置指套式血氧探头，支持浸泡清洁与消毒，防水等级IPx7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2.16.</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支持双通道有创压IBP监测，支持升级多达6通道有创压监测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2.17.</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有创压适用于成人，小儿和新生儿</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2.18.</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IBP有创压测量范围：-50～360mmHg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2.19.</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提供肺动脉锲压（PAWP）的监测和PPV参数监测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2.30.</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支持多达6道IBP波形叠加显示，满足临床对比查看和节约显示空间的需求</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2.31.</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支持升级主流、旁流、微流EtCO2监测模块，旁流EtCO2监测模块支持升级顺磁氧监测技术 进行氧气监测，水槽要求易用快速更换</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2.32.支持升级模块，进行RM呼吸力学监测，提供≥18项呼吸力学参数参数指标，可监测包括： PIF峰值吸气流量，PEF峰值呼气流量， WOB病人呼吸功，NIF负吸入压力，RSBI浅呼吸指数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2.33.</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支持升级模块，进行ICG参数监测，可无创监测患者连续心排量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2.34.</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支持升级模块，可与主流品牌的麻醉机、输注泵产品相连，实现麻醉机、输注泵设备的信息在监护仪上显示、存储、记录、打印或者用于参与计算。</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3.系统功能：</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3.1.</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具有图形化报警指示功能，看报警信息更容易</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3.2.</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具有报警升级功能，当参数报警经过一定的时间未被处理或伴发了其他报警，就会升级到更高一个级别</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3.3.</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具有特殊报警音，当监护仪在病人发生致命性参数报警时，发出特殊的报警音进行提示病人处于危急状态</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3.4.</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支持根据病人的参数趋势变化，自动推送推荐报警限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3.5.</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具备参数组合报警功能，可对患者同时多个参数变化给出统一报警提示，预示病人不同生理系统状态改变，提供≥10个预设组合报警，并允许自定义≥10个组合报警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3.6.</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标配具备血液动力学，药物计算，氧合计算，通气计算和肾功能计算功能，并提供产品、手册截图证明材料</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3.7.</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提供血流动力学软件工具，显示完整血流动力学参数，并以图形化界面显示病人心脏收缩力，外周血管阻力等状态，提供电子化血流动力学实验记录，重点参数蛛网图显示评估病人相关参数变化，需提供产品截图证明材料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3.8.</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提供输注泵用药信息回顾工具，可同时间轴显示病人生命体征参数及用药信息回顾，呈现病人生命体征变化趋势与药物输注流速变化之间的关系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3.9.</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支持≥100小时趋势表和趋势图回顾 ，最小分辨率1分钟</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4.0.</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支持≥800条事件 回顾。每条报警事件至少能够存储32秒三道相关波形，以及报警触发时所有测量参数值</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4.1.</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具备≥40小时全息波形 的存储与回顾功能</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4.2.</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支持≥100小时ST波形片段的存储与回顾</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4.3.</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患者离开科室，监护仪状态由接收患者到解除患者后，患者数据不删除，支持在监护仪回顾历史病人数据</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4.4.</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 xml:space="preserve">工作模式提供：监护模式、待机模式、抢救模式，体外循环模式、插管模式，夜间模式、隐私模式、演示模式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宋体" w:hAnsi="宋体" w:cs="宋体"/>
          <w:color w:val="auto"/>
          <w:sz w:val="24"/>
          <w:szCs w:val="24"/>
          <w:lang w:val="en-US" w:eastAsia="zh-CN"/>
        </w:rPr>
        <w:t>4.5.</w:t>
      </w:r>
      <w:r>
        <w:rPr>
          <w:rFonts w:hint="eastAsia" w:ascii="宋体" w:hAnsi="宋体" w:cs="宋体"/>
          <w:color w:val="auto"/>
          <w:sz w:val="24"/>
          <w:szCs w:val="24"/>
          <w:lang w:val="en-US" w:eastAsia="zh-CN"/>
        </w:rPr>
        <w:tab/>
      </w:r>
      <w:r>
        <w:rPr>
          <w:rFonts w:hint="eastAsia" w:ascii="宋体" w:hAnsi="宋体" w:cs="宋体"/>
          <w:color w:val="auto"/>
          <w:sz w:val="24"/>
          <w:szCs w:val="24"/>
          <w:lang w:val="en-US" w:eastAsia="zh-CN"/>
        </w:rPr>
        <w:t>支持与除颤监护仪，遥测，生命体征监测仪、呼吸机混合联通至中心监护系统，实现护士站的集中管理</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监护仪                 2台</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PICCO血流动力学模块   1块</w:t>
      </w: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6、在投标文件中必须提供相关佐证资料（原厂的技术参数、技术白皮书、说明书、彩页），并在响应表中备注该条参数响应或正偏离的佐证资料所在页码。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医院公开挂网采购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监护仪及PICCO血流动力学模块 </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监护仪及PICCO血流动力学模块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监护仪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rPr>
              <w:t>PICCO血流动力学模块</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1块</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1.2 本合同约定</w:t>
      </w:r>
      <w:r>
        <w:rPr>
          <w:rFonts w:hint="eastAsia" w:ascii="宋体" w:hAnsi="宋体" w:eastAsia="宋体" w:cs="宋体"/>
          <w:color w:val="000000" w:themeColor="text1"/>
          <w:sz w:val="24"/>
          <w:szCs w:val="24"/>
          <w:lang w:val="en-US" w:eastAsia="zh-CN"/>
          <w14:textFill>
            <w14:solidFill>
              <w14:schemeClr w14:val="tx1"/>
            </w14:solidFill>
          </w14:textFill>
        </w:rPr>
        <w:t>价格为固定价格，在本合同履行期间，不因市场价格波动作任何调整。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eastAsia="宋体" w:cs="宋体"/>
          <w:color w:val="auto"/>
          <w:sz w:val="24"/>
          <w:szCs w:val="24"/>
          <w:lang w:val="en-US" w:eastAsia="zh-CN"/>
        </w:rPr>
        <w:t>接到甲方通知15日内</w:t>
      </w:r>
      <w:r>
        <w:rPr>
          <w:rFonts w:hint="default" w:ascii="宋体" w:hAnsi="宋体" w:eastAsia="宋体" w:cs="宋体"/>
          <w:color w:val="auto"/>
          <w:sz w:val="24"/>
          <w:szCs w:val="24"/>
          <w:lang w:val="en-US" w:eastAsia="zh-CN"/>
        </w:rPr>
        <w:t>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在到货后1日内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4</w:t>
      </w:r>
      <w:r>
        <w:rPr>
          <w:rFonts w:hint="eastAsia" w:ascii="宋体" w:hAnsi="宋体" w:eastAsia="宋体" w:cs="宋体"/>
          <w:color w:val="000000" w:themeColor="text1"/>
          <w:sz w:val="24"/>
          <w:szCs w:val="24"/>
          <w:lang w:val="en-US" w:eastAsia="zh-CN"/>
          <w14:textFill>
            <w14:solidFill>
              <w14:schemeClr w14:val="tx1"/>
            </w14:solidFill>
          </w14:textFill>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4.6.1甲方的文书送达地址：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湖南省娄底市娄星区长青中街51号娄底市中心医院</w:t>
      </w:r>
      <w:r>
        <w:rPr>
          <w:rFonts w:hint="eastAsia" w:ascii="宋体" w:hAnsi="宋体" w:eastAsia="宋体" w:cs="宋体"/>
          <w:color w:val="000000" w:themeColor="text1"/>
          <w:sz w:val="24"/>
          <w:szCs w:val="24"/>
          <w:lang w:val="en-US" w:eastAsia="zh-CN"/>
          <w14:textFill>
            <w14:solidFill>
              <w14:schemeClr w14:val="tx1"/>
            </w14:solidFill>
          </w14:textFill>
        </w:rPr>
        <w:t>；收件人：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3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w:t>
      </w:r>
      <w:r>
        <w:rPr>
          <w:rFonts w:hint="eastAsia" w:ascii="宋体" w:hAnsi="宋体" w:eastAsia="宋体" w:cs="宋体"/>
          <w:color w:val="000000" w:themeColor="text1"/>
          <w:sz w:val="24"/>
          <w:szCs w:val="24"/>
          <w:lang w:val="en-US" w:eastAsia="zh-CN"/>
          <w14:textFill>
            <w14:solidFill>
              <w14:schemeClr w14:val="tx1"/>
            </w14:solidFill>
          </w14:textFill>
        </w:rPr>
        <w:t>期内出现质量问题，乙方应在接到甲方通知（包括电话通知）后24小时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质保期届满后，如设备出现问题，乙方应在接到甲方通知（包括电话通知）后24小时内响应，响应后4小时上门服务，相关费用由甲方承担。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3</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年的10个工作日内，向乙方免息支付结算总价款的10%。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乙方应在甲方首次付款前，向甲方提供以自己名义开具的与结算总价款对应的增值税普通发票，如因乙方未及时提供发票，甲方有权顺延付款期限。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7.1 乙方履行本合同过程中发生事故，包括但不限于在运输、装卸、安装及调试过</w:t>
      </w:r>
      <w:r>
        <w:rPr>
          <w:rFonts w:hint="eastAsia" w:ascii="宋体" w:hAnsi="宋体" w:eastAsia="宋体" w:cs="宋体"/>
          <w:color w:val="000000" w:themeColor="text1"/>
          <w:sz w:val="24"/>
          <w:szCs w:val="24"/>
          <w:lang w:val="en-US" w:eastAsia="zh-CN"/>
          <w14:textFill>
            <w14:solidFill>
              <w14:schemeClr w14:val="tx1"/>
            </w14:solidFill>
          </w14:textFill>
        </w:rPr>
        <w:t>程中发生事故，给甲方、乙方或第三方人身、财产造成的所有损失，均由乙方负责处理和承担全部法律责任、经济赔偿责任。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 乙方出现以下违约情形之一的，甲方有权拒绝支付任何价款并解除合同</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8.2.1 乙方逾期</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如双方本合同履行中发生争议，双方应先协商解决，协商解决不成的，任何一方可向甲方所在地有管辖权的人民法院提起诉讼解决。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10.3 本合同一式伍份，甲方执肆份、乙方执壹份，自双方签字并盖章之日</w:t>
      </w:r>
      <w:r>
        <w:rPr>
          <w:rFonts w:hint="eastAsia" w:ascii="宋体" w:hAnsi="宋体" w:eastAsia="宋体" w:cs="宋体"/>
          <w:color w:val="auto"/>
          <w:sz w:val="24"/>
          <w:szCs w:val="24"/>
          <w:lang w:val="en-US" w:eastAsia="zh-CN"/>
        </w:rPr>
        <w:t>起生效。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rPr>
          <w:rFonts w:hint="eastAsia"/>
          <w:lang w:val="en-US" w:eastAsia="zh-CN"/>
        </w:rPr>
      </w:pPr>
    </w:p>
    <w:p>
      <w:pPr>
        <w:spacing w:line="360" w:lineRule="auto"/>
        <w:ind w:firstLine="880" w:firstLineChars="200"/>
        <w:rPr>
          <w:rFonts w:hint="eastAsia" w:ascii="宋体" w:hAnsi="宋体" w:cs="宋体"/>
          <w:color w:val="auto"/>
          <w:sz w:val="44"/>
          <w:szCs w:val="44"/>
          <w:lang w:val="en-US" w:eastAsia="zh-CN"/>
        </w:rPr>
      </w:pPr>
    </w:p>
    <w:p>
      <w:pPr>
        <w:spacing w:line="360" w:lineRule="auto"/>
        <w:ind w:firstLine="880" w:firstLineChars="200"/>
        <w:rPr>
          <w:rFonts w:hint="eastAsia" w:ascii="宋体" w:hAnsi="宋体" w:cs="宋体"/>
          <w:color w:val="auto"/>
          <w:sz w:val="44"/>
          <w:szCs w:val="44"/>
          <w:lang w:val="en-US" w:eastAsia="zh-CN"/>
        </w:rPr>
      </w:pPr>
    </w:p>
    <w:p>
      <w:pPr>
        <w:spacing w:line="360" w:lineRule="auto"/>
        <w:ind w:firstLine="880" w:firstLineChars="200"/>
        <w:rPr>
          <w:rFonts w:hint="eastAsia" w:ascii="宋体" w:hAnsi="宋体" w:cs="宋体"/>
          <w:color w:val="auto"/>
          <w:sz w:val="44"/>
          <w:szCs w:val="44"/>
          <w:lang w:val="en-US" w:eastAsia="zh-CN"/>
        </w:rPr>
      </w:pPr>
    </w:p>
    <w:p>
      <w:pPr>
        <w:pStyle w:val="2"/>
        <w:rPr>
          <w:rFonts w:hint="eastAsia"/>
          <w:lang w:val="en-US" w:eastAsia="zh-CN"/>
        </w:rPr>
      </w:pPr>
    </w:p>
    <w:p>
      <w:pPr>
        <w:rPr>
          <w:rFonts w:hint="eastAsia"/>
          <w:lang w:val="en-US" w:eastAsia="zh-CN"/>
        </w:rPr>
      </w:pPr>
    </w:p>
    <w:p>
      <w:pPr>
        <w:pStyle w:val="11"/>
        <w:rPr>
          <w:rFonts w:hint="eastAsia"/>
          <w:lang w:val="en-US" w:eastAsia="zh-CN"/>
        </w:rPr>
      </w:pPr>
    </w:p>
    <w:p>
      <w:pPr>
        <w:pStyle w:val="11"/>
        <w:rPr>
          <w:rFonts w:hint="eastAsia"/>
          <w:lang w:val="en-US" w:eastAsia="zh-CN"/>
        </w:rPr>
      </w:pPr>
    </w:p>
    <w:p>
      <w:pPr>
        <w:spacing w:line="360" w:lineRule="auto"/>
        <w:rPr>
          <w:rFonts w:hint="eastAsia" w:ascii="宋体" w:hAnsi="宋体" w:cs="宋体"/>
          <w:color w:val="auto"/>
          <w:sz w:val="44"/>
          <w:szCs w:val="4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6E91EC4"/>
    <w:rsid w:val="0A4A04E9"/>
    <w:rsid w:val="0DC219D0"/>
    <w:rsid w:val="0E331420"/>
    <w:rsid w:val="0EDD1643"/>
    <w:rsid w:val="0F753717"/>
    <w:rsid w:val="0FD665BE"/>
    <w:rsid w:val="10914EF9"/>
    <w:rsid w:val="12080B62"/>
    <w:rsid w:val="12994AC5"/>
    <w:rsid w:val="129F447F"/>
    <w:rsid w:val="15675A4C"/>
    <w:rsid w:val="1AF56B46"/>
    <w:rsid w:val="1F796B24"/>
    <w:rsid w:val="1FE73549"/>
    <w:rsid w:val="20B41DA7"/>
    <w:rsid w:val="21026F8C"/>
    <w:rsid w:val="28E81B29"/>
    <w:rsid w:val="29B45A41"/>
    <w:rsid w:val="2A262830"/>
    <w:rsid w:val="2C7642D0"/>
    <w:rsid w:val="2DD77C64"/>
    <w:rsid w:val="2DDA1E78"/>
    <w:rsid w:val="2EAC037F"/>
    <w:rsid w:val="2EB67A5C"/>
    <w:rsid w:val="302741D2"/>
    <w:rsid w:val="308B184D"/>
    <w:rsid w:val="340F06E9"/>
    <w:rsid w:val="372F7378"/>
    <w:rsid w:val="397348CD"/>
    <w:rsid w:val="3B3B544D"/>
    <w:rsid w:val="3B654F2B"/>
    <w:rsid w:val="3BB72BAE"/>
    <w:rsid w:val="3C9F0607"/>
    <w:rsid w:val="3DDC47DD"/>
    <w:rsid w:val="3E584E51"/>
    <w:rsid w:val="429A4992"/>
    <w:rsid w:val="435B161D"/>
    <w:rsid w:val="43B25DAC"/>
    <w:rsid w:val="4B7F39F4"/>
    <w:rsid w:val="4BAE646F"/>
    <w:rsid w:val="4CAC1559"/>
    <w:rsid w:val="4DCD6AB3"/>
    <w:rsid w:val="4EA93938"/>
    <w:rsid w:val="50540C20"/>
    <w:rsid w:val="51AC28BD"/>
    <w:rsid w:val="5F8F066E"/>
    <w:rsid w:val="611B6B1B"/>
    <w:rsid w:val="64133D6A"/>
    <w:rsid w:val="678E4F5D"/>
    <w:rsid w:val="680E122C"/>
    <w:rsid w:val="6DE375E4"/>
    <w:rsid w:val="71584067"/>
    <w:rsid w:val="74566F5C"/>
    <w:rsid w:val="750117A8"/>
    <w:rsid w:val="77423DFF"/>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1</TotalTime>
  <ScaleCrop>false</ScaleCrop>
  <LinksUpToDate>false</LinksUpToDate>
  <CharactersWithSpaces>8973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2023-11-10T01:17:49Z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3505A2AB25E048A4A9B0E6A6741CA1BA_11</vt:lpwstr>
  </property>
</Properties>
</file>