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13"/>
        <w:snapToGrid w:val="0"/>
        <w:jc w:val="center"/>
        <w:rPr>
          <w:rFonts w:ascii="Arial" w:hAnsi="Arial" w:cs="Arial"/>
          <w:color w:val="auto"/>
          <w:sz w:val="32"/>
          <w:szCs w:val="32"/>
        </w:rPr>
      </w:pPr>
    </w:p>
    <w:p>
      <w:pPr>
        <w:pStyle w:val="13"/>
        <w:snapToGrid w:val="0"/>
        <w:jc w:val="center"/>
        <w:rPr>
          <w:rFonts w:ascii="Arial" w:hAnsi="Arial" w:cs="Arial"/>
          <w:color w:val="auto"/>
          <w:sz w:val="32"/>
          <w:szCs w:val="32"/>
        </w:rPr>
      </w:pPr>
    </w:p>
    <w:p>
      <w:pPr>
        <w:pStyle w:val="13"/>
        <w:snapToGrid w:val="0"/>
        <w:jc w:val="center"/>
        <w:rPr>
          <w:rFonts w:ascii="Arial" w:hAnsi="Arial" w:cs="Arial"/>
          <w:color w:val="auto"/>
          <w:sz w:val="32"/>
          <w:szCs w:val="32"/>
        </w:rPr>
      </w:pPr>
    </w:p>
    <w:p>
      <w:pPr>
        <w:spacing w:line="360" w:lineRule="auto"/>
        <w:rPr>
          <w:rFonts w:hint="eastAsia"/>
          <w:bCs/>
          <w:color w:val="auto"/>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default"/>
          <w:bCs/>
          <w:color w:val="auto"/>
          <w:sz w:val="32"/>
          <w:szCs w:val="32"/>
          <w:lang w:val="en-US"/>
        </w:rPr>
      </w:pPr>
      <w:r>
        <w:rPr>
          <w:rFonts w:hint="eastAsia"/>
          <w:bCs/>
          <w:color w:val="auto"/>
          <w:sz w:val="32"/>
          <w:szCs w:val="32"/>
        </w:rPr>
        <w:t>项目名称：</w:t>
      </w:r>
      <w:r>
        <w:rPr>
          <w:rFonts w:hint="eastAsia" w:ascii="宋体" w:hAnsi="宋体"/>
          <w:color w:val="auto"/>
          <w:sz w:val="32"/>
          <w:szCs w:val="32"/>
          <w:lang w:eastAsia="zh-CN"/>
        </w:rPr>
        <w:t>医用瓶氧、特殊气体项目</w:t>
      </w:r>
      <w:r>
        <w:rPr>
          <w:rFonts w:hint="eastAsia" w:ascii="宋体" w:hAnsi="宋体"/>
          <w:color w:val="auto"/>
          <w:sz w:val="32"/>
          <w:szCs w:val="32"/>
          <w:lang w:val="en-US" w:eastAsia="zh-CN"/>
        </w:rPr>
        <w:t>招标文件</w:t>
      </w:r>
    </w:p>
    <w:p>
      <w:pPr>
        <w:jc w:val="center"/>
        <w:rPr>
          <w:rFonts w:hint="default" w:ascii="Times New Roman" w:hAnsi="Times New Roman" w:eastAsia="宋体" w:cs="Times New Roman"/>
          <w:b/>
          <w:bCs/>
          <w:color w:val="auto"/>
          <w:kern w:val="44"/>
          <w:sz w:val="32"/>
          <w:szCs w:val="32"/>
          <w:lang w:val="en-US" w:eastAsia="zh-CN" w:bidi="ar-SA"/>
        </w:rPr>
      </w:pPr>
      <w:r>
        <w:rPr>
          <w:rFonts w:hint="eastAsia" w:cs="Times New Roman"/>
          <w:b/>
          <w:bCs/>
          <w:color w:val="auto"/>
          <w:kern w:val="44"/>
          <w:sz w:val="32"/>
          <w:szCs w:val="32"/>
          <w:lang w:val="en-US" w:eastAsia="zh-CN" w:bidi="ar-SA"/>
        </w:rPr>
        <w:t>（</w:t>
      </w:r>
      <w:r>
        <w:rPr>
          <w:rFonts w:hint="eastAsia" w:ascii="Times New Roman" w:hAnsi="Times New Roman" w:eastAsia="宋体" w:cs="Times New Roman"/>
          <w:b/>
          <w:bCs/>
          <w:color w:val="auto"/>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三</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w:t>
      </w:r>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医用瓶氧、特殊气体项目</w:t>
      </w:r>
      <w:r>
        <w:rPr>
          <w:rFonts w:hint="eastAsia" w:ascii="仿宋" w:hAnsi="仿宋" w:eastAsia="仿宋" w:cs="仿宋"/>
          <w:color w:val="auto"/>
          <w:sz w:val="28"/>
          <w:szCs w:val="28"/>
          <w:lang w:val="en-US" w:eastAsia="zh-CN"/>
        </w:rPr>
        <w:t>进行院内挂网招标，将招标事项公告如下：</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一、项目信息</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项目名称：医用瓶氧、特殊气体项目采购项目</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采购方式</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w:t>
      </w:r>
      <w:r>
        <w:rPr>
          <w:rFonts w:hint="eastAsia" w:ascii="仿宋" w:hAnsi="仿宋" w:eastAsia="仿宋" w:cs="仿宋"/>
          <w:color w:val="000000"/>
          <w:kern w:val="0"/>
          <w:sz w:val="28"/>
          <w:szCs w:val="28"/>
          <w:lang w:val="en-US" w:eastAsia="zh-CN" w:bidi="ar-SA"/>
        </w:rPr>
        <w:t>院内公开挂网，最低价评分（投标人应按招标要求填写相应表格，本项目报价为一轮报价，投标文件满足招标文件全部实质性要求，且投标报价最低的投标人为中标候选人。</w:t>
      </w:r>
      <w:r>
        <w:rPr>
          <w:rFonts w:hint="default" w:ascii="仿宋" w:hAnsi="仿宋" w:eastAsia="仿宋" w:cs="仿宋"/>
          <w:color w:val="000000"/>
          <w:kern w:val="0"/>
          <w:sz w:val="28"/>
          <w:szCs w:val="28"/>
          <w:lang w:val="en-US" w:eastAsia="zh-CN" w:bidi="ar-SA"/>
        </w:rPr>
        <w:t>如有多个并列最低价，则由并列最低价投标人再次报价，直至出现最低报价为止。</w:t>
      </w:r>
    </w:p>
    <w:p>
      <w:pPr>
        <w:pStyle w:val="13"/>
        <w:numPr>
          <w:ilvl w:val="0"/>
          <w:numId w:val="0"/>
        </w:numPr>
        <w:tabs>
          <w:tab w:val="left" w:pos="312"/>
        </w:tabs>
        <w:snapToGrid w:val="0"/>
        <w:spacing w:line="480" w:lineRule="auto"/>
        <w:ind w:firstLine="560" w:firstLineChars="200"/>
        <w:rPr>
          <w:rFonts w:hint="default"/>
          <w:bCs/>
          <w:color w:val="auto"/>
          <w:sz w:val="28"/>
          <w:szCs w:val="28"/>
          <w:lang w:val="en-US" w:eastAsia="zh-CN"/>
        </w:rPr>
      </w:pPr>
      <w:bookmarkStart w:id="4" w:name="_GoBack"/>
      <w:bookmarkEnd w:id="4"/>
      <w:r>
        <w:rPr>
          <w:rFonts w:hint="eastAsia" w:ascii="仿宋" w:hAnsi="仿宋" w:eastAsia="仿宋" w:cs="仿宋"/>
          <w:color w:val="auto"/>
          <w:kern w:val="2"/>
          <w:sz w:val="28"/>
          <w:szCs w:val="28"/>
          <w:lang w:val="en-US" w:eastAsia="zh-CN" w:bidi="ar-SA"/>
        </w:rPr>
        <w:t>2、项目要求独立承包，院方不再支付项目有关的其他费用，无论采购过程、结果如何(如开标延期</w:t>
      </w:r>
      <w:r>
        <w:rPr>
          <w:rFonts w:hint="eastAsia"/>
          <w:bCs/>
          <w:color w:val="auto"/>
          <w:sz w:val="28"/>
          <w:szCs w:val="28"/>
          <w:lang w:val="en-US" w:eastAsia="zh-CN"/>
        </w:rPr>
        <w:t>、中途终止采购、流标、废标等情况)，投标人均须承担自己参加采购采购活动所产生的所有费用。</w:t>
      </w:r>
    </w:p>
    <w:bookmarkEnd w:id="0"/>
    <w:p>
      <w:pPr>
        <w:pStyle w:val="13"/>
        <w:keepNext w:val="0"/>
        <w:keepLines w:val="0"/>
        <w:pageBreakBefore w:val="0"/>
        <w:widowControl w:val="0"/>
        <w:numPr>
          <w:ilvl w:val="0"/>
          <w:numId w:val="0"/>
        </w:numPr>
        <w:tabs>
          <w:tab w:val="left" w:pos="312"/>
        </w:tabs>
        <w:kinsoku/>
        <w:wordWrap/>
        <w:overflowPunct/>
        <w:topLinePunct w:val="0"/>
        <w:bidi w:val="0"/>
        <w:snapToGrid w:val="0"/>
        <w:spacing w:line="48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三、投标人资格要求</w:t>
      </w:r>
    </w:p>
    <w:p>
      <w:pPr>
        <w:keepNext w:val="0"/>
        <w:keepLines w:val="0"/>
        <w:pageBreakBefore w:val="0"/>
        <w:widowControl w:val="0"/>
        <w:kinsoku/>
        <w:wordWrap/>
        <w:overflowPunct/>
        <w:topLinePunct w:val="0"/>
        <w:autoSpaceDE/>
        <w:autoSpaceDN/>
        <w:bidi w:val="0"/>
        <w:adjustRightInd/>
        <w:snapToGrid/>
        <w:spacing w:line="640" w:lineRule="exact"/>
        <w:ind w:firstLine="1120" w:firstLineChars="4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提供公司营业执照复印件、组织机构代码证、国家药监局审发的批准文号、药品GMP认证书、药品生产许可证、药品注册批件、特种设备检验检测机构核准证。法人授权委托文书、委托人身份证原件及复印件、依法缴纳税收与社会保险等相关资质证明（所有证件需加盖竞标单位公章）。</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u w:val="none" w:color="auto"/>
          <w:lang w:eastAsia="zh-CN"/>
        </w:rPr>
      </w:pPr>
      <w:r>
        <w:rPr>
          <w:rFonts w:hint="eastAsia" w:ascii="仿宋" w:hAnsi="仿宋" w:eastAsia="仿宋" w:cs="仿宋"/>
          <w:color w:val="auto"/>
          <w:sz w:val="28"/>
          <w:szCs w:val="28"/>
          <w:u w:val="none" w:color="auto"/>
        </w:rPr>
        <w:t xml:space="preserve">具有独立法人资格并依法取得企业营业执照，营业执照处于有效期； </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本项目不接受联合体投标</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法定代表人的有效授权书</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原件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被授权代表身份证原件加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投标单位依法缴纳税收和社保的证明材料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从事本项目国家强制规定须具备的资质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资格证明材料承诺函。</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 </w:t>
      </w:r>
      <w:r>
        <w:rPr>
          <w:rFonts w:hint="eastAsia" w:ascii="仿宋" w:hAnsi="仿宋" w:eastAsia="仿宋" w:cs="仿宋"/>
          <w:color w:val="auto"/>
          <w:sz w:val="28"/>
          <w:szCs w:val="28"/>
          <w:lang w:val="en-US" w:eastAsia="zh-CN"/>
        </w:rPr>
        <w:t>参加政府采购活动近3年内，在经营活动中没有重大违法记录，无质量、安全事故发生；</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投标人未列入经营异常名录和未列入严重违法失信企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单位负责人为同一人或者存在直接控股、管理关系的不同投标人，不得参加本次采购活动。  </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四、投标截止时间、开标时间及地点：</w:t>
      </w:r>
    </w:p>
    <w:p>
      <w:pPr>
        <w:pStyle w:val="13"/>
        <w:numPr>
          <w:ilvl w:val="0"/>
          <w:numId w:val="0"/>
        </w:numPr>
        <w:tabs>
          <w:tab w:val="left" w:pos="312"/>
        </w:tabs>
        <w:snapToGrid w:val="0"/>
        <w:spacing w:line="480" w:lineRule="auto"/>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1.投标截止时间、开标时间：具体时间电话通知</w:t>
      </w:r>
    </w:p>
    <w:p>
      <w:pPr>
        <w:pStyle w:val="13"/>
        <w:numPr>
          <w:ilvl w:val="0"/>
          <w:numId w:val="0"/>
        </w:numPr>
        <w:tabs>
          <w:tab w:val="left" w:pos="312"/>
        </w:tabs>
        <w:snapToGrid w:val="0"/>
        <w:spacing w:line="480" w:lineRule="auto"/>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2.开标地点;娄底市中心医院</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五、招标人地址和联系方法：</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1.招标人名称：娄底市中心医院</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2.联系人及联系方式：廖海星 </w:t>
      </w:r>
      <w:r>
        <w:rPr>
          <w:rFonts w:hint="eastAsia" w:ascii="仿宋" w:hAnsi="仿宋" w:eastAsia="仿宋" w:cs="仿宋"/>
          <w:color w:val="auto"/>
          <w:sz w:val="28"/>
          <w:szCs w:val="28"/>
        </w:rPr>
        <w:t>15873871616</w:t>
      </w:r>
    </w:p>
    <w:p>
      <w:pPr>
        <w:pStyle w:val="13"/>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rPr>
          <w:rFonts w:hint="default" w:asciiTheme="minorEastAsia" w:hAnsiTheme="minorEastAsia" w:eastAsiaTheme="minorEastAsia" w:cstheme="minorEastAsia"/>
          <w:bCs/>
          <w:color w:val="auto"/>
          <w:sz w:val="28"/>
          <w:szCs w:val="28"/>
          <w:lang w:val="en-US" w:eastAsia="zh-CN"/>
        </w:rPr>
      </w:pPr>
    </w:p>
    <w:p>
      <w:pPr>
        <w:pStyle w:val="13"/>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1.采购项目</w:t>
      </w:r>
    </w:p>
    <w:tbl>
      <w:tblPr>
        <w:tblStyle w:val="10"/>
        <w:tblW w:w="853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186"/>
        <w:gridCol w:w="3328"/>
        <w:gridCol w:w="1500"/>
        <w:gridCol w:w="252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94" w:hRule="atLeast"/>
          <w:jc w:val="center"/>
        </w:trPr>
        <w:tc>
          <w:tcPr>
            <w:tcW w:w="11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序号</w:t>
            </w:r>
          </w:p>
        </w:tc>
        <w:tc>
          <w:tcPr>
            <w:tcW w:w="332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项目名称</w:t>
            </w:r>
          </w:p>
        </w:tc>
        <w:tc>
          <w:tcPr>
            <w:tcW w:w="15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数量</w:t>
            </w:r>
          </w:p>
        </w:tc>
        <w:tc>
          <w:tcPr>
            <w:tcW w:w="252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控制价（元）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53" w:hRule="atLeast"/>
          <w:jc w:val="center"/>
        </w:trPr>
        <w:tc>
          <w:tcPr>
            <w:tcW w:w="11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w:t>
            </w:r>
          </w:p>
        </w:tc>
        <w:tc>
          <w:tcPr>
            <w:tcW w:w="332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医用瓶氧、特殊气体项目</w:t>
            </w:r>
          </w:p>
        </w:tc>
        <w:tc>
          <w:tcPr>
            <w:tcW w:w="15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按实际使用量结算</w:t>
            </w:r>
          </w:p>
        </w:tc>
        <w:tc>
          <w:tcPr>
            <w:tcW w:w="252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Style w:val="15"/>
                <w:rFonts w:hint="eastAsia" w:ascii="仿宋" w:hAnsi="仿宋" w:eastAsia="仿宋" w:cs="仿宋"/>
                <w:b w:val="0"/>
                <w:bCs w:val="0"/>
                <w:color w:val="auto"/>
                <w:sz w:val="28"/>
                <w:szCs w:val="28"/>
                <w:u w:val="none" w:color="auto"/>
                <w:lang w:val="en-US" w:eastAsia="zh-CN"/>
              </w:rPr>
              <w:t>167785.32元</w:t>
            </w:r>
          </w:p>
        </w:tc>
      </w:tr>
    </w:tbl>
    <w:p>
      <w:pPr>
        <w:spacing w:line="360" w:lineRule="auto"/>
        <w:rPr>
          <w:rFonts w:hint="eastAsia" w:ascii="仿宋" w:hAnsi="仿宋" w:eastAsia="仿宋" w:cs="仿宋"/>
          <w:color w:val="auto"/>
          <w:kern w:val="0"/>
          <w:sz w:val="28"/>
          <w:szCs w:val="28"/>
          <w:lang w:val="en-US" w:eastAsia="zh-CN" w:bidi="ar-SA"/>
        </w:rPr>
      </w:pP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2.服务时间：双方签订合同时具体约定。</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3.服务地点：娄底市中心医院。</w:t>
      </w:r>
    </w:p>
    <w:p>
      <w:pPr>
        <w:rPr>
          <w:rFonts w:hint="eastAsia" w:ascii="仿宋" w:hAnsi="仿宋" w:eastAsia="仿宋" w:cs="仿宋"/>
          <w:color w:val="auto"/>
          <w:kern w:val="0"/>
          <w:sz w:val="28"/>
          <w:szCs w:val="28"/>
          <w:lang w:val="en-US" w:eastAsia="zh-CN" w:bidi="ar-SA"/>
        </w:rPr>
      </w:pP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0"/>
        <w:tblW w:w="89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6"/>
        <w:gridCol w:w="1275"/>
        <w:gridCol w:w="1755"/>
        <w:gridCol w:w="1725"/>
        <w:gridCol w:w="27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名称</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≥纯度</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压力或公斤</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冷却后压力</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国家标准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医用氧</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99.5%</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sz w:val="28"/>
                <w:szCs w:val="28"/>
                <w:u w:val="none"/>
                <w:lang w:val="en-US"/>
              </w:rPr>
            </w:pPr>
            <w:r>
              <w:rPr>
                <w:rStyle w:val="19"/>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GB8982-1998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二氧化碳</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99.5%</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default" w:ascii="仿宋" w:hAnsi="仿宋" w:eastAsia="仿宋" w:cs="仿宋"/>
                <w:i w:val="0"/>
                <w:iCs w:val="0"/>
                <w:color w:val="auto"/>
                <w:sz w:val="28"/>
                <w:szCs w:val="28"/>
                <w:u w:val="none"/>
                <w:lang w:val="en-US" w:eastAsia="zh-CN"/>
              </w:rPr>
            </w:pPr>
            <w:r>
              <w:rPr>
                <w:rFonts w:hint="eastAsia" w:ascii="仿宋" w:hAnsi="仿宋" w:eastAsia="仿宋" w:cs="仿宋"/>
                <w:i w:val="0"/>
                <w:iCs w:val="0"/>
                <w:color w:val="auto"/>
                <w:kern w:val="0"/>
                <w:sz w:val="28"/>
                <w:szCs w:val="28"/>
                <w:u w:val="none"/>
                <w:lang w:val="en-US" w:eastAsia="zh-CN" w:bidi="ar"/>
              </w:rPr>
              <w:t>17±0.5KG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GB/T23938-2009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高纯二氧化碳</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GB/T23938-2009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高纯氮</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13MPa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GB/T3864-2008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液氮</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120±0.5KG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120±0.5KG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GB/T3864-2008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纯氩</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GB/T4842-2006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高纯氩</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GB/T4842-2006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乙炔</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98%</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5-7KG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default" w:ascii="仿宋" w:hAnsi="仿宋" w:eastAsia="仿宋" w:cs="仿宋"/>
                <w:i w:val="0"/>
                <w:iCs w:val="0"/>
                <w:color w:val="auto"/>
                <w:sz w:val="28"/>
                <w:szCs w:val="28"/>
                <w:u w:val="none"/>
                <w:lang w:val="en-US" w:eastAsia="zh-CN"/>
              </w:rPr>
            </w:pPr>
            <w:r>
              <w:rPr>
                <w:rFonts w:hint="eastAsia" w:ascii="仿宋" w:hAnsi="仿宋" w:eastAsia="仿宋" w:cs="仿宋"/>
                <w:i w:val="0"/>
                <w:iCs w:val="0"/>
                <w:color w:val="auto"/>
                <w:sz w:val="28"/>
                <w:szCs w:val="28"/>
                <w:u w:val="none"/>
                <w:lang w:val="en-US" w:eastAsia="zh-CN"/>
              </w:rPr>
              <w:t>不低于2KG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GB6819-2004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氦气</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Style w:val="19"/>
                <w:rFonts w:hint="eastAsia" w:ascii="仿宋" w:hAnsi="仿宋" w:eastAsia="仿宋" w:cs="仿宋"/>
                <w:color w:val="auto"/>
                <w:sz w:val="28"/>
                <w:szCs w:val="28"/>
                <w:lang w:val="en-US" w:eastAsia="zh-CN" w:bidi="ar"/>
              </w:rPr>
              <w:t>13MPa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GB/T4842-2017</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8"/>
          <w:szCs w:val="28"/>
          <w:lang w:eastAsia="zh-CN"/>
        </w:rPr>
      </w:pP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1、中标方提供的产品必须符合《中华人民共和国药典》2015版二部规定。</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方提供的产品保质期为12个月，自甲方检测检验合格之日起计算。</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方提供的钢瓶质量必须符合国家标准，每个钢瓶必须在有效使用期内，且经具有相应资质的气瓶检测检验机构检测检验合格。</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方交付的每批次的产品必须提供产品检验合格证和使用说明书，并黏贴于每个钢瓶之上。</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三、限价</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lang w:val="en-US" w:eastAsia="zh-CN"/>
        </w:rPr>
        <w:t>医用瓶氧（气态大瓶）</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41</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val="en-US" w:eastAsia="zh-CN"/>
        </w:rPr>
        <w:t>医用瓶氧</w:t>
      </w:r>
      <w:r>
        <w:rPr>
          <w:rFonts w:hint="eastAsia" w:ascii="仿宋" w:hAnsi="仿宋" w:eastAsia="仿宋" w:cs="仿宋"/>
          <w:color w:val="auto"/>
          <w:sz w:val="28"/>
          <w:szCs w:val="28"/>
          <w:lang w:val="en-US" w:eastAsia="zh-CN"/>
        </w:rPr>
        <w:t>（气态小瓶）</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24</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高纯二氧化碳</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300</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二氧化碳</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45</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高纯氮气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90</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液态氮气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 380 </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高纯氩气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101.34</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普氩气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 71</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乙炔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67.56 </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val="en-US" w:eastAsia="zh-CN"/>
        </w:rPr>
        <w:t>氦气10L最高限价</w:t>
      </w:r>
      <w:r>
        <w:rPr>
          <w:rFonts w:hint="eastAsia" w:ascii="仿宋" w:hAnsi="仿宋" w:eastAsia="仿宋" w:cs="仿宋"/>
          <w:color w:val="auto"/>
          <w:sz w:val="28"/>
          <w:szCs w:val="28"/>
          <w:u w:val="single"/>
          <w:lang w:val="en-US" w:eastAsia="zh-CN"/>
        </w:rPr>
        <w:t>800元</w:t>
      </w:r>
      <w:r>
        <w:rPr>
          <w:rFonts w:hint="eastAsia" w:ascii="仿宋" w:hAnsi="仿宋" w:eastAsia="仿宋" w:cs="仿宋"/>
          <w:color w:val="auto"/>
          <w:sz w:val="28"/>
          <w:szCs w:val="28"/>
          <w:u w:val="single"/>
        </w:rPr>
        <w:t>/瓶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租</w:t>
      </w:r>
      <w:r>
        <w:rPr>
          <w:rFonts w:hint="eastAsia" w:ascii="仿宋" w:hAnsi="仿宋" w:eastAsia="仿宋" w:cs="仿宋"/>
          <w:color w:val="auto"/>
          <w:sz w:val="28"/>
          <w:szCs w:val="28"/>
          <w:u w:val="none"/>
          <w:lang w:val="en-US" w:eastAsia="zh-CN"/>
        </w:rPr>
        <w:t>瓶费：</w:t>
      </w:r>
      <w:r>
        <w:rPr>
          <w:rFonts w:hint="eastAsia" w:ascii="仿宋" w:hAnsi="仿宋" w:eastAsia="仿宋" w:cs="仿宋"/>
          <w:color w:val="auto"/>
          <w:sz w:val="28"/>
          <w:szCs w:val="28"/>
        </w:rPr>
        <w:t>钢瓶由乙方提供，每日100瓶为基数，100瓶以内（含100瓶）不计钢瓶使用费，超过100瓶的超过部分按每天每瓶</w:t>
      </w:r>
      <w:r>
        <w:rPr>
          <w:rFonts w:hint="eastAsia" w:ascii="仿宋" w:hAnsi="仿宋" w:eastAsia="仿宋" w:cs="仿宋"/>
          <w:color w:val="auto"/>
          <w:sz w:val="28"/>
          <w:szCs w:val="28"/>
          <w:lang w:val="en-US" w:eastAsia="zh-CN"/>
        </w:rPr>
        <w:t>不超过</w:t>
      </w:r>
      <w:r>
        <w:rPr>
          <w:rFonts w:hint="eastAsia" w:ascii="仿宋" w:hAnsi="仿宋" w:eastAsia="仿宋" w:cs="仿宋"/>
          <w:color w:val="auto"/>
          <w:sz w:val="28"/>
          <w:szCs w:val="28"/>
          <w:u w:val="single"/>
        </w:rPr>
        <w:t>0.6元</w:t>
      </w:r>
      <w:r>
        <w:rPr>
          <w:rFonts w:hint="eastAsia" w:ascii="仿宋" w:hAnsi="仿宋" w:eastAsia="仿宋" w:cs="仿宋"/>
          <w:color w:val="auto"/>
          <w:sz w:val="28"/>
          <w:szCs w:val="28"/>
        </w:rPr>
        <w:t>计算钢瓶使用费。</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560" w:firstLineChars="200"/>
        <w:rPr>
          <w:rFonts w:hint="eastAsia" w:ascii="仿宋" w:hAnsi="仿宋" w:eastAsia="仿宋" w:cs="仿宋"/>
          <w:i w:val="0"/>
          <w:iCs w:val="0"/>
          <w:caps w:val="0"/>
          <w:color w:val="auto"/>
          <w:spacing w:val="0"/>
          <w:sz w:val="28"/>
          <w:szCs w:val="28"/>
          <w:shd w:val="clear" w:color="auto" w:fill="FFFFFF"/>
          <w:lang w:eastAsia="zh-CN"/>
        </w:rPr>
      </w:pPr>
      <w:r>
        <w:rPr>
          <w:rFonts w:hint="eastAsia" w:ascii="仿宋" w:hAnsi="仿宋" w:eastAsia="仿宋" w:cs="仿宋"/>
          <w:i w:val="0"/>
          <w:iCs w:val="0"/>
          <w:caps w:val="0"/>
          <w:color w:val="auto"/>
          <w:spacing w:val="0"/>
          <w:sz w:val="28"/>
          <w:szCs w:val="28"/>
          <w:shd w:val="clear" w:color="auto" w:fill="FFFFFF"/>
          <w:lang w:val="en-US" w:eastAsia="zh-CN"/>
        </w:rPr>
        <w:t>供货期限</w:t>
      </w:r>
      <w:r>
        <w:rPr>
          <w:rFonts w:hint="eastAsia" w:ascii="仿宋" w:hAnsi="仿宋" w:eastAsia="仿宋" w:cs="仿宋"/>
          <w:i w:val="0"/>
          <w:iCs w:val="0"/>
          <w:caps w:val="0"/>
          <w:color w:val="auto"/>
          <w:spacing w:val="0"/>
          <w:sz w:val="28"/>
          <w:szCs w:val="28"/>
          <w:shd w:val="clear" w:color="auto" w:fill="FFFFFF"/>
        </w:rPr>
        <w:t>：自签订采购合同之日起</w:t>
      </w:r>
      <w:r>
        <w:rPr>
          <w:rFonts w:hint="eastAsia" w:ascii="仿宋" w:hAnsi="仿宋" w:eastAsia="仿宋" w:cs="仿宋"/>
          <w:i w:val="0"/>
          <w:iCs w:val="0"/>
          <w:caps w:val="0"/>
          <w:color w:val="auto"/>
          <w:spacing w:val="0"/>
          <w:sz w:val="28"/>
          <w:szCs w:val="28"/>
          <w:shd w:val="clear" w:color="auto" w:fill="FFFFFF"/>
          <w:lang w:val="en-US" w:eastAsia="zh-CN"/>
        </w:rPr>
        <w:t>壹</w:t>
      </w:r>
      <w:r>
        <w:rPr>
          <w:rFonts w:hint="eastAsia" w:ascii="仿宋" w:hAnsi="仿宋" w:eastAsia="仿宋" w:cs="仿宋"/>
          <w:i w:val="0"/>
          <w:iCs w:val="0"/>
          <w:caps w:val="0"/>
          <w:color w:val="auto"/>
          <w:spacing w:val="0"/>
          <w:sz w:val="28"/>
          <w:szCs w:val="28"/>
          <w:shd w:val="clear" w:color="auto" w:fill="FFFFFF"/>
        </w:rPr>
        <w:t>年</w:t>
      </w:r>
      <w:r>
        <w:rPr>
          <w:rFonts w:hint="eastAsia" w:ascii="仿宋" w:hAnsi="仿宋" w:eastAsia="仿宋" w:cs="仿宋"/>
          <w:i w:val="0"/>
          <w:iCs w:val="0"/>
          <w:caps w:val="0"/>
          <w:color w:val="auto"/>
          <w:spacing w:val="0"/>
          <w:sz w:val="28"/>
          <w:szCs w:val="28"/>
          <w:shd w:val="clear" w:color="auto" w:fill="FFFFFF"/>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1.封面：需注明标的名称、投标文件、单位、时间；</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2.“三证合一”或“五证合一”营业执照</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3.投标人身份证复印件；</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5.履行本项目所必需的资质证明；</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6.针对此项目的技术、服务方案；</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8.投标文件的每一页都必须加盖投标单位的公章；</w:t>
      </w: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color w:val="auto"/>
        </w:rPr>
      </w:pPr>
      <w:r>
        <w:rPr>
          <w:rFonts w:hint="eastAsia" w:ascii="仿宋" w:hAnsi="仿宋" w:eastAsia="仿宋" w:cs="仿宋"/>
          <w:color w:val="auto"/>
          <w:kern w:val="0"/>
          <w:sz w:val="28"/>
          <w:szCs w:val="28"/>
          <w:lang w:val="en-US" w:eastAsia="zh-CN" w:bidi="ar-SA"/>
        </w:rPr>
        <w:t>10.投标文件必须胶装并用纸质文件袋封好（一正壹副），标书必须“A4规格纸张胶制（非打孔或夹装）装订成册，并编制总目录”,要求密封，否则视为符合性审查不合格，作无效投标处理，在开标现场验证时打开，采用现场开标的方式。</w:t>
      </w:r>
    </w:p>
    <w:p>
      <w:pPr>
        <w:pStyle w:val="14"/>
        <w:widowControl w:val="0"/>
        <w:numPr>
          <w:ilvl w:val="0"/>
          <w:numId w:val="0"/>
        </w:numPr>
        <w:jc w:val="both"/>
        <w:rPr>
          <w:color w:val="auto"/>
          <w:sz w:val="28"/>
          <w:szCs w:val="28"/>
        </w:rPr>
      </w:pPr>
    </w:p>
    <w:p>
      <w:pPr>
        <w:pStyle w:val="2"/>
        <w:numPr>
          <w:ilvl w:val="0"/>
          <w:numId w:val="0"/>
        </w:numPr>
        <w:spacing w:line="240" w:lineRule="auto"/>
        <w:jc w:val="center"/>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7"/>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color w:val="auto"/>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3"/>
        <w:rPr>
          <w:color w:val="auto"/>
        </w:rPr>
      </w:pPr>
    </w:p>
    <w:p>
      <w:pPr>
        <w:spacing w:before="120" w:beforeLines="50" w:after="120" w:afterLines="50" w:line="276" w:lineRule="auto"/>
        <w:rPr>
          <w:rFonts w:hint="eastAsia" w:eastAsia="宋体"/>
          <w:b/>
          <w:bCs/>
          <w:color w:val="auto"/>
          <w:sz w:val="28"/>
          <w:szCs w:val="28"/>
          <w:lang w:eastAsia="zh-CN"/>
        </w:rPr>
      </w:pPr>
    </w:p>
    <w:p>
      <w:pPr>
        <w:pStyle w:val="14"/>
        <w:rPr>
          <w:rFonts w:hint="eastAsia"/>
          <w:color w:val="auto"/>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7"/>
        <w:rPr>
          <w:color w:val="auto"/>
        </w:rPr>
      </w:pPr>
    </w:p>
    <w:p>
      <w:pPr>
        <w:pStyle w:val="17"/>
        <w:rPr>
          <w:color w:val="auto"/>
        </w:rPr>
      </w:pPr>
    </w:p>
    <w:p>
      <w:pPr>
        <w:pStyle w:val="17"/>
        <w:rPr>
          <w:color w:val="auto"/>
        </w:rPr>
      </w:pPr>
    </w:p>
    <w:p>
      <w:pPr>
        <w:pStyle w:val="17"/>
        <w:rPr>
          <w:color w:val="auto"/>
        </w:rPr>
      </w:pPr>
    </w:p>
    <w:p>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pStyle w:val="17"/>
        <w:rPr>
          <w:color w:val="auto"/>
        </w:rPr>
      </w:pPr>
    </w:p>
    <w:p>
      <w:pPr>
        <w:pStyle w:val="17"/>
        <w:rPr>
          <w:rFonts w:hint="eastAsia"/>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rFonts w:hint="eastAsia"/>
          <w:color w:val="auto"/>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pStyle w:val="14"/>
        <w:rPr>
          <w:rFonts w:hint="eastAsia"/>
          <w:color w:val="auto"/>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3"/>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rPr>
          <w:color w:val="auto"/>
        </w:rPr>
      </w:pPr>
      <w:r>
        <w:rPr>
          <w:color w:val="auto"/>
        </w:rPr>
        <w:br w:type="page"/>
      </w:r>
    </w:p>
    <w:p>
      <w:pPr>
        <w:pStyle w:val="2"/>
        <w:pageBreakBefore w:val="0"/>
        <w:widowControl w:val="0"/>
        <w:kinsoku/>
        <w:wordWrap/>
        <w:overflowPunct/>
        <w:topLinePunct w:val="0"/>
        <w:autoSpaceDE/>
        <w:autoSpaceDN/>
        <w:bidi w:val="0"/>
        <w:adjustRightInd/>
        <w:snapToGrid/>
        <w:spacing w:before="0" w:beforeLines="0" w:after="0" w:afterLines="0" w:line="640" w:lineRule="exact"/>
        <w:jc w:val="center"/>
        <w:textAlignment w:val="auto"/>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lang w:val="en-US" w:eastAsia="zh-CN"/>
        </w:rPr>
        <w:t>合同编号：</w:t>
      </w:r>
    </w:p>
    <w:p>
      <w:pPr>
        <w:pStyle w:val="2"/>
        <w:pageBreakBefore w:val="0"/>
        <w:widowControl w:val="0"/>
        <w:kinsoku/>
        <w:wordWrap/>
        <w:overflowPunct/>
        <w:topLinePunct w:val="0"/>
        <w:autoSpaceDE/>
        <w:autoSpaceDN/>
        <w:bidi w:val="0"/>
        <w:adjustRightInd/>
        <w:snapToGrid/>
        <w:spacing w:before="0" w:beforeLines="0" w:after="0" w:afterLines="0" w:line="640" w:lineRule="exact"/>
        <w:jc w:val="center"/>
        <w:textAlignment w:val="auto"/>
        <w:rPr>
          <w:rFonts w:hint="eastAsia" w:ascii="方正小标宋简体" w:hAnsi="方正小标宋简体" w:eastAsia="方正小标宋简体" w:cs="方正小标宋简体"/>
          <w:b w:val="0"/>
          <w:bCs/>
          <w:color w:val="auto"/>
        </w:rPr>
      </w:pPr>
      <w:r>
        <w:rPr>
          <w:rFonts w:hint="eastAsia" w:ascii="方正小标宋简体" w:hAnsi="方正小标宋简体" w:eastAsia="方正小标宋简体" w:cs="方正小标宋简体"/>
          <w:b w:val="0"/>
          <w:bCs/>
          <w:color w:val="auto"/>
        </w:rPr>
        <w:t>医用</w:t>
      </w:r>
      <w:r>
        <w:rPr>
          <w:rFonts w:hint="eastAsia" w:ascii="方正小标宋简体" w:hAnsi="方正小标宋简体" w:eastAsia="方正小标宋简体" w:cs="方正小标宋简体"/>
          <w:b w:val="0"/>
          <w:bCs/>
          <w:color w:val="auto"/>
          <w:lang w:val="en-US" w:eastAsia="zh-CN"/>
        </w:rPr>
        <w:t>瓶</w:t>
      </w:r>
      <w:r>
        <w:rPr>
          <w:rFonts w:hint="eastAsia" w:ascii="方正小标宋简体" w:hAnsi="方正小标宋简体" w:eastAsia="方正小标宋简体" w:cs="方正小标宋简体"/>
          <w:b w:val="0"/>
          <w:bCs/>
          <w:color w:val="auto"/>
        </w:rPr>
        <w:t>氧、特殊气体</w:t>
      </w:r>
      <w:r>
        <w:rPr>
          <w:rFonts w:hint="eastAsia" w:ascii="方正小标宋简体" w:hAnsi="方正小标宋简体" w:eastAsia="方正小标宋简体" w:cs="方正小标宋简体"/>
          <w:b w:val="0"/>
          <w:bCs/>
          <w:color w:val="auto"/>
          <w:lang w:val="en-US" w:eastAsia="zh-CN"/>
        </w:rPr>
        <w:t>采购</w:t>
      </w:r>
      <w:r>
        <w:rPr>
          <w:rFonts w:hint="eastAsia" w:ascii="方正小标宋简体" w:hAnsi="方正小标宋简体" w:eastAsia="方正小标宋简体" w:cs="方正小标宋简体"/>
          <w:b w:val="0"/>
          <w:bCs/>
          <w:color w:val="auto"/>
        </w:rPr>
        <w:t>合同</w:t>
      </w:r>
    </w:p>
    <w:p>
      <w:pPr>
        <w:pageBreakBefore w:val="0"/>
        <w:widowControl w:val="0"/>
        <w:kinsoku/>
        <w:wordWrap/>
        <w:overflowPunct/>
        <w:topLinePunct w:val="0"/>
        <w:autoSpaceDE/>
        <w:autoSpaceDN/>
        <w:bidi w:val="0"/>
        <w:adjustRightInd/>
        <w:snapToGrid/>
        <w:spacing w:line="640" w:lineRule="exact"/>
        <w:ind w:firstLine="621" w:firstLineChars="221"/>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甲方（采购方）：</w:t>
      </w:r>
      <w:r>
        <w:rPr>
          <w:rFonts w:hint="eastAsia" w:ascii="仿宋_GB2312" w:hAnsi="仿宋_GB2312" w:eastAsia="仿宋_GB2312" w:cs="仿宋_GB2312"/>
          <w:b/>
          <w:bCs/>
          <w:color w:val="auto"/>
          <w:sz w:val="28"/>
          <w:szCs w:val="28"/>
        </w:rPr>
        <w:t>娄底市中心医院</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p>
    <w:p>
      <w:pPr>
        <w:pageBreakBefore w:val="0"/>
        <w:widowControl w:val="0"/>
        <w:kinsoku/>
        <w:wordWrap/>
        <w:overflowPunct/>
        <w:topLinePunct w:val="0"/>
        <w:autoSpaceDE/>
        <w:autoSpaceDN/>
        <w:bidi w:val="0"/>
        <w:adjustRightInd/>
        <w:snapToGrid/>
        <w:spacing w:line="640" w:lineRule="exact"/>
        <w:ind w:firstLine="618" w:firstLineChars="221"/>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社会统一信用代码：12431300447162073W</w:t>
      </w:r>
    </w:p>
    <w:p>
      <w:pPr>
        <w:pageBreakBefore w:val="0"/>
        <w:widowControl w:val="0"/>
        <w:kinsoku/>
        <w:wordWrap/>
        <w:overflowPunct/>
        <w:topLinePunct w:val="0"/>
        <w:autoSpaceDE/>
        <w:autoSpaceDN/>
        <w:bidi w:val="0"/>
        <w:adjustRightInd/>
        <w:snapToGrid/>
        <w:spacing w:line="640" w:lineRule="exact"/>
        <w:ind w:firstLine="621" w:firstLineChars="221"/>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乙方（供货方）：</w:t>
      </w:r>
    </w:p>
    <w:p>
      <w:pPr>
        <w:pageBreakBefore w:val="0"/>
        <w:widowControl w:val="0"/>
        <w:kinsoku/>
        <w:wordWrap/>
        <w:overflowPunct/>
        <w:topLinePunct w:val="0"/>
        <w:autoSpaceDE/>
        <w:autoSpaceDN/>
        <w:bidi w:val="0"/>
        <w:adjustRightInd/>
        <w:snapToGrid/>
        <w:spacing w:line="640" w:lineRule="exact"/>
        <w:ind w:firstLine="618" w:firstLineChars="221"/>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社会统一信用代码：</w:t>
      </w:r>
    </w:p>
    <w:p>
      <w:pPr>
        <w:pageBreakBefore w:val="0"/>
        <w:widowControl w:val="0"/>
        <w:kinsoku/>
        <w:wordWrap/>
        <w:overflowPunct/>
        <w:topLinePunct w:val="0"/>
        <w:autoSpaceDE/>
        <w:autoSpaceDN/>
        <w:bidi w:val="0"/>
        <w:adjustRightInd/>
        <w:snapToGrid/>
        <w:spacing w:line="640" w:lineRule="exact"/>
        <w:ind w:firstLine="618" w:firstLineChars="221"/>
        <w:textAlignment w:val="auto"/>
        <w:rPr>
          <w:rFonts w:hint="eastAsia" w:ascii="仿宋_GB2312" w:hAnsi="仿宋_GB2312" w:eastAsia="仿宋_GB2312" w:cs="仿宋_GB2312"/>
          <w:color w:val="auto"/>
          <w:sz w:val="28"/>
          <w:szCs w:val="28"/>
          <w:lang w:val="en-US" w:eastAsia="zh-CN"/>
        </w:rPr>
      </w:pPr>
    </w:p>
    <w:p>
      <w:pPr>
        <w:pageBreakBefore w:val="0"/>
        <w:kinsoku/>
        <w:wordWrap/>
        <w:overflowPunct/>
        <w:topLinePunct w:val="0"/>
        <w:autoSpaceDE/>
        <w:autoSpaceDN/>
        <w:bidi w:val="0"/>
        <w:snapToGrid/>
        <w:spacing w:line="560" w:lineRule="exact"/>
        <w:ind w:firstLine="638" w:firstLineChars="228"/>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甲方</w:t>
      </w:r>
      <w:r>
        <w:rPr>
          <w:rFonts w:hint="eastAsia" w:ascii="仿宋_GB2312" w:hAnsi="仿宋_GB2312" w:eastAsia="仿宋_GB2312" w:cs="仿宋_GB2312"/>
          <w:color w:val="auto"/>
          <w:sz w:val="28"/>
          <w:szCs w:val="28"/>
        </w:rPr>
        <w:t>因诊疗经营活动需要，通过</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医院公开挂网</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采购</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医用瓶氧</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 xml:space="preserve">特殊气体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乙方为成交供应商。根据《中华人民共和国民法典》《中华人民共和国政府采购法》等相关法律规定，甲乙双方在采购项目确定的基础上，就采购</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医用瓶氧</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 xml:space="preserve">特殊气体 </w:t>
      </w:r>
      <w:r>
        <w:rPr>
          <w:rFonts w:hint="eastAsia" w:ascii="仿宋_GB2312" w:hAnsi="仿宋_GB2312" w:eastAsia="仿宋_GB2312" w:cs="仿宋_GB2312"/>
          <w:color w:val="auto"/>
          <w:sz w:val="28"/>
          <w:szCs w:val="28"/>
          <w:lang w:val="en-US" w:eastAsia="zh-CN"/>
        </w:rPr>
        <w:t>事宜平等、自愿、公平、诚信协商，达成一致，特订立本合同，以资共同遵守。</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第一条 采购内容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1.1</w:t>
      </w:r>
      <w:r>
        <w:rPr>
          <w:rFonts w:hint="eastAsia" w:ascii="仿宋_GB2312" w:hAnsi="仿宋_GB2312" w:eastAsia="仿宋_GB2312" w:cs="仿宋_GB2312"/>
          <w:color w:val="auto"/>
          <w:sz w:val="28"/>
          <w:szCs w:val="28"/>
        </w:rPr>
        <w:t>产品名称、钢瓶规格、单价</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数量</w:t>
      </w:r>
    </w:p>
    <w:tbl>
      <w:tblPr>
        <w:tblStyle w:val="10"/>
        <w:tblW w:w="96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35"/>
        <w:gridCol w:w="1228"/>
        <w:gridCol w:w="1663"/>
        <w:gridCol w:w="1719"/>
        <w:gridCol w:w="2181"/>
        <w:gridCol w:w="14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名称</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≥纯度</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压力或公斤</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冷却后压力</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国家标准</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kern w:val="0"/>
                <w:sz w:val="28"/>
                <w:szCs w:val="28"/>
                <w:u w:val="none"/>
                <w:lang w:val="en-US" w:eastAsia="zh-CN" w:bidi="ar"/>
              </w:rPr>
            </w:pPr>
            <w:r>
              <w:rPr>
                <w:rFonts w:hint="eastAsia" w:ascii="仿宋_GB2312" w:hAnsi="仿宋_GB2312" w:eastAsia="仿宋_GB2312" w:cs="仿宋_GB2312"/>
                <w:b/>
                <w:bCs/>
                <w:i w:val="0"/>
                <w:iCs w:val="0"/>
                <w:color w:val="auto"/>
                <w:kern w:val="0"/>
                <w:sz w:val="28"/>
                <w:szCs w:val="28"/>
                <w:u w:val="none"/>
                <w:lang w:val="en-US" w:eastAsia="zh-CN" w:bidi="ar"/>
              </w:rPr>
              <w:t>单价（元）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医用氧</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99.5%</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lang w:val="en-US"/>
              </w:rPr>
            </w:pPr>
            <w:r>
              <w:rPr>
                <w:rStyle w:val="19"/>
                <w:rFonts w:hint="eastAsia" w:ascii="仿宋_GB2312" w:hAnsi="仿宋_GB2312" w:eastAsia="仿宋_GB2312" w:cs="仿宋_GB2312"/>
                <w:color w:val="auto"/>
                <w:sz w:val="28"/>
                <w:szCs w:val="28"/>
                <w:lang w:val="en-US" w:eastAsia="zh-CN" w:bidi="ar"/>
              </w:rPr>
              <w:t>13MPa±12.5MPa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GB8982-1998</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二氧化碳</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99.5%</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lang w:val="en-US" w:eastAsia="zh-CN"/>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GB/T23938-2009</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Style w:val="19"/>
                <w:rFonts w:hint="eastAsia" w:ascii="仿宋_GB2312" w:hAnsi="仿宋_GB2312" w:eastAsia="仿宋_GB2312" w:cs="仿宋_GB2312"/>
                <w:color w:val="auto"/>
                <w:sz w:val="28"/>
                <w:szCs w:val="2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高纯二氧化碳</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GB/T23938-2009</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Style w:val="19"/>
                <w:rFonts w:hint="eastAsia" w:ascii="仿宋_GB2312" w:hAnsi="仿宋_GB2312" w:eastAsia="仿宋_GB2312" w:cs="仿宋_GB2312"/>
                <w:color w:val="auto"/>
                <w:sz w:val="28"/>
                <w:szCs w:val="2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高纯氮</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13MPa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GB/T3864-2008</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液氮</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120±0.5KG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120±0.5KG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GB/T3864-2008</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纯氩</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13MPa±12.5MPa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GB/T4842-2006</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高纯氩</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13MPa±12.5MPa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GB/T4842-2006</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乙炔</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98%</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5-7KG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lang w:val="en-US" w:eastAsia="zh-CN"/>
              </w:rPr>
            </w:pPr>
            <w:r>
              <w:rPr>
                <w:rFonts w:hint="eastAsia" w:ascii="仿宋_GB2312" w:hAnsi="仿宋_GB2312" w:eastAsia="仿宋_GB2312" w:cs="仿宋_GB2312"/>
                <w:i w:val="0"/>
                <w:iCs w:val="0"/>
                <w:color w:val="auto"/>
                <w:sz w:val="28"/>
                <w:szCs w:val="28"/>
                <w:u w:val="none"/>
                <w:lang w:val="en-US" w:eastAsia="zh-CN"/>
              </w:rPr>
              <w:t>不低于2KG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GB6819-2004</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氦气</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rPr>
            </w:pPr>
            <w:r>
              <w:rPr>
                <w:rStyle w:val="19"/>
                <w:rFonts w:hint="eastAsia" w:ascii="仿宋_GB2312" w:hAnsi="仿宋_GB2312" w:eastAsia="仿宋_GB2312" w:cs="仿宋_GB2312"/>
                <w:color w:val="auto"/>
                <w:sz w:val="28"/>
                <w:szCs w:val="28"/>
                <w:lang w:val="en-US" w:eastAsia="zh-CN" w:bidi="ar"/>
              </w:rPr>
              <w:t>13MPa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GB/T4842-2017</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1.2</w:t>
      </w:r>
      <w:r>
        <w:rPr>
          <w:rFonts w:hint="eastAsia" w:ascii="仿宋_GB2312" w:hAnsi="仿宋_GB2312" w:eastAsia="仿宋_GB2312" w:cs="仿宋_GB2312"/>
          <w:color w:val="auto"/>
          <w:sz w:val="28"/>
          <w:szCs w:val="28"/>
        </w:rPr>
        <w:t>数量：以甲方</w:t>
      </w:r>
      <w:r>
        <w:rPr>
          <w:rFonts w:hint="eastAsia" w:ascii="仿宋_GB2312" w:hAnsi="仿宋_GB2312" w:eastAsia="仿宋_GB2312" w:cs="仿宋_GB2312"/>
          <w:color w:val="auto"/>
          <w:sz w:val="28"/>
          <w:szCs w:val="28"/>
          <w:lang w:val="en-US" w:eastAsia="zh-CN"/>
        </w:rPr>
        <w:t>向乙方出具的收货凭据所记载的数量</w:t>
      </w:r>
      <w:r>
        <w:rPr>
          <w:rFonts w:hint="eastAsia" w:ascii="仿宋_GB2312" w:hAnsi="仿宋_GB2312" w:eastAsia="仿宋_GB2312" w:cs="仿宋_GB2312"/>
          <w:color w:val="auto"/>
          <w:sz w:val="28"/>
          <w:szCs w:val="28"/>
        </w:rPr>
        <w:t>为准</w:t>
      </w:r>
      <w:r>
        <w:rPr>
          <w:rFonts w:hint="eastAsia" w:ascii="仿宋_GB2312" w:hAnsi="仿宋_GB2312" w:eastAsia="仿宋_GB2312" w:cs="仿宋_GB2312"/>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1.3本合同约定单价为固定价格，不因物价、市场波动变更。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1.4费用</w:t>
      </w:r>
      <w:r>
        <w:rPr>
          <w:rFonts w:hint="eastAsia" w:ascii="仿宋_GB2312" w:hAnsi="仿宋_GB2312" w:eastAsia="仿宋_GB2312" w:cs="仿宋_GB2312"/>
          <w:color w:val="auto"/>
          <w:sz w:val="28"/>
          <w:szCs w:val="28"/>
        </w:rPr>
        <w:t>包含</w:t>
      </w:r>
      <w:r>
        <w:rPr>
          <w:rFonts w:hint="eastAsia" w:ascii="仿宋_GB2312" w:hAnsi="仿宋_GB2312" w:eastAsia="仿宋_GB2312" w:cs="仿宋_GB2312"/>
          <w:color w:val="auto"/>
          <w:sz w:val="28"/>
          <w:szCs w:val="28"/>
          <w:lang w:val="en-US" w:eastAsia="zh-CN"/>
        </w:rPr>
        <w:t>税费</w:t>
      </w:r>
      <w:r>
        <w:rPr>
          <w:rFonts w:hint="eastAsia" w:ascii="仿宋_GB2312" w:hAnsi="仿宋_GB2312" w:eastAsia="仿宋_GB2312" w:cs="仿宋_GB2312"/>
          <w:color w:val="auto"/>
          <w:sz w:val="28"/>
          <w:szCs w:val="28"/>
        </w:rPr>
        <w:t>、运输</w:t>
      </w:r>
      <w:r>
        <w:rPr>
          <w:rFonts w:hint="eastAsia" w:ascii="仿宋_GB2312" w:hAnsi="仿宋_GB2312" w:eastAsia="仿宋_GB2312" w:cs="仿宋_GB2312"/>
          <w:color w:val="auto"/>
          <w:sz w:val="28"/>
          <w:szCs w:val="28"/>
          <w:lang w:val="en-US" w:eastAsia="zh-CN"/>
        </w:rPr>
        <w:t>费</w:t>
      </w:r>
      <w:r>
        <w:rPr>
          <w:rFonts w:hint="eastAsia" w:ascii="仿宋_GB2312" w:hAnsi="仿宋_GB2312" w:eastAsia="仿宋_GB2312" w:cs="仿宋_GB2312"/>
          <w:color w:val="auto"/>
          <w:sz w:val="28"/>
          <w:szCs w:val="28"/>
        </w:rPr>
        <w:t>、装卸</w:t>
      </w:r>
      <w:r>
        <w:rPr>
          <w:rFonts w:hint="eastAsia" w:ascii="仿宋_GB2312" w:hAnsi="仿宋_GB2312" w:eastAsia="仿宋_GB2312" w:cs="仿宋_GB2312"/>
          <w:color w:val="auto"/>
          <w:sz w:val="28"/>
          <w:szCs w:val="28"/>
          <w:lang w:val="en-US" w:eastAsia="zh-CN"/>
        </w:rPr>
        <w:t>费</w:t>
      </w:r>
      <w:r>
        <w:rPr>
          <w:rFonts w:hint="eastAsia" w:ascii="仿宋_GB2312" w:hAnsi="仿宋_GB2312" w:eastAsia="仿宋_GB2312" w:cs="仿宋_GB2312"/>
          <w:color w:val="auto"/>
          <w:sz w:val="28"/>
          <w:szCs w:val="28"/>
        </w:rPr>
        <w:t>、钢瓶使用费（100瓶以内）、钢瓶维护费用、检测检验费等所有费用。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1.5</w:t>
      </w:r>
      <w:r>
        <w:rPr>
          <w:rFonts w:hint="eastAsia" w:ascii="仿宋_GB2312" w:hAnsi="仿宋_GB2312" w:eastAsia="仿宋_GB2312" w:cs="仿宋_GB2312"/>
          <w:color w:val="auto"/>
          <w:sz w:val="28"/>
          <w:szCs w:val="28"/>
          <w:highlight w:val="none"/>
        </w:rPr>
        <w:t>钢瓶使用费：供氧钢瓶由乙方提供，每日100瓶为基数，100瓶以内（含100瓶）不计钢瓶使用费，超过100瓶的超过部分按每天每瓶</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元计算钢瓶使用费。</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第二条 质量要求及技术标准</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2.1</w:t>
      </w:r>
      <w:r>
        <w:rPr>
          <w:rFonts w:hint="eastAsia" w:ascii="仿宋_GB2312" w:hAnsi="仿宋_GB2312" w:eastAsia="仿宋_GB2312" w:cs="仿宋_GB2312"/>
          <w:color w:val="auto"/>
          <w:sz w:val="28"/>
          <w:szCs w:val="28"/>
        </w:rPr>
        <w:t>乙方提供的产品必须符合《中华人民共和国药典》2015版二部规定。</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2.2</w:t>
      </w:r>
      <w:r>
        <w:rPr>
          <w:rFonts w:hint="eastAsia" w:ascii="仿宋_GB2312" w:hAnsi="仿宋_GB2312" w:eastAsia="仿宋_GB2312" w:cs="仿宋_GB2312"/>
          <w:color w:val="auto"/>
          <w:sz w:val="28"/>
          <w:szCs w:val="28"/>
        </w:rPr>
        <w:t>乙方提供的钢瓶质量必须符合国家标准，每个钢瓶必须在有效使用期内，且经具有相应资质的气瓶检测检验机构检测检验合格。</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2.3</w:t>
      </w:r>
      <w:r>
        <w:rPr>
          <w:rFonts w:hint="eastAsia" w:ascii="仿宋_GB2312" w:hAnsi="仿宋_GB2312" w:eastAsia="仿宋_GB2312" w:cs="仿宋_GB2312"/>
          <w:color w:val="auto"/>
          <w:sz w:val="28"/>
          <w:szCs w:val="28"/>
        </w:rPr>
        <w:t>乙方交付的每批次的产品必须提供产品检验合格证和使用说明书，并</w:t>
      </w:r>
      <w:r>
        <w:rPr>
          <w:rFonts w:hint="eastAsia" w:ascii="仿宋_GB2312" w:hAnsi="仿宋_GB2312" w:eastAsia="仿宋_GB2312" w:cs="仿宋_GB2312"/>
          <w:color w:val="auto"/>
          <w:sz w:val="28"/>
          <w:szCs w:val="28"/>
          <w:lang w:eastAsia="zh-CN"/>
        </w:rPr>
        <w:t>粘贴</w:t>
      </w:r>
      <w:r>
        <w:rPr>
          <w:rFonts w:hint="eastAsia" w:ascii="仿宋_GB2312" w:hAnsi="仿宋_GB2312" w:eastAsia="仿宋_GB2312" w:cs="仿宋_GB2312"/>
          <w:color w:val="auto"/>
          <w:sz w:val="28"/>
          <w:szCs w:val="28"/>
        </w:rPr>
        <w:t>于每个钢瓶之上。</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第三条 订货、交货时间、地点、验收、质量异议</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3.1</w:t>
      </w:r>
      <w:r>
        <w:rPr>
          <w:rFonts w:hint="eastAsia" w:ascii="仿宋_GB2312" w:hAnsi="仿宋_GB2312" w:eastAsia="仿宋_GB2312" w:cs="仿宋_GB2312"/>
          <w:color w:val="auto"/>
          <w:sz w:val="28"/>
          <w:szCs w:val="28"/>
        </w:rPr>
        <w:t>甲方</w:t>
      </w:r>
      <w:r>
        <w:rPr>
          <w:rFonts w:hint="eastAsia" w:ascii="仿宋_GB2312" w:hAnsi="仿宋_GB2312" w:eastAsia="仿宋_GB2312" w:cs="仿宋_GB2312"/>
          <w:color w:val="auto"/>
          <w:sz w:val="28"/>
          <w:szCs w:val="28"/>
          <w:lang w:val="en-US" w:eastAsia="zh-CN"/>
        </w:rPr>
        <w:t>通过</w:t>
      </w:r>
      <w:r>
        <w:rPr>
          <w:rFonts w:hint="eastAsia" w:ascii="仿宋_GB2312" w:hAnsi="仿宋_GB2312" w:eastAsia="仿宋_GB2312" w:cs="仿宋_GB2312"/>
          <w:color w:val="auto"/>
          <w:sz w:val="28"/>
          <w:szCs w:val="28"/>
        </w:rPr>
        <w:t>电话或其他方式将所需产品</w:t>
      </w:r>
      <w:r>
        <w:rPr>
          <w:rFonts w:hint="eastAsia" w:ascii="仿宋_GB2312" w:hAnsi="仿宋_GB2312" w:eastAsia="仿宋_GB2312" w:cs="仿宋_GB2312"/>
          <w:color w:val="auto"/>
          <w:sz w:val="28"/>
          <w:szCs w:val="28"/>
          <w:lang w:val="en-US" w:eastAsia="zh-CN"/>
        </w:rPr>
        <w:t>名称、</w:t>
      </w:r>
      <w:r>
        <w:rPr>
          <w:rFonts w:hint="eastAsia" w:ascii="仿宋_GB2312" w:hAnsi="仿宋_GB2312" w:eastAsia="仿宋_GB2312" w:cs="仿宋_GB2312"/>
          <w:color w:val="auto"/>
          <w:sz w:val="28"/>
          <w:szCs w:val="28"/>
        </w:rPr>
        <w:t>数量、交货时间、交货地点通知乙方。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3.2</w:t>
      </w:r>
      <w:r>
        <w:rPr>
          <w:rFonts w:hint="eastAsia" w:ascii="仿宋_GB2312" w:hAnsi="仿宋_GB2312" w:eastAsia="仿宋_GB2312" w:cs="仿宋_GB2312"/>
          <w:color w:val="auto"/>
          <w:sz w:val="28"/>
          <w:szCs w:val="28"/>
        </w:rPr>
        <w:t>乙方在接到甲方通知</w:t>
      </w:r>
      <w:r>
        <w:rPr>
          <w:rFonts w:hint="eastAsia" w:ascii="仿宋_GB2312" w:hAnsi="仿宋_GB2312" w:eastAsia="仿宋_GB2312" w:cs="仿宋_GB2312"/>
          <w:color w:val="auto"/>
          <w:sz w:val="28"/>
          <w:szCs w:val="28"/>
          <w:lang w:val="en-US" w:eastAsia="zh-CN"/>
        </w:rPr>
        <w:t>后</w:t>
      </w:r>
      <w:r>
        <w:rPr>
          <w:rFonts w:hint="eastAsia" w:ascii="仿宋_GB2312" w:hAnsi="仿宋_GB2312" w:eastAsia="仿宋_GB2312" w:cs="仿宋_GB2312"/>
          <w:color w:val="auto"/>
          <w:sz w:val="28"/>
          <w:szCs w:val="28"/>
        </w:rPr>
        <w:t>12小时内将甲方所需产品送至甲方指定地点。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3.3</w:t>
      </w:r>
      <w:r>
        <w:rPr>
          <w:rFonts w:hint="eastAsia" w:ascii="仿宋_GB2312" w:hAnsi="仿宋_GB2312" w:eastAsia="仿宋_GB2312" w:cs="仿宋_GB2312"/>
          <w:color w:val="auto"/>
          <w:sz w:val="28"/>
          <w:szCs w:val="28"/>
        </w:rPr>
        <w:t>乙方将产品送至甲方指定地点后，甲方应该派员对钢瓶数量进行清点，对每个钢瓶的压力和质量进行检测和检验。清点检测检验合格以后，出具收货凭证。</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sz w:val="28"/>
          <w:szCs w:val="28"/>
          <w:lang w:val="en-US" w:eastAsia="zh-CN"/>
        </w:rPr>
        <w:t>3.4</w:t>
      </w:r>
      <w:r>
        <w:rPr>
          <w:rFonts w:hint="eastAsia" w:ascii="仿宋_GB2312" w:hAnsi="仿宋_GB2312" w:eastAsia="仿宋_GB2312" w:cs="仿宋_GB2312"/>
          <w:color w:val="auto"/>
          <w:sz w:val="28"/>
          <w:szCs w:val="28"/>
        </w:rPr>
        <w:t>甲方在收货验收过程中发现乙方提供的产品不符合标准，有权拒收并要求乙方更换；甲方在产品质保期内发现乙方产品不符合产品质量标准，</w:t>
      </w:r>
      <w:r>
        <w:rPr>
          <w:rFonts w:hint="eastAsia" w:ascii="仿宋_GB2312" w:hAnsi="仿宋_GB2312" w:eastAsia="仿宋_GB2312" w:cs="仿宋_GB2312"/>
          <w:color w:val="auto"/>
          <w:kern w:val="0"/>
          <w:sz w:val="28"/>
          <w:szCs w:val="28"/>
        </w:rPr>
        <w:t>有权随时要求乙方更换或退货，由此产生的损失和费用均由乙方承担。</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第四条 合同期限</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合同期限为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年，从202</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日起至202</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日止。</w:t>
      </w:r>
    </w:p>
    <w:p>
      <w:pPr>
        <w:pageBreakBefore w:val="0"/>
        <w:numPr>
          <w:ilvl w:val="0"/>
          <w:numId w:val="0"/>
        </w:numPr>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kern w:val="2"/>
          <w:sz w:val="28"/>
          <w:szCs w:val="28"/>
          <w:lang w:val="en-US" w:eastAsia="zh-CN" w:bidi="ar-SA"/>
        </w:rPr>
        <w:t>第五条 质保期</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本合同产品质保期为</w:t>
      </w:r>
      <w:r>
        <w:rPr>
          <w:rFonts w:hint="eastAsia" w:ascii="仿宋_GB2312" w:hAnsi="仿宋_GB2312" w:eastAsia="仿宋_GB2312" w:cs="仿宋_GB2312"/>
          <w:color w:val="auto"/>
          <w:sz w:val="28"/>
          <w:szCs w:val="28"/>
          <w:u w:val="single"/>
          <w:lang w:val="en-US" w:eastAsia="zh-CN"/>
        </w:rPr>
        <w:t xml:space="preserve"> 壹 </w:t>
      </w:r>
      <w:r>
        <w:rPr>
          <w:rFonts w:hint="eastAsia" w:ascii="仿宋_GB2312" w:hAnsi="仿宋_GB2312" w:eastAsia="仿宋_GB2312" w:cs="仿宋_GB2312"/>
          <w:color w:val="auto"/>
          <w:sz w:val="28"/>
          <w:szCs w:val="28"/>
          <w:lang w:val="en-US" w:eastAsia="zh-CN"/>
        </w:rPr>
        <w:t>年，自甲方检测检验合格出具收货凭证之日起计算。</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六</w:t>
      </w:r>
      <w:r>
        <w:rPr>
          <w:rFonts w:hint="eastAsia" w:ascii="仿宋_GB2312" w:hAnsi="仿宋_GB2312" w:eastAsia="仿宋_GB2312" w:cs="仿宋_GB2312"/>
          <w:b/>
          <w:bCs/>
          <w:color w:val="auto"/>
          <w:sz w:val="28"/>
          <w:szCs w:val="28"/>
        </w:rPr>
        <w:t>条 结算时间和付款方式</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6.1价款按月结付。甲</w:t>
      </w:r>
      <w:r>
        <w:rPr>
          <w:rFonts w:hint="eastAsia" w:ascii="仿宋_GB2312" w:hAnsi="仿宋_GB2312" w:eastAsia="仿宋_GB2312" w:cs="仿宋_GB2312"/>
          <w:color w:val="auto"/>
          <w:sz w:val="28"/>
          <w:szCs w:val="28"/>
        </w:rPr>
        <w:t>方</w:t>
      </w:r>
      <w:r>
        <w:rPr>
          <w:rFonts w:hint="eastAsia" w:ascii="仿宋_GB2312" w:hAnsi="仿宋_GB2312" w:eastAsia="仿宋_GB2312" w:cs="仿宋_GB2312"/>
          <w:color w:val="auto"/>
          <w:sz w:val="28"/>
          <w:szCs w:val="28"/>
          <w:lang w:val="en-US" w:eastAsia="zh-CN"/>
        </w:rPr>
        <w:t>在</w:t>
      </w:r>
      <w:r>
        <w:rPr>
          <w:rFonts w:hint="eastAsia" w:ascii="仿宋_GB2312" w:hAnsi="仿宋_GB2312" w:eastAsia="仿宋_GB2312" w:cs="仿宋_GB2312"/>
          <w:color w:val="auto"/>
          <w:sz w:val="28"/>
          <w:szCs w:val="28"/>
        </w:rPr>
        <w:t>每月15日前凭上月收货凭证</w:t>
      </w:r>
      <w:r>
        <w:rPr>
          <w:rFonts w:hint="eastAsia" w:ascii="仿宋_GB2312" w:hAnsi="仿宋_GB2312" w:eastAsia="仿宋_GB2312" w:cs="仿宋_GB2312"/>
          <w:color w:val="auto"/>
          <w:sz w:val="28"/>
          <w:szCs w:val="28"/>
          <w:lang w:val="en-US" w:eastAsia="zh-CN"/>
        </w:rPr>
        <w:t>与乙方</w:t>
      </w:r>
      <w:r>
        <w:rPr>
          <w:rFonts w:hint="eastAsia" w:ascii="仿宋_GB2312" w:hAnsi="仿宋_GB2312" w:eastAsia="仿宋_GB2312" w:cs="仿宋_GB2312"/>
          <w:color w:val="auto"/>
          <w:sz w:val="28"/>
          <w:szCs w:val="28"/>
        </w:rPr>
        <w:t>办理上月的</w:t>
      </w:r>
      <w:r>
        <w:rPr>
          <w:rFonts w:hint="eastAsia" w:ascii="仿宋_GB2312" w:hAnsi="仿宋_GB2312" w:eastAsia="仿宋_GB2312" w:cs="仿宋_GB2312"/>
          <w:color w:val="auto"/>
          <w:sz w:val="28"/>
          <w:szCs w:val="28"/>
          <w:lang w:val="en-US" w:eastAsia="zh-CN"/>
        </w:rPr>
        <w:t>货款</w:t>
      </w:r>
      <w:r>
        <w:rPr>
          <w:rFonts w:hint="eastAsia" w:ascii="仿宋_GB2312" w:hAnsi="仿宋_GB2312" w:eastAsia="仿宋_GB2312" w:cs="仿宋_GB2312"/>
          <w:color w:val="auto"/>
          <w:sz w:val="28"/>
          <w:szCs w:val="28"/>
        </w:rPr>
        <w:t>结算手续</w:t>
      </w:r>
      <w:r>
        <w:rPr>
          <w:rFonts w:hint="eastAsia" w:ascii="仿宋_GB2312" w:hAnsi="仿宋_GB2312" w:eastAsia="仿宋_GB2312" w:cs="仿宋_GB2312"/>
          <w:color w:val="auto"/>
          <w:sz w:val="28"/>
          <w:szCs w:val="28"/>
          <w:lang w:val="en-US" w:eastAsia="zh-CN"/>
        </w:rPr>
        <w:t>；乙方在每次</w:t>
      </w:r>
      <w:r>
        <w:rPr>
          <w:rFonts w:hint="eastAsia" w:ascii="仿宋_GB2312" w:hAnsi="仿宋_GB2312" w:eastAsia="仿宋_GB2312" w:cs="仿宋_GB2312"/>
          <w:color w:val="auto"/>
          <w:sz w:val="28"/>
          <w:szCs w:val="28"/>
        </w:rPr>
        <w:t>结算后</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向甲方</w:t>
      </w:r>
      <w:r>
        <w:rPr>
          <w:rFonts w:hint="eastAsia" w:ascii="仿宋_GB2312" w:hAnsi="仿宋_GB2312" w:eastAsia="仿宋_GB2312" w:cs="仿宋_GB2312"/>
          <w:color w:val="auto"/>
          <w:sz w:val="28"/>
          <w:szCs w:val="28"/>
        </w:rPr>
        <w:t>开具</w:t>
      </w:r>
      <w:r>
        <w:rPr>
          <w:rFonts w:hint="eastAsia" w:ascii="仿宋_GB2312" w:hAnsi="仿宋_GB2312" w:eastAsia="仿宋_GB2312" w:cs="仿宋_GB2312"/>
          <w:color w:val="auto"/>
          <w:sz w:val="28"/>
          <w:szCs w:val="28"/>
          <w:lang w:val="en-US" w:eastAsia="zh-CN"/>
        </w:rPr>
        <w:t>与结算价款相对应金额的</w:t>
      </w:r>
      <w:r>
        <w:rPr>
          <w:rFonts w:hint="eastAsia" w:ascii="仿宋_GB2312" w:hAnsi="仿宋_GB2312" w:eastAsia="仿宋_GB2312" w:cs="仿宋_GB2312"/>
          <w:color w:val="auto"/>
          <w:sz w:val="28"/>
          <w:szCs w:val="28"/>
        </w:rPr>
        <w:t>增值税普通发票。甲方在收到乙方的发票后，按甲方财务制度付款。</w:t>
      </w:r>
      <w:r>
        <w:rPr>
          <w:rFonts w:hint="eastAsia" w:ascii="仿宋_GB2312" w:hAnsi="仿宋_GB2312" w:eastAsia="仿宋_GB2312" w:cs="仿宋_GB2312"/>
          <w:color w:val="auto"/>
          <w:sz w:val="28"/>
          <w:szCs w:val="28"/>
          <w:lang w:val="en-US" w:eastAsia="zh-CN"/>
        </w:rPr>
        <w:t>如乙方未提供发票，甲方有权顺延付款期限。</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6.2</w:t>
      </w:r>
      <w:r>
        <w:rPr>
          <w:rFonts w:hint="eastAsia" w:ascii="仿宋_GB2312" w:hAnsi="仿宋_GB2312" w:eastAsia="仿宋_GB2312" w:cs="仿宋_GB2312"/>
          <w:color w:val="auto"/>
          <w:sz w:val="28"/>
          <w:szCs w:val="28"/>
        </w:rPr>
        <w:t>甲方以银行转账的方式向乙方支付价款，乙方指定收款银行账户</w:t>
      </w:r>
      <w:r>
        <w:rPr>
          <w:rFonts w:hint="eastAsia" w:ascii="仿宋_GB2312" w:hAnsi="仿宋_GB2312" w:eastAsia="仿宋_GB2312" w:cs="仿宋_GB2312"/>
          <w:color w:val="auto"/>
          <w:sz w:val="28"/>
          <w:szCs w:val="28"/>
          <w:lang w:val="en-US" w:eastAsia="zh-CN"/>
        </w:rPr>
        <w:t>为</w:t>
      </w:r>
      <w:r>
        <w:rPr>
          <w:rFonts w:hint="eastAsia" w:ascii="仿宋_GB2312" w:hAnsi="仿宋_GB2312" w:eastAsia="仿宋_GB2312" w:cs="仿宋_GB2312"/>
          <w:color w:val="auto"/>
          <w:sz w:val="28"/>
          <w:szCs w:val="28"/>
          <w:lang w:eastAsia="zh-CN"/>
        </w:rPr>
        <w:t>：</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开户银行：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 xml:space="preserve">户名： </w:t>
      </w:r>
      <w:r>
        <w:rPr>
          <w:rFonts w:hint="eastAsia" w:ascii="仿宋_GB2312" w:hAnsi="仿宋_GB2312" w:eastAsia="仿宋_GB2312" w:cs="仿宋_GB2312"/>
          <w:color w:val="auto"/>
          <w:sz w:val="28"/>
          <w:szCs w:val="28"/>
          <w:lang w:val="en-US" w:eastAsia="zh-CN"/>
        </w:rPr>
        <w:t xml:space="preserve">  </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账号：</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七</w:t>
      </w:r>
      <w:r>
        <w:rPr>
          <w:rFonts w:hint="eastAsia" w:ascii="仿宋_GB2312" w:hAnsi="仿宋_GB2312" w:eastAsia="仿宋_GB2312" w:cs="仿宋_GB2312"/>
          <w:b/>
          <w:bCs/>
          <w:color w:val="auto"/>
          <w:sz w:val="28"/>
          <w:szCs w:val="28"/>
        </w:rPr>
        <w:t>条 风险承担</w:t>
      </w:r>
    </w:p>
    <w:p>
      <w:pPr>
        <w:pageBreakBefore w:val="0"/>
        <w:kinsoku/>
        <w:wordWrap/>
        <w:overflowPunct/>
        <w:topLinePunct w:val="0"/>
        <w:autoSpaceDE/>
        <w:autoSpaceDN/>
        <w:bidi w:val="0"/>
        <w:snapToGrid/>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7.1</w:t>
      </w:r>
      <w:r>
        <w:rPr>
          <w:rFonts w:hint="eastAsia" w:ascii="仿宋_GB2312" w:hAnsi="仿宋_GB2312" w:eastAsia="仿宋_GB2312" w:cs="仿宋_GB2312"/>
          <w:color w:val="auto"/>
          <w:sz w:val="28"/>
          <w:szCs w:val="28"/>
        </w:rPr>
        <w:t>甲方向乙方出具收货凭证之前产生的风险由乙方承担，出具收货凭证之后产生的风险由甲方承担，但因钢瓶质量、维护的原因产生的风险由乙方承担。</w:t>
      </w:r>
    </w:p>
    <w:p>
      <w:pPr>
        <w:pageBreakBefore w:val="0"/>
        <w:kinsoku/>
        <w:wordWrap/>
        <w:overflowPunct/>
        <w:topLinePunct w:val="0"/>
        <w:autoSpaceDE/>
        <w:autoSpaceDN/>
        <w:bidi w:val="0"/>
        <w:snapToGrid/>
        <w:spacing w:line="560" w:lineRule="exact"/>
        <w:ind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7.2 </w:t>
      </w:r>
      <w:r>
        <w:rPr>
          <w:rFonts w:hint="eastAsia" w:ascii="仿宋_GB2312" w:hAnsi="仿宋_GB2312" w:eastAsia="仿宋_GB2312" w:cs="仿宋_GB2312"/>
          <w:color w:val="auto"/>
          <w:sz w:val="28"/>
          <w:szCs w:val="28"/>
        </w:rPr>
        <w:t>乙方在履行本合同过程中</w:t>
      </w:r>
      <w:r>
        <w:rPr>
          <w:rFonts w:hint="eastAsia" w:ascii="仿宋_GB2312" w:hAnsi="仿宋_GB2312" w:eastAsia="仿宋_GB2312" w:cs="仿宋_GB2312"/>
          <w:color w:val="auto"/>
          <w:sz w:val="28"/>
          <w:szCs w:val="28"/>
          <w:lang w:val="en-US" w:eastAsia="zh-CN"/>
        </w:rPr>
        <w:t>发生事故</w:t>
      </w:r>
      <w:r>
        <w:rPr>
          <w:rFonts w:hint="eastAsia" w:ascii="仿宋_GB2312" w:hAnsi="仿宋_GB2312" w:eastAsia="仿宋_GB2312" w:cs="仿宋_GB2312"/>
          <w:color w:val="auto"/>
          <w:sz w:val="28"/>
          <w:szCs w:val="28"/>
        </w:rPr>
        <w:t>，给甲方（包括与甲方诊疗活动相关人员）、乙方及第三方人员、财产造成的损失，均由乙方负责处理和承担</w:t>
      </w:r>
      <w:r>
        <w:rPr>
          <w:rFonts w:hint="eastAsia" w:ascii="仿宋_GB2312" w:hAnsi="仿宋_GB2312" w:eastAsia="仿宋_GB2312" w:cs="仿宋_GB2312"/>
          <w:color w:val="auto"/>
          <w:sz w:val="28"/>
          <w:szCs w:val="28"/>
          <w:lang w:val="en-US" w:eastAsia="zh-CN"/>
        </w:rPr>
        <w:t>全部损失</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八</w:t>
      </w:r>
      <w:r>
        <w:rPr>
          <w:rFonts w:hint="eastAsia" w:ascii="仿宋_GB2312" w:hAnsi="仿宋_GB2312" w:eastAsia="仿宋_GB2312" w:cs="仿宋_GB2312"/>
          <w:b/>
          <w:bCs/>
          <w:color w:val="auto"/>
          <w:sz w:val="28"/>
          <w:szCs w:val="28"/>
        </w:rPr>
        <w:t>条 其他约定</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8.1</w:t>
      </w:r>
      <w:r>
        <w:rPr>
          <w:rFonts w:hint="eastAsia" w:ascii="仿宋_GB2312" w:hAnsi="仿宋_GB2312" w:eastAsia="仿宋_GB2312" w:cs="仿宋_GB2312"/>
          <w:color w:val="auto"/>
          <w:sz w:val="28"/>
          <w:szCs w:val="28"/>
        </w:rPr>
        <w:t>乙方负责按照保修和维护标准对医用钢瓶进行维修、维护和保养。</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8.2</w:t>
      </w:r>
      <w:r>
        <w:rPr>
          <w:rFonts w:hint="eastAsia" w:ascii="仿宋_GB2312" w:hAnsi="仿宋_GB2312" w:eastAsia="仿宋_GB2312" w:cs="仿宋_GB2312"/>
          <w:color w:val="auto"/>
          <w:sz w:val="28"/>
          <w:szCs w:val="28"/>
        </w:rPr>
        <w:t>乙方负责</w:t>
      </w:r>
      <w:r>
        <w:rPr>
          <w:rFonts w:hint="eastAsia" w:ascii="仿宋_GB2312" w:hAnsi="仿宋_GB2312" w:eastAsia="仿宋_GB2312" w:cs="仿宋_GB2312"/>
          <w:color w:val="auto"/>
          <w:sz w:val="28"/>
          <w:szCs w:val="28"/>
          <w:lang w:val="en-US" w:eastAsia="zh-CN"/>
        </w:rPr>
        <w:t>按相关要求</w:t>
      </w:r>
      <w:r>
        <w:rPr>
          <w:rFonts w:hint="eastAsia" w:ascii="仿宋_GB2312" w:hAnsi="仿宋_GB2312" w:eastAsia="仿宋_GB2312" w:cs="仿宋_GB2312"/>
          <w:color w:val="auto"/>
          <w:sz w:val="28"/>
          <w:szCs w:val="28"/>
        </w:rPr>
        <w:t>对甲方自有的钢瓶进行管理和检测。</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8.3</w:t>
      </w:r>
      <w:r>
        <w:rPr>
          <w:rFonts w:hint="eastAsia" w:ascii="仿宋_GB2312" w:hAnsi="仿宋_GB2312" w:eastAsia="仿宋_GB2312" w:cs="仿宋_GB2312"/>
          <w:color w:val="auto"/>
          <w:sz w:val="28"/>
          <w:szCs w:val="28"/>
        </w:rPr>
        <w:t>甲方有义务在使用过程中遵守安全用气的相关规定。</w:t>
      </w:r>
    </w:p>
    <w:p>
      <w:pPr>
        <w:pStyle w:val="20"/>
        <w:pageBreakBefore w:val="0"/>
        <w:kinsoku/>
        <w:wordWrap/>
        <w:overflowPunct/>
        <w:topLinePunct w:val="0"/>
        <w:autoSpaceDE/>
        <w:autoSpaceDN/>
        <w:bidi w:val="0"/>
        <w:snapToGrid/>
        <w:spacing w:before="0" w:beforeAutospacing="0" w:after="0" w:afterAutospacing="0" w:line="560" w:lineRule="exact"/>
        <w:ind w:firstLine="562" w:firstLineChars="200"/>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第九条 通知与送达</w:t>
      </w:r>
    </w:p>
    <w:p>
      <w:pPr>
        <w:pStyle w:val="20"/>
        <w:pageBreakBefore w:val="0"/>
        <w:kinsoku/>
        <w:wordWrap/>
        <w:overflowPunct/>
        <w:topLinePunct w:val="0"/>
        <w:autoSpaceDE/>
        <w:autoSpaceDN/>
        <w:bidi w:val="0"/>
        <w:snapToGrid/>
        <w:spacing w:before="0" w:beforeAutospacing="0" w:after="0" w:afterAutospacing="0" w:line="560" w:lineRule="exact"/>
        <w:ind w:firstLine="560" w:firstLineChars="200"/>
        <w:rPr>
          <w:rStyle w:val="21"/>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color w:val="auto"/>
          <w:sz w:val="28"/>
          <w:szCs w:val="28"/>
          <w:lang w:val="en-US" w:eastAsia="zh-CN"/>
        </w:rPr>
        <w:t>9.1</w:t>
      </w:r>
      <w:r>
        <w:rPr>
          <w:rFonts w:hint="eastAsia" w:ascii="仿宋_GB2312" w:hAnsi="仿宋_GB2312" w:eastAsia="仿宋_GB2312" w:cs="仿宋_GB2312"/>
          <w:b w:val="0"/>
          <w:bCs/>
          <w:color w:val="auto"/>
          <w:sz w:val="28"/>
          <w:szCs w:val="28"/>
        </w:rPr>
        <w:t>甲乙双方同意，与本合同有关的任何</w:t>
      </w:r>
      <w:r>
        <w:rPr>
          <w:rFonts w:hint="eastAsia" w:ascii="仿宋_GB2312" w:hAnsi="仿宋_GB2312" w:eastAsia="仿宋_GB2312" w:cs="仿宋_GB2312"/>
          <w:b w:val="0"/>
          <w:bCs/>
          <w:color w:val="auto"/>
          <w:sz w:val="28"/>
          <w:szCs w:val="28"/>
          <w:lang w:val="en-US" w:eastAsia="zh-CN"/>
        </w:rPr>
        <w:t>文书</w:t>
      </w:r>
      <w:r>
        <w:rPr>
          <w:rFonts w:hint="eastAsia" w:ascii="仿宋_GB2312" w:hAnsi="仿宋_GB2312" w:eastAsia="仿宋_GB2312" w:cs="仿宋_GB2312"/>
          <w:b w:val="0"/>
          <w:bCs/>
          <w:color w:val="auto"/>
          <w:sz w:val="28"/>
          <w:szCs w:val="28"/>
        </w:rPr>
        <w:t>，应以书面方式送达本合同</w:t>
      </w:r>
      <w:r>
        <w:rPr>
          <w:rFonts w:hint="eastAsia" w:ascii="仿宋_GB2312" w:hAnsi="仿宋_GB2312" w:eastAsia="仿宋_GB2312" w:cs="仿宋_GB2312"/>
          <w:b w:val="0"/>
          <w:bCs/>
          <w:color w:val="auto"/>
          <w:sz w:val="28"/>
          <w:szCs w:val="28"/>
          <w:lang w:val="en-US" w:eastAsia="zh-CN"/>
        </w:rPr>
        <w:t>约定的</w:t>
      </w:r>
      <w:r>
        <w:rPr>
          <w:rFonts w:hint="eastAsia" w:ascii="仿宋_GB2312" w:hAnsi="仿宋_GB2312" w:eastAsia="仿宋_GB2312" w:cs="仿宋_GB2312"/>
          <w:b w:val="0"/>
          <w:bCs/>
          <w:color w:val="auto"/>
          <w:sz w:val="28"/>
          <w:szCs w:val="28"/>
        </w:rPr>
        <w:t>联系方式。</w:t>
      </w:r>
      <w:r>
        <w:rPr>
          <w:rStyle w:val="21"/>
          <w:rFonts w:hint="eastAsia" w:ascii="仿宋_GB2312" w:hAnsi="仿宋_GB2312" w:eastAsia="仿宋_GB2312" w:cs="仿宋_GB2312"/>
          <w:b w:val="0"/>
          <w:bCs w:val="0"/>
          <w:color w:val="auto"/>
          <w:sz w:val="28"/>
          <w:szCs w:val="28"/>
        </w:rPr>
        <w:t>书面形式包括手机短信、微信、书面函件、电子邮件等形式。</w:t>
      </w:r>
    </w:p>
    <w:p>
      <w:pPr>
        <w:pageBreakBefore w:val="0"/>
        <w:widowControl w:val="0"/>
        <w:kinsoku/>
        <w:wordWrap/>
        <w:overflowPunct/>
        <w:topLinePunct w:val="0"/>
        <w:autoSpaceDE/>
        <w:autoSpaceDN/>
        <w:bidi w:val="0"/>
        <w:snapToGrid/>
        <w:spacing w:line="56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9.2</w:t>
      </w:r>
      <w:r>
        <w:rPr>
          <w:rFonts w:hint="eastAsia" w:ascii="仿宋_GB2312" w:hAnsi="仿宋_GB2312" w:eastAsia="仿宋_GB2312" w:cs="仿宋_GB2312"/>
          <w:color w:val="auto"/>
          <w:sz w:val="28"/>
          <w:szCs w:val="28"/>
        </w:rPr>
        <w:t>双方确认的文书（包括</w:t>
      </w:r>
      <w:r>
        <w:rPr>
          <w:rFonts w:hint="eastAsia" w:ascii="仿宋_GB2312" w:hAnsi="仿宋_GB2312" w:eastAsia="仿宋_GB2312" w:cs="仿宋_GB2312"/>
          <w:color w:val="auto"/>
          <w:sz w:val="28"/>
          <w:szCs w:val="28"/>
          <w:lang w:val="en-US" w:eastAsia="zh-CN"/>
        </w:rPr>
        <w:t>未来</w:t>
      </w:r>
      <w:r>
        <w:rPr>
          <w:rFonts w:hint="eastAsia" w:ascii="仿宋_GB2312" w:hAnsi="仿宋_GB2312" w:eastAsia="仿宋_GB2312" w:cs="仿宋_GB2312"/>
          <w:b w:val="0"/>
          <w:bCs/>
          <w:color w:val="auto"/>
          <w:sz w:val="28"/>
          <w:szCs w:val="28"/>
        </w:rPr>
        <w:t>可能发生的诉讼</w:t>
      </w:r>
      <w:r>
        <w:rPr>
          <w:rFonts w:hint="eastAsia" w:ascii="仿宋_GB2312" w:hAnsi="仿宋_GB2312" w:eastAsia="仿宋_GB2312" w:cs="仿宋_GB2312"/>
          <w:b w:val="0"/>
          <w:bCs/>
          <w:color w:val="auto"/>
          <w:sz w:val="28"/>
          <w:szCs w:val="28"/>
          <w:lang w:val="en-US" w:eastAsia="zh-CN"/>
        </w:rPr>
        <w:t>或</w:t>
      </w:r>
      <w:r>
        <w:rPr>
          <w:rFonts w:hint="eastAsia" w:ascii="仿宋_GB2312" w:hAnsi="仿宋_GB2312" w:eastAsia="仿宋_GB2312" w:cs="仿宋_GB2312"/>
          <w:b w:val="0"/>
          <w:bCs/>
          <w:color w:val="auto"/>
          <w:sz w:val="28"/>
          <w:szCs w:val="28"/>
        </w:rPr>
        <w:t>仲裁活动中</w:t>
      </w:r>
      <w:r>
        <w:rPr>
          <w:rFonts w:hint="eastAsia" w:ascii="仿宋_GB2312" w:hAnsi="仿宋_GB2312" w:eastAsia="仿宋_GB2312" w:cs="仿宋_GB2312"/>
          <w:color w:val="auto"/>
          <w:sz w:val="28"/>
          <w:szCs w:val="28"/>
        </w:rPr>
        <w:t>法院或仲裁机构的</w:t>
      </w:r>
      <w:r>
        <w:rPr>
          <w:rFonts w:hint="eastAsia" w:ascii="仿宋_GB2312" w:hAnsi="仿宋_GB2312" w:eastAsia="仿宋_GB2312" w:cs="仿宋_GB2312"/>
          <w:color w:val="auto"/>
          <w:sz w:val="28"/>
          <w:szCs w:val="28"/>
          <w:lang w:val="en-US" w:eastAsia="zh-CN"/>
        </w:rPr>
        <w:t>送达</w:t>
      </w:r>
      <w:r>
        <w:rPr>
          <w:rFonts w:hint="eastAsia" w:ascii="仿宋_GB2312" w:hAnsi="仿宋_GB2312" w:eastAsia="仿宋_GB2312" w:cs="仿宋_GB2312"/>
          <w:color w:val="auto"/>
          <w:sz w:val="28"/>
          <w:szCs w:val="28"/>
        </w:rPr>
        <w:t>法律文书）送达地址：</w:t>
      </w:r>
    </w:p>
    <w:p>
      <w:pPr>
        <w:pageBreakBefore w:val="0"/>
        <w:kinsoku/>
        <w:wordWrap/>
        <w:overflowPunct/>
        <w:topLinePunct w:val="0"/>
        <w:autoSpaceDE/>
        <w:autoSpaceDN/>
        <w:bidi w:val="0"/>
        <w:snapToGrid/>
        <w:spacing w:line="560" w:lineRule="exact"/>
        <w:ind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9.2.1</w:t>
      </w:r>
      <w:r>
        <w:rPr>
          <w:rFonts w:hint="eastAsia" w:ascii="仿宋_GB2312" w:hAnsi="仿宋_GB2312" w:eastAsia="仿宋_GB2312" w:cs="仿宋_GB2312"/>
          <w:color w:val="auto"/>
          <w:sz w:val="28"/>
          <w:szCs w:val="28"/>
        </w:rPr>
        <w:t>甲方的文书送达地址</w:t>
      </w:r>
      <w:r>
        <w:rPr>
          <w:rFonts w:hint="eastAsia" w:ascii="仿宋_GB2312" w:hAnsi="仿宋_GB2312" w:eastAsia="仿宋_GB2312" w:cs="仿宋_GB2312"/>
          <w:color w:val="auto"/>
          <w:sz w:val="28"/>
          <w:szCs w:val="28"/>
          <w:u w:val="single"/>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snapToGrid/>
        <w:spacing w:line="560" w:lineRule="exact"/>
        <w:ind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9.2.2</w:t>
      </w:r>
      <w:r>
        <w:rPr>
          <w:rFonts w:hint="eastAsia" w:ascii="仿宋_GB2312" w:hAnsi="仿宋_GB2312" w:eastAsia="仿宋_GB2312" w:cs="仿宋_GB2312"/>
          <w:color w:val="auto"/>
          <w:sz w:val="28"/>
          <w:szCs w:val="28"/>
        </w:rPr>
        <w:t>乙方的文书送达地址：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pPr>
        <w:pageBreakBefore w:val="0"/>
        <w:widowControl w:val="0"/>
        <w:kinsoku/>
        <w:wordWrap/>
        <w:overflowPunct/>
        <w:topLinePunct w:val="0"/>
        <w:autoSpaceDE/>
        <w:autoSpaceDN/>
        <w:bidi w:val="0"/>
        <w:snapToGrid/>
        <w:spacing w:line="56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9.3</w:t>
      </w:r>
      <w:r>
        <w:rPr>
          <w:rFonts w:hint="eastAsia" w:ascii="仿宋_GB2312" w:hAnsi="仿宋_GB2312" w:eastAsia="仿宋_GB2312" w:cs="仿宋_GB2312"/>
          <w:b w:val="0"/>
          <w:bCs/>
          <w:color w:val="auto"/>
          <w:sz w:val="28"/>
          <w:szCs w:val="28"/>
        </w:rPr>
        <w:t>上述通知应被视为在下列时间送达：以快递或专人发送的，在收件人签收之日或拒收之日；以挂号邮件发出的，在发出之日起7个工作日；以电子邮件发出的，在电子邮件进入收件方电子邮箱服务器之日。</w:t>
      </w:r>
    </w:p>
    <w:p>
      <w:pPr>
        <w:pageBreakBefore w:val="0"/>
        <w:widowControl w:val="0"/>
        <w:kinsoku/>
        <w:wordWrap/>
        <w:overflowPunct/>
        <w:topLinePunct w:val="0"/>
        <w:autoSpaceDE/>
        <w:autoSpaceDN/>
        <w:bidi w:val="0"/>
        <w:snapToGrid/>
        <w:spacing w:line="56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9.4</w:t>
      </w:r>
      <w:r>
        <w:rPr>
          <w:rFonts w:hint="eastAsia" w:ascii="仿宋_GB2312" w:hAnsi="仿宋_GB2312" w:eastAsia="仿宋_GB2312" w:cs="仿宋_GB2312"/>
          <w:color w:val="auto"/>
          <w:sz w:val="28"/>
          <w:szCs w:val="28"/>
        </w:rPr>
        <w:t>以上地址和联系方式</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任何一方</w:t>
      </w:r>
      <w:r>
        <w:rPr>
          <w:rFonts w:hint="eastAsia" w:ascii="仿宋_GB2312" w:hAnsi="仿宋_GB2312" w:eastAsia="仿宋_GB2312" w:cs="仿宋_GB2312"/>
          <w:color w:val="auto"/>
          <w:sz w:val="28"/>
          <w:szCs w:val="28"/>
        </w:rPr>
        <w:t>发生变</w:t>
      </w:r>
      <w:r>
        <w:rPr>
          <w:rFonts w:hint="eastAsia" w:ascii="仿宋_GB2312" w:hAnsi="仿宋_GB2312" w:eastAsia="仿宋_GB2312" w:cs="仿宋_GB2312"/>
          <w:color w:val="auto"/>
          <w:sz w:val="28"/>
          <w:szCs w:val="28"/>
          <w:lang w:val="en-US" w:eastAsia="zh-CN"/>
        </w:rPr>
        <w:t>更应在变更之日起3日内</w:t>
      </w:r>
      <w:r>
        <w:rPr>
          <w:rFonts w:hint="eastAsia" w:ascii="仿宋_GB2312" w:hAnsi="仿宋_GB2312" w:eastAsia="仿宋_GB2312" w:cs="仿宋_GB2312"/>
          <w:color w:val="auto"/>
          <w:sz w:val="28"/>
          <w:szCs w:val="28"/>
        </w:rPr>
        <w:t>通知对方。如未通知，</w:t>
      </w:r>
      <w:r>
        <w:rPr>
          <w:rFonts w:hint="eastAsia" w:ascii="仿宋_GB2312" w:hAnsi="仿宋_GB2312" w:eastAsia="仿宋_GB2312" w:cs="仿宋_GB2312"/>
          <w:color w:val="auto"/>
          <w:sz w:val="28"/>
          <w:szCs w:val="28"/>
          <w:lang w:val="en-US" w:eastAsia="zh-CN"/>
        </w:rPr>
        <w:t>一方按</w:t>
      </w:r>
      <w:r>
        <w:rPr>
          <w:rFonts w:hint="eastAsia" w:ascii="仿宋_GB2312" w:hAnsi="仿宋_GB2312" w:eastAsia="仿宋_GB2312" w:cs="仿宋_GB2312"/>
          <w:b w:val="0"/>
          <w:bCs/>
          <w:color w:val="auto"/>
          <w:sz w:val="28"/>
          <w:szCs w:val="28"/>
        </w:rPr>
        <w:t>原地址送达的书面资料被退回的，退回之日视为送达之日。任何一方按照确认地址送到另一方的书面资料被拒绝签收导致邮件被退回的，退回之日视为送达之日。</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w:t>
      </w:r>
      <w:r>
        <w:rPr>
          <w:rFonts w:hint="eastAsia" w:ascii="仿宋_GB2312" w:hAnsi="仿宋_GB2312" w:eastAsia="仿宋_GB2312" w:cs="仿宋_GB2312"/>
          <w:b/>
          <w:bCs/>
          <w:color w:val="auto"/>
          <w:sz w:val="28"/>
          <w:szCs w:val="28"/>
        </w:rPr>
        <w:t>条 合同的补充、变更、解除和终止</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10.1本合同未尽事宜，双方协商一致后另行签订变更、补充协议</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10.2</w:t>
      </w:r>
      <w:r>
        <w:rPr>
          <w:rFonts w:hint="eastAsia" w:ascii="仿宋_GB2312" w:hAnsi="仿宋_GB2312" w:eastAsia="仿宋_GB2312" w:cs="仿宋_GB2312"/>
          <w:color w:val="auto"/>
          <w:sz w:val="28"/>
          <w:szCs w:val="28"/>
        </w:rPr>
        <w:t>如乙方出现以下情形时，甲方可以单方解除合同：</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10.2.1</w:t>
      </w:r>
      <w:r>
        <w:rPr>
          <w:rFonts w:hint="eastAsia" w:ascii="仿宋_GB2312" w:hAnsi="仿宋_GB2312" w:eastAsia="仿宋_GB2312" w:cs="仿宋_GB2312"/>
          <w:color w:val="auto"/>
          <w:sz w:val="28"/>
          <w:szCs w:val="28"/>
          <w:highlight w:val="none"/>
        </w:rPr>
        <w:t>乙方交付的产品经验收不合格，</w:t>
      </w:r>
      <w:r>
        <w:rPr>
          <w:rFonts w:hint="eastAsia" w:ascii="仿宋_GB2312" w:hAnsi="仿宋_GB2312" w:eastAsia="仿宋_GB2312" w:cs="仿宋_GB2312"/>
          <w:color w:val="auto"/>
          <w:sz w:val="28"/>
          <w:szCs w:val="28"/>
          <w:highlight w:val="none"/>
          <w:lang w:val="en-US" w:eastAsia="zh-CN"/>
        </w:rPr>
        <w:t>经</w:t>
      </w:r>
      <w:r>
        <w:rPr>
          <w:rFonts w:hint="eastAsia" w:ascii="仿宋_GB2312" w:hAnsi="仿宋_GB2312" w:eastAsia="仿宋_GB2312" w:cs="仿宋_GB2312"/>
          <w:color w:val="auto"/>
          <w:sz w:val="28"/>
          <w:szCs w:val="28"/>
          <w:highlight w:val="none"/>
        </w:rPr>
        <w:t>甲方提出后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仍不更换；</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10.2.2</w:t>
      </w:r>
      <w:r>
        <w:rPr>
          <w:rFonts w:hint="eastAsia" w:ascii="仿宋_GB2312" w:hAnsi="仿宋_GB2312" w:eastAsia="仿宋_GB2312" w:cs="仿宋_GB2312"/>
          <w:color w:val="auto"/>
          <w:sz w:val="28"/>
          <w:szCs w:val="28"/>
          <w:highlight w:val="none"/>
        </w:rPr>
        <w:t>乙方未在甲方约定的时间内提供产品，经甲方催告后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仍不提供。</w:t>
      </w:r>
    </w:p>
    <w:p>
      <w:pPr>
        <w:pageBreakBefore w:val="0"/>
        <w:kinsoku/>
        <w:wordWrap/>
        <w:overflowPunct/>
        <w:topLinePunct w:val="0"/>
        <w:autoSpaceDE/>
        <w:autoSpaceDN/>
        <w:bidi w:val="0"/>
        <w:snapToGrid/>
        <w:spacing w:line="560" w:lineRule="exact"/>
        <w:ind w:firstLine="618" w:firstLineChars="221"/>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10.2.3 乙方转包、分包的。</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十一</w:t>
      </w:r>
      <w:r>
        <w:rPr>
          <w:rFonts w:hint="eastAsia" w:ascii="仿宋_GB2312" w:hAnsi="仿宋_GB2312" w:eastAsia="仿宋_GB2312" w:cs="仿宋_GB2312"/>
          <w:b/>
          <w:bCs/>
          <w:color w:val="auto"/>
          <w:sz w:val="28"/>
          <w:szCs w:val="28"/>
        </w:rPr>
        <w:t>条 违约责任</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11.1</w:t>
      </w:r>
      <w:r>
        <w:rPr>
          <w:rFonts w:hint="eastAsia" w:ascii="仿宋_GB2312" w:hAnsi="仿宋_GB2312" w:eastAsia="仿宋_GB2312" w:cs="仿宋_GB2312"/>
          <w:color w:val="auto"/>
          <w:sz w:val="28"/>
          <w:szCs w:val="28"/>
          <w:highlight w:val="none"/>
        </w:rPr>
        <w:t>如甲方在使用过程中丢失乙方的钢瓶，</w:t>
      </w:r>
      <w:r>
        <w:rPr>
          <w:rFonts w:hint="eastAsia" w:ascii="仿宋_GB2312" w:hAnsi="仿宋_GB2312" w:eastAsia="仿宋_GB2312" w:cs="仿宋_GB2312"/>
          <w:color w:val="auto"/>
          <w:sz w:val="28"/>
          <w:szCs w:val="28"/>
          <w:highlight w:val="none"/>
          <w:lang w:val="en-US" w:eastAsia="zh-CN"/>
        </w:rPr>
        <w:t>按每个钢瓶</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元的标准</w:t>
      </w:r>
      <w:r>
        <w:rPr>
          <w:rFonts w:hint="eastAsia" w:ascii="仿宋_GB2312" w:hAnsi="仿宋_GB2312" w:eastAsia="仿宋_GB2312" w:cs="仿宋_GB2312"/>
          <w:color w:val="auto"/>
          <w:sz w:val="28"/>
          <w:szCs w:val="28"/>
          <w:highlight w:val="none"/>
        </w:rPr>
        <w:t>赔偿给乙方。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11.2</w:t>
      </w:r>
      <w:r>
        <w:rPr>
          <w:rFonts w:hint="eastAsia" w:ascii="仿宋_GB2312" w:hAnsi="仿宋_GB2312" w:eastAsia="仿宋_GB2312" w:cs="仿宋_GB2312"/>
          <w:color w:val="auto"/>
          <w:sz w:val="28"/>
          <w:szCs w:val="28"/>
        </w:rPr>
        <w:t>乙方未按约定时间向甲方提供产品</w:t>
      </w:r>
      <w:r>
        <w:rPr>
          <w:rFonts w:hint="eastAsia" w:ascii="仿宋_GB2312" w:hAnsi="仿宋_GB2312" w:eastAsia="仿宋_GB2312" w:cs="仿宋_GB2312"/>
          <w:color w:val="auto"/>
          <w:sz w:val="28"/>
          <w:szCs w:val="28"/>
          <w:lang w:val="en-US" w:eastAsia="zh-CN"/>
        </w:rPr>
        <w:t>或未及时更换不合格产品的</w:t>
      </w:r>
      <w:r>
        <w:rPr>
          <w:rFonts w:hint="eastAsia" w:ascii="仿宋_GB2312" w:hAnsi="仿宋_GB2312" w:eastAsia="仿宋_GB2312" w:cs="仿宋_GB2312"/>
          <w:color w:val="auto"/>
          <w:sz w:val="28"/>
          <w:szCs w:val="28"/>
        </w:rPr>
        <w:t>，除赔偿甲方由此造成的损失外，每逾期一日，还应向甲方支付违约金</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500</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元。</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11.3</w:t>
      </w:r>
      <w:r>
        <w:rPr>
          <w:rFonts w:hint="eastAsia" w:ascii="仿宋_GB2312" w:hAnsi="仿宋_GB2312" w:eastAsia="仿宋_GB2312" w:cs="仿宋_GB2312"/>
          <w:color w:val="auto"/>
          <w:sz w:val="28"/>
          <w:szCs w:val="28"/>
        </w:rPr>
        <w:t>乙方提供的产品不合格给甲</w:t>
      </w:r>
      <w:r>
        <w:rPr>
          <w:rFonts w:hint="eastAsia" w:ascii="仿宋_GB2312" w:hAnsi="仿宋_GB2312" w:eastAsia="仿宋_GB2312" w:cs="仿宋_GB2312"/>
          <w:color w:val="auto"/>
          <w:sz w:val="28"/>
          <w:szCs w:val="28"/>
          <w:lang w:val="en-US" w:eastAsia="zh-CN"/>
        </w:rPr>
        <w:t>方及第三方</w:t>
      </w:r>
      <w:r>
        <w:rPr>
          <w:rFonts w:hint="eastAsia" w:ascii="仿宋_GB2312" w:hAnsi="仿宋_GB2312" w:eastAsia="仿宋_GB2312" w:cs="仿宋_GB2312"/>
          <w:color w:val="auto"/>
          <w:sz w:val="28"/>
          <w:szCs w:val="28"/>
        </w:rPr>
        <w:t>造成损失，除应赔偿甲方</w:t>
      </w:r>
      <w:r>
        <w:rPr>
          <w:rFonts w:hint="eastAsia" w:ascii="仿宋_GB2312" w:hAnsi="仿宋_GB2312" w:eastAsia="仿宋_GB2312" w:cs="仿宋_GB2312"/>
          <w:color w:val="auto"/>
          <w:sz w:val="28"/>
          <w:szCs w:val="28"/>
          <w:lang w:val="en-US" w:eastAsia="zh-CN"/>
        </w:rPr>
        <w:t>及第三方</w:t>
      </w:r>
      <w:r>
        <w:rPr>
          <w:rFonts w:hint="eastAsia" w:ascii="仿宋_GB2312" w:hAnsi="仿宋_GB2312" w:eastAsia="仿宋_GB2312" w:cs="仿宋_GB2312"/>
          <w:color w:val="auto"/>
          <w:sz w:val="28"/>
          <w:szCs w:val="28"/>
        </w:rPr>
        <w:t>由此造成的全部损失外，还应按</w:t>
      </w:r>
      <w:r>
        <w:rPr>
          <w:rFonts w:hint="eastAsia" w:ascii="仿宋_GB2312" w:hAnsi="仿宋_GB2312" w:eastAsia="仿宋_GB2312" w:cs="仿宋_GB2312"/>
          <w:color w:val="auto"/>
          <w:sz w:val="28"/>
          <w:szCs w:val="28"/>
          <w:lang w:val="en-US" w:eastAsia="zh-CN"/>
        </w:rPr>
        <w:t>总</w:t>
      </w:r>
      <w:r>
        <w:rPr>
          <w:rFonts w:hint="eastAsia" w:ascii="仿宋_GB2312" w:hAnsi="仿宋_GB2312" w:eastAsia="仿宋_GB2312" w:cs="仿宋_GB2312"/>
          <w:color w:val="auto"/>
          <w:sz w:val="28"/>
          <w:szCs w:val="28"/>
        </w:rPr>
        <w:t>损失的30％向甲方支付违约金。</w:t>
      </w:r>
    </w:p>
    <w:p>
      <w:pPr>
        <w:pageBreakBefore w:val="0"/>
        <w:kinsoku/>
        <w:wordWrap/>
        <w:overflowPunct/>
        <w:topLinePunct w:val="0"/>
        <w:autoSpaceDE/>
        <w:autoSpaceDN/>
        <w:bidi w:val="0"/>
        <w:adjustRightInd w:val="0"/>
        <w:snapToGrid/>
        <w:spacing w:line="560" w:lineRule="exact"/>
        <w:ind w:firstLine="554" w:firstLineChars="198"/>
        <w:rPr>
          <w:rFonts w:hint="eastAsia" w:ascii="仿宋_GB2312" w:hAnsi="仿宋_GB2312" w:eastAsia="仿宋_GB2312" w:cs="仿宋_GB2312"/>
          <w:b/>
          <w:color w:val="auto"/>
          <w:sz w:val="28"/>
          <w:szCs w:val="28"/>
        </w:rPr>
      </w:pPr>
      <w:r>
        <w:rPr>
          <w:rFonts w:hint="eastAsia" w:ascii="仿宋_GB2312" w:hAnsi="仿宋_GB2312" w:eastAsia="仿宋_GB2312" w:cs="仿宋_GB2312"/>
          <w:color w:val="auto"/>
          <w:kern w:val="0"/>
          <w:sz w:val="28"/>
          <w:szCs w:val="28"/>
          <w:lang w:val="en-US" w:eastAsia="zh-CN"/>
        </w:rPr>
        <w:t>11.4</w:t>
      </w:r>
      <w:r>
        <w:rPr>
          <w:rFonts w:hint="eastAsia" w:ascii="仿宋_GB2312" w:hAnsi="仿宋_GB2312" w:eastAsia="仿宋_GB2312" w:cs="仿宋_GB2312"/>
          <w:color w:val="auto"/>
          <w:kern w:val="0"/>
          <w:sz w:val="28"/>
          <w:szCs w:val="28"/>
        </w:rPr>
        <w:t>如</w:t>
      </w:r>
      <w:r>
        <w:rPr>
          <w:rFonts w:hint="eastAsia" w:ascii="仿宋_GB2312" w:hAnsi="仿宋_GB2312" w:eastAsia="仿宋_GB2312" w:cs="仿宋_GB2312"/>
          <w:color w:val="auto"/>
          <w:kern w:val="0"/>
          <w:sz w:val="28"/>
          <w:szCs w:val="28"/>
          <w:lang w:val="en-US" w:eastAsia="zh-CN"/>
        </w:rPr>
        <w:t>乙方擅自解除合同或</w:t>
      </w:r>
      <w:r>
        <w:rPr>
          <w:rFonts w:hint="eastAsia" w:ascii="仿宋_GB2312" w:hAnsi="仿宋_GB2312" w:eastAsia="仿宋_GB2312" w:cs="仿宋_GB2312"/>
          <w:color w:val="auto"/>
          <w:kern w:val="0"/>
          <w:sz w:val="28"/>
          <w:szCs w:val="28"/>
        </w:rPr>
        <w:t>因乙方原因导致甲方单方解除本合同，除应赔偿甲方由此造成的损失外，还应向甲方支付违约金</w:t>
      </w:r>
      <w:r>
        <w:rPr>
          <w:rFonts w:hint="eastAsia" w:ascii="仿宋_GB2312" w:hAnsi="仿宋_GB2312" w:eastAsia="仿宋_GB2312" w:cs="仿宋_GB2312"/>
          <w:color w:val="auto"/>
          <w:kern w:val="0"/>
          <w:sz w:val="28"/>
          <w:szCs w:val="28"/>
          <w:u w:val="single"/>
        </w:rPr>
        <w:t xml:space="preserve"> 贰万 </w:t>
      </w:r>
      <w:r>
        <w:rPr>
          <w:rFonts w:hint="eastAsia" w:ascii="仿宋_GB2312" w:hAnsi="仿宋_GB2312" w:eastAsia="仿宋_GB2312" w:cs="仿宋_GB2312"/>
          <w:color w:val="auto"/>
          <w:kern w:val="0"/>
          <w:sz w:val="28"/>
          <w:szCs w:val="28"/>
        </w:rPr>
        <w:t>元。</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二</w:t>
      </w:r>
      <w:r>
        <w:rPr>
          <w:rFonts w:hint="eastAsia" w:ascii="仿宋_GB2312" w:hAnsi="仿宋_GB2312" w:eastAsia="仿宋_GB2312" w:cs="仿宋_GB2312"/>
          <w:b/>
          <w:bCs/>
          <w:color w:val="auto"/>
          <w:sz w:val="28"/>
          <w:szCs w:val="28"/>
        </w:rPr>
        <w:t>条 争议解决方式</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如双方在合同履行过程中产生争议的，向甲方所</w:t>
      </w:r>
      <w:r>
        <w:rPr>
          <w:rFonts w:hint="eastAsia" w:ascii="仿宋_GB2312" w:hAnsi="仿宋_GB2312" w:eastAsia="仿宋_GB2312" w:cs="仿宋_GB2312"/>
          <w:color w:val="auto"/>
          <w:sz w:val="28"/>
          <w:szCs w:val="28"/>
          <w:lang w:val="en-US" w:eastAsia="zh-CN"/>
        </w:rPr>
        <w:t>在地有管辖权的人</w:t>
      </w:r>
      <w:r>
        <w:rPr>
          <w:rFonts w:hint="eastAsia" w:ascii="仿宋_GB2312" w:hAnsi="仿宋_GB2312" w:eastAsia="仿宋_GB2312" w:cs="仿宋_GB2312"/>
          <w:color w:val="auto"/>
          <w:sz w:val="28"/>
          <w:szCs w:val="28"/>
        </w:rPr>
        <w:t>民法院起诉。</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三</w:t>
      </w:r>
      <w:r>
        <w:rPr>
          <w:rFonts w:hint="eastAsia" w:ascii="仿宋_GB2312" w:hAnsi="仿宋_GB2312" w:eastAsia="仿宋_GB2312" w:cs="仿宋_GB2312"/>
          <w:b/>
          <w:bCs/>
          <w:color w:val="auto"/>
          <w:sz w:val="28"/>
          <w:szCs w:val="28"/>
        </w:rPr>
        <w:t>条 附则</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13.1</w:t>
      </w:r>
      <w:r>
        <w:rPr>
          <w:rFonts w:hint="eastAsia" w:ascii="仿宋_GB2312" w:hAnsi="仿宋_GB2312" w:eastAsia="仿宋_GB2312" w:cs="仿宋_GB2312"/>
          <w:color w:val="auto"/>
          <w:sz w:val="28"/>
          <w:szCs w:val="28"/>
        </w:rPr>
        <w:t>合同签订时，乙方须向甲方提供营业执照复印件、药品注册批件、特种设备检验检测机构准证等作为本合同的附件。</w:t>
      </w:r>
    </w:p>
    <w:p>
      <w:pPr>
        <w:pageBreakBefore w:val="0"/>
        <w:kinsoku/>
        <w:wordWrap/>
        <w:overflowPunct/>
        <w:topLinePunct w:val="0"/>
        <w:autoSpaceDE/>
        <w:autoSpaceDN/>
        <w:bidi w:val="0"/>
        <w:snapToGrid/>
        <w:spacing w:line="560" w:lineRule="exact"/>
        <w:ind w:firstLine="618" w:firstLineChars="221"/>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13.2 本合同组成文件及解释顺序：本合同补充协议、乙方在履行合同中作出的承诺；本合同及附件；成交通知书、采购文件、响应文件；其他与本合同相关的资料。</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13.3 </w:t>
      </w:r>
      <w:r>
        <w:rPr>
          <w:rFonts w:hint="eastAsia" w:ascii="仿宋_GB2312" w:hAnsi="仿宋_GB2312" w:eastAsia="仿宋_GB2312" w:cs="仿宋_GB2312"/>
          <w:color w:val="auto"/>
          <w:sz w:val="28"/>
          <w:szCs w:val="28"/>
        </w:rPr>
        <w:t>本合同一式肆份，甲方</w:t>
      </w:r>
      <w:r>
        <w:rPr>
          <w:rFonts w:hint="eastAsia" w:ascii="仿宋_GB2312" w:hAnsi="仿宋_GB2312" w:eastAsia="仿宋_GB2312" w:cs="仿宋_GB2312"/>
          <w:color w:val="auto"/>
          <w:sz w:val="28"/>
          <w:szCs w:val="28"/>
          <w:lang w:val="en-US" w:eastAsia="zh-CN"/>
        </w:rPr>
        <w:t>执</w:t>
      </w:r>
      <w:r>
        <w:rPr>
          <w:rFonts w:hint="eastAsia" w:ascii="仿宋_GB2312" w:hAnsi="仿宋_GB2312" w:eastAsia="仿宋_GB2312" w:cs="仿宋_GB2312"/>
          <w:color w:val="auto"/>
          <w:sz w:val="28"/>
          <w:szCs w:val="28"/>
        </w:rPr>
        <w:t>叁份</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w:t>
      </w:r>
      <w:r>
        <w:rPr>
          <w:rFonts w:hint="eastAsia" w:ascii="仿宋_GB2312" w:hAnsi="仿宋_GB2312" w:eastAsia="仿宋_GB2312" w:cs="仿宋_GB2312"/>
          <w:color w:val="auto"/>
          <w:sz w:val="28"/>
          <w:szCs w:val="28"/>
          <w:lang w:val="en-US" w:eastAsia="zh-CN"/>
        </w:rPr>
        <w:t>执</w:t>
      </w:r>
      <w:r>
        <w:rPr>
          <w:rFonts w:hint="eastAsia" w:ascii="仿宋_GB2312" w:hAnsi="仿宋_GB2312" w:eastAsia="仿宋_GB2312" w:cs="仿宋_GB2312"/>
          <w:color w:val="auto"/>
          <w:sz w:val="28"/>
          <w:szCs w:val="28"/>
        </w:rPr>
        <w:t>壹份，自双方签字盖章之日起生效。</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甲方（盖章）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乙方（盖章）：</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法定代表人（签字）：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法定代表人（签字）：</w:t>
      </w:r>
    </w:p>
    <w:p>
      <w:pPr>
        <w:pageBreakBefore w:val="0"/>
        <w:kinsoku/>
        <w:wordWrap/>
        <w:overflowPunct/>
        <w:topLinePunct w:val="0"/>
        <w:autoSpaceDE/>
        <w:autoSpaceDN/>
        <w:bidi w:val="0"/>
        <w:snapToGrid/>
        <w:spacing w:line="560" w:lineRule="exact"/>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委托代理人（签字）：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委托代理人（签字）：</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签约地点：娄底市娄星区     签约时间：  年  月  日</w:t>
      </w:r>
    </w:p>
    <w:p>
      <w:pPr>
        <w:pageBreakBefore w:val="0"/>
        <w:kinsoku/>
        <w:wordWrap/>
        <w:overflowPunct/>
        <w:topLinePunct w:val="0"/>
        <w:autoSpaceDE/>
        <w:autoSpaceDN/>
        <w:bidi w:val="0"/>
        <w:snapToGrid/>
        <w:spacing w:line="560" w:lineRule="exact"/>
        <w:rPr>
          <w:color w:val="auto"/>
          <w:sz w:val="30"/>
          <w:szCs w:val="30"/>
        </w:rPr>
      </w:pPr>
    </w:p>
    <w:p>
      <w:pPr>
        <w:rPr>
          <w:b/>
          <w:bCs/>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42BF2"/>
    <w:multiLevelType w:val="singleLevel"/>
    <w:tmpl w:val="C6742BF2"/>
    <w:lvl w:ilvl="0" w:tentative="0">
      <w:start w:val="1"/>
      <w:numFmt w:val="decimal"/>
      <w:suff w:val="nothing"/>
      <w:lvlText w:val="（%1）"/>
      <w:lvlJc w:val="left"/>
      <w:pPr>
        <w:ind w:left="70"/>
      </w:pPr>
    </w:lvl>
  </w:abstractNum>
  <w:abstractNum w:abstractNumId="1">
    <w:nsid w:val="D73C2BC6"/>
    <w:multiLevelType w:val="singleLevel"/>
    <w:tmpl w:val="D73C2BC6"/>
    <w:lvl w:ilvl="0" w:tentative="0">
      <w:start w:val="1"/>
      <w:numFmt w:val="decimal"/>
      <w:suff w:val="nothing"/>
      <w:lvlText w:val="%1、"/>
      <w:lvlJc w:val="left"/>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31E215B1"/>
    <w:rsid w:val="0F404277"/>
    <w:rsid w:val="31E215B1"/>
    <w:rsid w:val="44A27E03"/>
    <w:rsid w:val="4EBA2689"/>
    <w:rsid w:val="61BE0922"/>
    <w:rsid w:val="6D5D5233"/>
    <w:rsid w:val="6F341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link w:val="15"/>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99"/>
    <w:pPr>
      <w:spacing w:line="400" w:lineRule="exact"/>
      <w:ind w:left="630"/>
    </w:pPr>
    <w:rPr>
      <w:rFonts w:ascii="楷体_GB2312"/>
      <w:sz w:val="30"/>
      <w:szCs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Body Text First Indent 2"/>
    <w:basedOn w:val="5"/>
    <w:qFormat/>
    <w:uiPriority w:val="0"/>
    <w:pPr>
      <w:overflowPunct w:val="0"/>
      <w:adjustRightInd w:val="0"/>
      <w:spacing w:line="500" w:lineRule="exact"/>
      <w:ind w:firstLine="420" w:firstLineChars="200"/>
      <w:textAlignment w:val="baseline"/>
    </w:pPr>
    <w:rPr>
      <w:rFonts w:eastAsia="仿宋_GB2312"/>
      <w:kern w:val="28"/>
      <w:sz w:val="2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列出段落1"/>
    <w:basedOn w:val="1"/>
    <w:qFormat/>
    <w:uiPriority w:val="99"/>
    <w:pPr>
      <w:ind w:firstLine="420" w:firstLineChars="200"/>
    </w:pPr>
  </w:style>
  <w:style w:type="character" w:customStyle="1" w:styleId="15">
    <w:name w:val="标题 2 Char"/>
    <w:link w:val="3"/>
    <w:qFormat/>
    <w:uiPriority w:val="0"/>
    <w:rPr>
      <w:rFonts w:ascii="Arial" w:hAnsi="Arial" w:eastAsia="黑体"/>
      <w:b/>
      <w:sz w:val="32"/>
    </w:rPr>
  </w:style>
  <w:style w:type="paragraph" w:customStyle="1" w:styleId="16">
    <w:name w:val="三级"/>
    <w:basedOn w:val="4"/>
    <w:qFormat/>
    <w:uiPriority w:val="0"/>
    <w:rPr>
      <w:rFonts w:ascii="宋体" w:hAnsi="宋体"/>
      <w:sz w:val="24"/>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 w:type="character" w:customStyle="1" w:styleId="19">
    <w:name w:val="font11"/>
    <w:basedOn w:val="12"/>
    <w:qFormat/>
    <w:uiPriority w:val="0"/>
    <w:rPr>
      <w:rFonts w:hint="eastAsia" w:ascii="宋体" w:hAnsi="宋体" w:eastAsia="宋体" w:cs="宋体"/>
      <w:color w:val="000000"/>
      <w:sz w:val="22"/>
      <w:szCs w:val="22"/>
      <w:u w:val="none"/>
    </w:rPr>
  </w:style>
  <w:style w:type="paragraph" w:customStyle="1" w:styleId="20">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1">
    <w:name w:val="ca-22"/>
    <w:basedOn w:val="1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2023-11-06T07:17:00Z</dcterms:created>
  <dc:creator>是小豹子</dc:creator>
  <cp:lastModifiedBy>是小豹子</cp:lastModifiedBy>
  <cp:lastPrinted>2023-11-08T02:07:23Z</cp:lastPrinted>
  <dcterms:modified xsi:type="dcterms:W3CDTF">2023-11-08T02:18:20Z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332F4EBB96DC4DE585224085126A6062_11</vt:lpwstr>
  </property>
</Properties>
</file>