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napToGrid w:val="0"/>
        <w:jc w:val="center"/>
        <w:rPr>
          <w:rFonts w:ascii="Arial" w:hAnsi="Arial" w:eastAsia="方正小标宋简体" w:cs="Arial"/>
          <w:color w:val="auto"/>
          <w:sz w:val="72"/>
          <w:szCs w:val="72"/>
        </w:rPr>
      </w:pPr>
      <w:bookmarkStart w:id="0" w:name="_Toc16523570"/>
    </w:p>
    <w:p>
      <w:pPr>
        <w:pStyle w:val="12"/>
        <w:tabs>
          <w:tab w:val="left" w:pos="312"/>
        </w:tabs>
        <w:snapToGrid w:val="0"/>
        <w:spacing w:line="288" w:lineRule="auto"/>
        <w:jc w:val="center"/>
        <w:rPr>
          <w:rFonts w:ascii="Arial" w:hAnsi="Arial" w:eastAsia="方正小标宋简体" w:cs="Arial"/>
          <w:sz w:val="72"/>
          <w:szCs w:val="72"/>
        </w:rPr>
      </w:pPr>
      <w:r>
        <w:rPr>
          <w:rFonts w:hint="eastAsia" w:ascii="Arial" w:hAnsi="Arial" w:eastAsia="方正小标宋简体" w:cs="Arial"/>
          <w:sz w:val="72"/>
          <w:szCs w:val="72"/>
        </w:rPr>
        <w:t>娄底市中心医院院内</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spacing w:line="360" w:lineRule="auto"/>
        <w:rPr>
          <w:rFonts w:hint="eastAsia"/>
          <w:bCs/>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娄底市中心医院设备科医疗器械招标文件</w:t>
      </w:r>
    </w:p>
    <w:p>
      <w:pPr>
        <w:jc w:val="center"/>
        <w:rPr>
          <w:rFonts w:hint="default" w:ascii="Times New Roman" w:hAnsi="Times New Roman" w:eastAsia="宋体" w:cs="Times New Roman"/>
          <w:b/>
          <w:bCs/>
          <w:kern w:val="44"/>
          <w:sz w:val="32"/>
          <w:szCs w:val="32"/>
          <w:lang w:val="en-US" w:eastAsia="zh-CN" w:bidi="ar-SA"/>
        </w:rPr>
      </w:pPr>
      <w:r>
        <w:rPr>
          <w:rFonts w:hint="eastAsia" w:cs="Times New Roman"/>
          <w:b/>
          <w:bCs/>
          <w:kern w:val="44"/>
          <w:sz w:val="32"/>
          <w:szCs w:val="32"/>
          <w:lang w:val="en-US" w:eastAsia="zh-CN" w:bidi="ar-SA"/>
        </w:rPr>
        <w:t>（内镜洗消器等设备</w:t>
      </w:r>
      <w:r>
        <w:rPr>
          <w:rFonts w:hint="eastAsia" w:ascii="Times New Roman" w:hAnsi="Times New Roman" w:eastAsia="宋体" w:cs="Times New Roman"/>
          <w:b/>
          <w:bCs/>
          <w:kern w:val="44"/>
          <w:sz w:val="32"/>
          <w:szCs w:val="32"/>
          <w:lang w:val="en-US" w:eastAsia="zh-CN" w:bidi="ar-SA"/>
        </w:rPr>
        <w:t>院内</w:t>
      </w:r>
      <w:r>
        <w:rPr>
          <w:rFonts w:hint="eastAsia" w:cs="Times New Roman"/>
          <w:b/>
          <w:bCs/>
          <w:kern w:val="44"/>
          <w:sz w:val="32"/>
          <w:szCs w:val="32"/>
          <w:lang w:val="en-US" w:eastAsia="zh-CN" w:bidi="ar-SA"/>
        </w:rPr>
        <w:t>公开挂网</w:t>
      </w:r>
      <w:r>
        <w:rPr>
          <w:rFonts w:hint="eastAsia" w:ascii="Times New Roman" w:hAnsi="Times New Roman" w:eastAsia="宋体" w:cs="Times New Roman"/>
          <w:b/>
          <w:bCs/>
          <w:kern w:val="44"/>
          <w:sz w:val="32"/>
          <w:szCs w:val="32"/>
          <w:lang w:val="en-US" w:eastAsia="zh-CN" w:bidi="ar-SA"/>
        </w:rPr>
        <w:t>）</w:t>
      </w: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val="en-US" w:eastAsia="zh-CN"/>
        </w:rPr>
        <w:t>三</w:t>
      </w:r>
      <w:r>
        <w:rPr>
          <w:rFonts w:hint="eastAsia" w:ascii="宋体" w:hAnsi="宋体" w:cs="宋体"/>
          <w:bCs/>
          <w:sz w:val="32"/>
          <w:szCs w:val="32"/>
        </w:rPr>
        <w:t>年</w:t>
      </w:r>
      <w:r>
        <w:rPr>
          <w:rFonts w:hint="eastAsia" w:ascii="宋体" w:hAnsi="宋体" w:cs="宋体"/>
          <w:bCs/>
          <w:sz w:val="32"/>
          <w:szCs w:val="32"/>
          <w:lang w:val="en-US" w:eastAsia="zh-CN"/>
        </w:rPr>
        <w:t>十一</w:t>
      </w:r>
      <w:r>
        <w:rPr>
          <w:rFonts w:hint="eastAsia" w:ascii="宋体" w:hAnsi="宋体" w:cs="宋体"/>
          <w:bCs/>
          <w:sz w:val="32"/>
          <w:szCs w:val="32"/>
        </w:rPr>
        <w:t>月</w:t>
      </w:r>
    </w:p>
    <w:p>
      <w:pPr>
        <w:pStyle w:val="2"/>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u w:val="single"/>
          <w:lang w:val="en-US" w:eastAsia="zh-CN"/>
        </w:rPr>
        <w:t>内镜洗消器等设备</w:t>
      </w:r>
      <w:r>
        <w:rPr>
          <w:rFonts w:hint="eastAsia" w:asciiTheme="minorEastAsia" w:hAnsiTheme="minorEastAsia" w:eastAsiaTheme="minorEastAsia" w:cstheme="minorEastAsia"/>
          <w:bCs/>
          <w:color w:val="auto"/>
          <w:sz w:val="24"/>
          <w:szCs w:val="24"/>
          <w:lang w:val="en-US" w:eastAsia="zh-CN"/>
        </w:rPr>
        <w:t>项目进行院内挂网招标，将招标事项公告如下：</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一、项目信息</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项目名称：</w:t>
      </w:r>
      <w:r>
        <w:rPr>
          <w:rFonts w:hint="eastAsia" w:asciiTheme="minorEastAsia" w:hAnsiTheme="minorEastAsia" w:eastAsiaTheme="minorEastAsia" w:cstheme="minorEastAsia"/>
          <w:bCs/>
          <w:color w:val="auto"/>
          <w:sz w:val="24"/>
          <w:szCs w:val="24"/>
          <w:u w:val="single"/>
          <w:lang w:val="en-US" w:eastAsia="zh-CN"/>
        </w:rPr>
        <w:t>内镜洗消器等设备</w:t>
      </w:r>
      <w:r>
        <w:rPr>
          <w:rFonts w:hint="eastAsia" w:asciiTheme="minorEastAsia" w:hAnsiTheme="minorEastAsia" w:eastAsiaTheme="minorEastAsia" w:cstheme="minorEastAsia"/>
          <w:b w:val="0"/>
          <w:bCs/>
          <w:color w:val="auto"/>
          <w:sz w:val="24"/>
          <w:szCs w:val="24"/>
          <w:lang w:val="en-US" w:eastAsia="zh-CN"/>
        </w:rPr>
        <w:t>采购项目</w:t>
      </w:r>
    </w:p>
    <w:p>
      <w:pPr>
        <w:pStyle w:val="12"/>
        <w:keepNext w:val="0"/>
        <w:keepLines w:val="0"/>
        <w:pageBreakBefore w:val="0"/>
        <w:widowControl w:val="0"/>
        <w:numPr>
          <w:ilvl w:val="0"/>
          <w:numId w:val="1"/>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采购方式</w:t>
      </w:r>
    </w:p>
    <w:p>
      <w:pPr>
        <w:pStyle w:val="12"/>
        <w:keepNext w:val="0"/>
        <w:keepLines w:val="0"/>
        <w:pageBreakBefore w:val="0"/>
        <w:widowControl w:val="0"/>
        <w:numPr>
          <w:ilvl w:val="0"/>
          <w:numId w:val="2"/>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bookmarkStart w:id="4" w:name="_GoBack"/>
      <w:r>
        <w:rPr>
          <w:rFonts w:hint="eastAsia" w:asciiTheme="minorEastAsia" w:hAnsiTheme="minorEastAsia" w:eastAsiaTheme="minorEastAsia" w:cstheme="minorEastAsia"/>
          <w:bCs/>
          <w:color w:val="auto"/>
          <w:sz w:val="24"/>
          <w:szCs w:val="24"/>
          <w:lang w:val="en-US" w:eastAsia="zh-CN"/>
        </w:rPr>
        <w:t>院内公开挂网，最低价评分，在满足所有参数的条件下，报价最低者中标，如有多个并列最低价，则由并列最低价投标人再次报价，直至出现最低报价为止。</w:t>
      </w:r>
      <w:bookmarkEnd w:id="0"/>
    </w:p>
    <w:bookmarkEnd w:id="4"/>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三、投标人资格要求</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1、具有独立法人地位，营业执照具有相应的经营范围；</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2、参加政府采购活动近3年内，在经营活动中没有重大违法记录；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3、投标人未列入经营异常名录和未列入严重违法失信企业名单（黑名单），投标人企业法人代表未被列入失信被执行人名单；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720" w:firstLineChars="3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投标人在“信用中国”（www.creditchina.gov.cn）、中国政府采购网（www.ccgp.gov.cn）等网站，未被列入“失信被执行人”、“重大税收违法案件当事人名单”、“政府采购严重违法失信行为记录名单”；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4、本项目不接受联合体投标，不得分包、转包；</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5、单位负责人为同一人或者存在直接控股、管理关系的不同投标人，不得参加本次采购活动。</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四、投标截止时间、开标时间及地点：</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1、投标截止时间、开标时间：具体时间另行通知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2、开标地点;娄底市中心医院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五、招标人地址和联系方法：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1、招标人名称：娄底市中心医院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2、联系人及联系方式：张思远 15115875288</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3、招标人地址：娄底市长青中街51号</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六、投标须知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1、否决投标的情形：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1.1、投标人以他人名义投标、串通投标、以行贿手段谋取中标的；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1.2、资格评审时，投标人资格条件不符合国家有关规定或者招标文件要求的，或者拒不按照要求对投标文件进行澄清、说明或补正，或者其说明补正无法证明其为合格投标人的；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1.3、评标委员会认定投标人以低于成本报价竞标的；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1.4、投标人未按照要求出席开标会的；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1.5、投标报价有错误的，评标委员会将要求投标人作出书面澄清说明和确认，投标人拒不作出澄清说明和确认的；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1.6、投标文件存在弄虚作假或者隐瞒事实，或者未按照招标文件要求如实提供有关情况和文件，以及证明资料且对投标人有利的，应当否决其投标。被列为中标候选人的，应当取消其中标候选人资格。</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2、有下列情形之一的，招标人将重新招标：</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2.1、投标截止时间止，投标人少于3家的；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2.2、经评标委员会评审后，符合资格审查的投标人少于3家的。</w:t>
      </w:r>
    </w:p>
    <w:p>
      <w:pPr>
        <w:pStyle w:val="13"/>
        <w:rPr>
          <w:rFonts w:hint="eastAsia"/>
          <w:lang w:val="en-US" w:eastAsia="zh-CN"/>
        </w:rPr>
      </w:pPr>
    </w:p>
    <w:p>
      <w:pPr>
        <w:pStyle w:val="13"/>
        <w:jc w:val="both"/>
        <w:rPr>
          <w:rFonts w:hint="default"/>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3"/>
        <w:rPr>
          <w:rFonts w:hint="eastAsia" w:ascii="宋体" w:hAnsi="宋体" w:cs="宋体"/>
          <w:b/>
          <w:bCs/>
          <w:color w:val="auto"/>
          <w:sz w:val="44"/>
          <w:szCs w:val="44"/>
          <w:lang w:val="en-US" w:eastAsia="zh-CN"/>
        </w:rPr>
      </w:pPr>
    </w:p>
    <w:p>
      <w:pPr>
        <w:pStyle w:val="5"/>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pStyle w:val="11"/>
        <w:rPr>
          <w:rFonts w:hint="eastAsia"/>
          <w:lang w:val="en-US" w:eastAsia="zh-CN"/>
        </w:rPr>
      </w:pPr>
    </w:p>
    <w:p>
      <w:pPr>
        <w:pStyle w:val="2"/>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一、采购清单、采购项目交付或者实施的时间和地点</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1.采购项目</w:t>
      </w:r>
    </w:p>
    <w:tbl>
      <w:tblPr>
        <w:tblStyle w:val="9"/>
        <w:tblW w:w="9309"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958"/>
        <w:gridCol w:w="2655"/>
        <w:gridCol w:w="1815"/>
        <w:gridCol w:w="1980"/>
        <w:gridCol w:w="190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888"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序号</w:t>
            </w:r>
          </w:p>
        </w:tc>
        <w:tc>
          <w:tcPr>
            <w:tcW w:w="265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设备名称</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数量</w:t>
            </w:r>
            <w:r>
              <w:rPr>
                <w:rFonts w:hint="eastAsia" w:asciiTheme="minorEastAsia" w:hAnsiTheme="minorEastAsia" w:eastAsiaTheme="minorEastAsia" w:cstheme="minorEastAsia"/>
                <w:sz w:val="24"/>
                <w:szCs w:val="24"/>
              </w:rPr>
              <w:t>(台/套)</w:t>
            </w:r>
          </w:p>
        </w:tc>
        <w:tc>
          <w:tcPr>
            <w:tcW w:w="198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预算</w:t>
            </w:r>
            <w:r>
              <w:rPr>
                <w:rFonts w:hint="eastAsia" w:asciiTheme="minorEastAsia" w:hAnsiTheme="minorEastAsia" w:eastAsiaTheme="minorEastAsia" w:cstheme="minorEastAsia"/>
                <w:kern w:val="2"/>
                <w:sz w:val="24"/>
                <w:szCs w:val="24"/>
                <w:lang w:eastAsia="zh-CN"/>
              </w:rPr>
              <w:t>总</w:t>
            </w:r>
            <w:r>
              <w:rPr>
                <w:rFonts w:hint="eastAsia" w:asciiTheme="minorEastAsia" w:hAnsiTheme="minorEastAsia" w:eastAsiaTheme="minorEastAsia" w:cstheme="minorEastAsia"/>
                <w:kern w:val="2"/>
                <w:sz w:val="24"/>
                <w:szCs w:val="24"/>
              </w:rPr>
              <w:t>价（万元）</w:t>
            </w:r>
          </w:p>
        </w:tc>
        <w:tc>
          <w:tcPr>
            <w:tcW w:w="190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是否允许进口设备投标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53"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65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spacing w:beforeLines="0" w:afterLines="0"/>
              <w:jc w:val="center"/>
              <w:rPr>
                <w:rFonts w:hint="eastAsia" w:asciiTheme="minorEastAsia" w:hAnsiTheme="minorEastAsia" w:eastAsiaTheme="minorEastAsia" w:cstheme="minorEastAsia"/>
                <w:kern w:val="2"/>
                <w:sz w:val="24"/>
                <w:szCs w:val="24"/>
                <w:lang w:val="en-US" w:eastAsia="zh-CN" w:bidi="ar-SA"/>
              </w:rPr>
            </w:pPr>
            <w:r>
              <w:rPr>
                <w:rFonts w:hint="default" w:asciiTheme="minorEastAsia" w:hAnsiTheme="minorEastAsia" w:eastAsiaTheme="minorEastAsia" w:cstheme="minorEastAsia"/>
                <w:kern w:val="2"/>
                <w:sz w:val="24"/>
                <w:szCs w:val="24"/>
                <w:lang w:val="en-US" w:eastAsia="zh-CN" w:bidi="ar-SA"/>
              </w:rPr>
              <w:t>内镜洗消器（双缸）</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spacing w:beforeLines="0" w:afterLines="0"/>
              <w:jc w:val="center"/>
              <w:rPr>
                <w:rFonts w:hint="eastAsia" w:asciiTheme="minorEastAsia" w:hAnsiTheme="minorEastAsia" w:eastAsiaTheme="minorEastAsia" w:cstheme="minorEastAsia"/>
                <w:kern w:val="2"/>
                <w:sz w:val="24"/>
                <w:szCs w:val="24"/>
                <w:lang w:val="en-US" w:eastAsia="zh-CN" w:bidi="ar-SA"/>
              </w:rPr>
            </w:pPr>
            <w:r>
              <w:rPr>
                <w:rFonts w:hint="default" w:asciiTheme="minorEastAsia" w:hAnsiTheme="minorEastAsia" w:eastAsiaTheme="minorEastAsia" w:cstheme="minorEastAsia"/>
                <w:kern w:val="2"/>
                <w:sz w:val="24"/>
                <w:szCs w:val="24"/>
                <w:lang w:val="en-US" w:eastAsia="zh-CN" w:bidi="ar-SA"/>
              </w:rPr>
              <w:t>1</w:t>
            </w:r>
            <w:r>
              <w:rPr>
                <w:rFonts w:hint="eastAsia" w:asciiTheme="minorEastAsia" w:hAnsiTheme="minorEastAsia" w:eastAsiaTheme="minorEastAsia" w:cstheme="minorEastAsia"/>
                <w:kern w:val="2"/>
                <w:sz w:val="24"/>
                <w:szCs w:val="24"/>
                <w:lang w:val="en-US" w:eastAsia="zh-CN" w:bidi="ar-SA"/>
              </w:rPr>
              <w:t>台</w:t>
            </w:r>
          </w:p>
        </w:tc>
        <w:tc>
          <w:tcPr>
            <w:tcW w:w="198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spacing w:beforeLines="0" w:afterLines="0"/>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12.64</w:t>
            </w:r>
          </w:p>
        </w:tc>
        <w:tc>
          <w:tcPr>
            <w:tcW w:w="1901" w:type="dxa"/>
            <w:vMerge w:val="restart"/>
            <w:tcBorders>
              <w:top w:val="single" w:color="000000" w:sz="6" w:space="0"/>
              <w:left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lang w:val="en-US" w:eastAsia="zh-CN"/>
              </w:rPr>
              <w:t>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66"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2</w:t>
            </w:r>
          </w:p>
        </w:tc>
        <w:tc>
          <w:tcPr>
            <w:tcW w:w="265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spacing w:beforeLines="0" w:afterLines="0"/>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医用洁净气源</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spacing w:beforeLines="0" w:afterLines="0"/>
              <w:jc w:val="center"/>
              <w:rPr>
                <w:rFonts w:hint="eastAsia" w:asciiTheme="minorEastAsia" w:hAnsiTheme="minorEastAsia" w:eastAsiaTheme="minorEastAsia" w:cstheme="minorEastAsia"/>
                <w:kern w:val="2"/>
                <w:sz w:val="24"/>
                <w:szCs w:val="24"/>
                <w:lang w:val="en-US" w:eastAsia="zh-CN" w:bidi="ar-SA"/>
              </w:rPr>
            </w:pPr>
            <w:r>
              <w:rPr>
                <w:rFonts w:hint="default" w:asciiTheme="minorEastAsia" w:hAnsiTheme="minorEastAsia" w:eastAsiaTheme="minorEastAsia" w:cstheme="minorEastAsia"/>
                <w:kern w:val="2"/>
                <w:sz w:val="24"/>
                <w:szCs w:val="24"/>
                <w:lang w:val="en-US" w:eastAsia="zh-CN" w:bidi="ar-SA"/>
              </w:rPr>
              <w:t>1</w:t>
            </w:r>
            <w:r>
              <w:rPr>
                <w:rFonts w:hint="eastAsia" w:asciiTheme="minorEastAsia" w:hAnsiTheme="minorEastAsia" w:eastAsiaTheme="minorEastAsia" w:cstheme="minorEastAsia"/>
                <w:kern w:val="2"/>
                <w:sz w:val="24"/>
                <w:szCs w:val="24"/>
                <w:lang w:val="en-US" w:eastAsia="zh-CN" w:bidi="ar-SA"/>
              </w:rPr>
              <w:t>台</w:t>
            </w:r>
          </w:p>
        </w:tc>
        <w:tc>
          <w:tcPr>
            <w:tcW w:w="198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spacing w:beforeLines="0" w:afterLines="0"/>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0.9</w:t>
            </w:r>
          </w:p>
        </w:tc>
        <w:tc>
          <w:tcPr>
            <w:tcW w:w="1901" w:type="dxa"/>
            <w:vMerge w:val="continue"/>
            <w:tcBorders>
              <w:left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51"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3</w:t>
            </w:r>
          </w:p>
        </w:tc>
        <w:tc>
          <w:tcPr>
            <w:tcW w:w="265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spacing w:beforeLines="0" w:afterLines="0"/>
              <w:jc w:val="center"/>
              <w:rPr>
                <w:rFonts w:hint="default" w:asciiTheme="minorEastAsia" w:hAnsiTheme="minorEastAsia" w:eastAsiaTheme="minorEastAsia" w:cstheme="minorEastAsia"/>
                <w:kern w:val="2"/>
                <w:sz w:val="24"/>
                <w:szCs w:val="24"/>
                <w:lang w:val="en-US" w:eastAsia="zh-CN" w:bidi="ar-SA"/>
              </w:rPr>
            </w:pPr>
            <w:r>
              <w:rPr>
                <w:rFonts w:hint="default" w:asciiTheme="minorEastAsia" w:hAnsiTheme="minorEastAsia" w:eastAsiaTheme="minorEastAsia" w:cstheme="minorEastAsia"/>
                <w:kern w:val="2"/>
                <w:sz w:val="24"/>
                <w:szCs w:val="24"/>
                <w:lang w:val="en-US" w:eastAsia="zh-CN" w:bidi="ar-SA"/>
              </w:rPr>
              <w:t>内镜追溯系统</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spacing w:beforeLines="0" w:afterLines="0"/>
              <w:jc w:val="center"/>
              <w:rPr>
                <w:rFonts w:hint="default" w:asciiTheme="minorEastAsia" w:hAnsiTheme="minorEastAsia" w:eastAsiaTheme="minorEastAsia" w:cstheme="minorEastAsia"/>
                <w:kern w:val="2"/>
                <w:sz w:val="24"/>
                <w:szCs w:val="24"/>
                <w:lang w:val="en-US" w:eastAsia="zh-CN" w:bidi="ar-SA"/>
              </w:rPr>
            </w:pPr>
            <w:r>
              <w:rPr>
                <w:rFonts w:hint="default" w:asciiTheme="minorEastAsia" w:hAnsiTheme="minorEastAsia" w:eastAsiaTheme="minorEastAsia" w:cstheme="minorEastAsia"/>
                <w:kern w:val="2"/>
                <w:sz w:val="24"/>
                <w:szCs w:val="24"/>
                <w:lang w:val="en-US" w:eastAsia="zh-CN" w:bidi="ar-SA"/>
              </w:rPr>
              <w:t>3</w:t>
            </w:r>
            <w:r>
              <w:rPr>
                <w:rFonts w:hint="eastAsia" w:asciiTheme="minorEastAsia" w:hAnsiTheme="minorEastAsia" w:eastAsiaTheme="minorEastAsia" w:cstheme="minorEastAsia"/>
                <w:kern w:val="2"/>
                <w:sz w:val="24"/>
                <w:szCs w:val="24"/>
                <w:lang w:val="en-US" w:eastAsia="zh-CN" w:bidi="ar-SA"/>
              </w:rPr>
              <w:t>套</w:t>
            </w:r>
          </w:p>
        </w:tc>
        <w:tc>
          <w:tcPr>
            <w:tcW w:w="198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spacing w:beforeLines="0" w:afterLines="0"/>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11.4</w:t>
            </w:r>
          </w:p>
        </w:tc>
        <w:tc>
          <w:tcPr>
            <w:tcW w:w="1901" w:type="dxa"/>
            <w:vMerge w:val="continue"/>
            <w:tcBorders>
              <w:left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86"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4</w:t>
            </w:r>
          </w:p>
        </w:tc>
        <w:tc>
          <w:tcPr>
            <w:tcW w:w="265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spacing w:beforeLines="0" w:afterLines="0"/>
              <w:jc w:val="center"/>
              <w:rPr>
                <w:rFonts w:hint="eastAsia" w:asciiTheme="minorEastAsia" w:hAnsiTheme="minorEastAsia" w:eastAsiaTheme="minorEastAsia" w:cstheme="minorEastAsia"/>
                <w:kern w:val="2"/>
                <w:sz w:val="24"/>
                <w:szCs w:val="24"/>
                <w:lang w:val="en-US" w:eastAsia="zh-CN" w:bidi="ar-SA"/>
              </w:rPr>
            </w:pPr>
            <w:r>
              <w:rPr>
                <w:rFonts w:hint="default" w:asciiTheme="minorEastAsia" w:hAnsiTheme="minorEastAsia" w:eastAsiaTheme="minorEastAsia" w:cstheme="minorEastAsia"/>
                <w:kern w:val="2"/>
                <w:sz w:val="24"/>
                <w:szCs w:val="24"/>
                <w:lang w:val="en-US" w:eastAsia="zh-CN" w:bidi="ar-SA"/>
              </w:rPr>
              <w:t>静音无油空气压缩机</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spacing w:beforeLines="0" w:afterLines="0"/>
              <w:jc w:val="center"/>
              <w:rPr>
                <w:rFonts w:hint="eastAsia" w:asciiTheme="minorEastAsia" w:hAnsiTheme="minorEastAsia" w:eastAsiaTheme="minorEastAsia" w:cstheme="minorEastAsia"/>
                <w:kern w:val="2"/>
                <w:sz w:val="24"/>
                <w:szCs w:val="24"/>
                <w:lang w:val="en-US" w:eastAsia="zh-CN" w:bidi="ar-SA"/>
              </w:rPr>
            </w:pPr>
            <w:r>
              <w:rPr>
                <w:rFonts w:hint="default" w:asciiTheme="minorEastAsia" w:hAnsiTheme="minorEastAsia" w:eastAsiaTheme="minorEastAsia" w:cstheme="minorEastAsia"/>
                <w:kern w:val="2"/>
                <w:sz w:val="24"/>
                <w:szCs w:val="24"/>
                <w:lang w:val="en-US" w:eastAsia="zh-CN" w:bidi="ar-SA"/>
              </w:rPr>
              <w:t>2</w:t>
            </w:r>
            <w:r>
              <w:rPr>
                <w:rFonts w:hint="eastAsia" w:asciiTheme="minorEastAsia" w:hAnsiTheme="minorEastAsia" w:eastAsiaTheme="minorEastAsia" w:cstheme="minorEastAsia"/>
                <w:kern w:val="2"/>
                <w:sz w:val="24"/>
                <w:szCs w:val="24"/>
                <w:lang w:val="en-US" w:eastAsia="zh-CN" w:bidi="ar-SA"/>
              </w:rPr>
              <w:t>台</w:t>
            </w:r>
          </w:p>
        </w:tc>
        <w:tc>
          <w:tcPr>
            <w:tcW w:w="198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spacing w:beforeLines="0" w:afterLines="0"/>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c>
          <w:tcPr>
            <w:tcW w:w="1901" w:type="dxa"/>
            <w:vMerge w:val="continue"/>
            <w:tcBorders>
              <w:left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58"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5</w:t>
            </w:r>
          </w:p>
        </w:tc>
        <w:tc>
          <w:tcPr>
            <w:tcW w:w="265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spacing w:beforeLines="0" w:afterLines="0"/>
              <w:jc w:val="center"/>
              <w:rPr>
                <w:rFonts w:hint="eastAsia" w:asciiTheme="minorEastAsia" w:hAnsiTheme="minorEastAsia" w:eastAsiaTheme="minorEastAsia" w:cstheme="minorEastAsia"/>
                <w:kern w:val="2"/>
                <w:sz w:val="24"/>
                <w:szCs w:val="24"/>
                <w:lang w:val="en-US" w:eastAsia="zh-CN" w:bidi="ar-SA"/>
              </w:rPr>
            </w:pPr>
            <w:r>
              <w:rPr>
                <w:rFonts w:hint="default" w:asciiTheme="minorEastAsia" w:hAnsiTheme="minorEastAsia" w:eastAsiaTheme="minorEastAsia" w:cstheme="minorEastAsia"/>
                <w:kern w:val="2"/>
                <w:sz w:val="24"/>
                <w:szCs w:val="24"/>
                <w:lang w:val="en-US" w:eastAsia="zh-CN" w:bidi="ar-SA"/>
              </w:rPr>
              <w:t>中心气体处理器</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spacing w:beforeLines="0" w:afterLines="0"/>
              <w:jc w:val="center"/>
              <w:rPr>
                <w:rFonts w:hint="eastAsia" w:asciiTheme="minorEastAsia" w:hAnsiTheme="minorEastAsia" w:eastAsiaTheme="minorEastAsia" w:cstheme="minorEastAsia"/>
                <w:kern w:val="2"/>
                <w:sz w:val="24"/>
                <w:szCs w:val="24"/>
                <w:lang w:val="en-US" w:eastAsia="zh-CN" w:bidi="ar-SA"/>
              </w:rPr>
            </w:pPr>
            <w:r>
              <w:rPr>
                <w:rFonts w:hint="default" w:asciiTheme="minorEastAsia" w:hAnsiTheme="minorEastAsia" w:eastAsiaTheme="minorEastAsia" w:cstheme="minorEastAsia"/>
                <w:kern w:val="2"/>
                <w:sz w:val="24"/>
                <w:szCs w:val="24"/>
                <w:lang w:val="en-US" w:eastAsia="zh-CN" w:bidi="ar-SA"/>
              </w:rPr>
              <w:t>2</w:t>
            </w:r>
            <w:r>
              <w:rPr>
                <w:rFonts w:hint="eastAsia" w:asciiTheme="minorEastAsia" w:hAnsiTheme="minorEastAsia" w:eastAsiaTheme="minorEastAsia" w:cstheme="minorEastAsia"/>
                <w:kern w:val="2"/>
                <w:sz w:val="24"/>
                <w:szCs w:val="24"/>
                <w:lang w:val="en-US" w:eastAsia="zh-CN" w:bidi="ar-SA"/>
              </w:rPr>
              <w:t>套</w:t>
            </w:r>
          </w:p>
        </w:tc>
        <w:tc>
          <w:tcPr>
            <w:tcW w:w="198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spacing w:beforeLines="0" w:afterLines="0"/>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0.4</w:t>
            </w:r>
          </w:p>
        </w:tc>
        <w:tc>
          <w:tcPr>
            <w:tcW w:w="1901" w:type="dxa"/>
            <w:vMerge w:val="continue"/>
            <w:tcBorders>
              <w:left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28"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6</w:t>
            </w:r>
          </w:p>
        </w:tc>
        <w:tc>
          <w:tcPr>
            <w:tcW w:w="265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spacing w:beforeLines="0" w:afterLines="0"/>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三层</w:t>
            </w:r>
            <w:r>
              <w:rPr>
                <w:rFonts w:hint="default" w:asciiTheme="minorEastAsia" w:hAnsiTheme="minorEastAsia" w:eastAsiaTheme="minorEastAsia" w:cstheme="minorEastAsia"/>
                <w:kern w:val="2"/>
                <w:sz w:val="24"/>
                <w:szCs w:val="24"/>
                <w:lang w:val="en-US" w:eastAsia="zh-CN" w:bidi="ar-SA"/>
              </w:rPr>
              <w:t>内镜转运车</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spacing w:beforeLines="0" w:afterLines="0"/>
              <w:jc w:val="center"/>
              <w:rPr>
                <w:rFonts w:hint="eastAsia" w:asciiTheme="minorEastAsia" w:hAnsiTheme="minorEastAsia" w:eastAsiaTheme="minorEastAsia" w:cstheme="minorEastAsia"/>
                <w:kern w:val="2"/>
                <w:sz w:val="24"/>
                <w:szCs w:val="24"/>
                <w:lang w:val="en-US" w:eastAsia="zh-CN" w:bidi="ar-SA"/>
              </w:rPr>
            </w:pPr>
            <w:r>
              <w:rPr>
                <w:rFonts w:hint="default" w:asciiTheme="minorEastAsia" w:hAnsiTheme="minorEastAsia" w:eastAsiaTheme="minorEastAsia" w:cstheme="minorEastAsia"/>
                <w:kern w:val="2"/>
                <w:sz w:val="24"/>
                <w:szCs w:val="24"/>
                <w:lang w:val="en-US" w:eastAsia="zh-CN" w:bidi="ar-SA"/>
              </w:rPr>
              <w:t>2</w:t>
            </w:r>
            <w:r>
              <w:rPr>
                <w:rFonts w:hint="eastAsia" w:asciiTheme="minorEastAsia" w:hAnsiTheme="minorEastAsia" w:eastAsiaTheme="minorEastAsia" w:cstheme="minorEastAsia"/>
                <w:kern w:val="2"/>
                <w:sz w:val="24"/>
                <w:szCs w:val="24"/>
                <w:lang w:val="en-US" w:eastAsia="zh-CN" w:bidi="ar-SA"/>
              </w:rPr>
              <w:t>台</w:t>
            </w:r>
          </w:p>
        </w:tc>
        <w:tc>
          <w:tcPr>
            <w:tcW w:w="198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spacing w:beforeLines="0" w:afterLines="0"/>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0.78</w:t>
            </w:r>
          </w:p>
        </w:tc>
        <w:tc>
          <w:tcPr>
            <w:tcW w:w="1901" w:type="dxa"/>
            <w:vMerge w:val="continue"/>
            <w:tcBorders>
              <w:left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53"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7</w:t>
            </w:r>
          </w:p>
        </w:tc>
        <w:tc>
          <w:tcPr>
            <w:tcW w:w="265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spacing w:beforeLines="0" w:afterLines="0"/>
              <w:jc w:val="center"/>
              <w:rPr>
                <w:rFonts w:hint="eastAsia" w:asciiTheme="minorEastAsia" w:hAnsiTheme="minorEastAsia" w:eastAsiaTheme="minorEastAsia" w:cstheme="minorEastAsia"/>
                <w:kern w:val="2"/>
                <w:sz w:val="24"/>
                <w:szCs w:val="24"/>
                <w:lang w:val="en-US" w:eastAsia="zh-CN" w:bidi="ar-SA"/>
              </w:rPr>
            </w:pPr>
            <w:r>
              <w:rPr>
                <w:rFonts w:hint="default" w:asciiTheme="minorEastAsia" w:hAnsiTheme="minorEastAsia" w:eastAsiaTheme="minorEastAsia" w:cstheme="minorEastAsia"/>
                <w:kern w:val="2"/>
                <w:sz w:val="24"/>
                <w:szCs w:val="24"/>
                <w:lang w:val="en-US" w:eastAsia="zh-CN" w:bidi="ar-SA"/>
              </w:rPr>
              <w:t>壁挂式紫外线空气消毒机</w:t>
            </w:r>
          </w:p>
        </w:tc>
        <w:tc>
          <w:tcPr>
            <w:tcW w:w="181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spacing w:beforeLines="0" w:afterLines="0"/>
              <w:jc w:val="center"/>
              <w:rPr>
                <w:rFonts w:hint="eastAsia" w:asciiTheme="minorEastAsia" w:hAnsiTheme="minorEastAsia" w:eastAsiaTheme="minorEastAsia" w:cstheme="minorEastAsia"/>
                <w:kern w:val="2"/>
                <w:sz w:val="24"/>
                <w:szCs w:val="24"/>
                <w:lang w:val="en-US" w:eastAsia="zh-CN" w:bidi="ar-SA"/>
              </w:rPr>
            </w:pPr>
            <w:r>
              <w:rPr>
                <w:rFonts w:hint="default" w:asciiTheme="minorEastAsia" w:hAnsiTheme="minorEastAsia" w:eastAsiaTheme="minorEastAsia" w:cstheme="minorEastAsia"/>
                <w:kern w:val="2"/>
                <w:sz w:val="24"/>
                <w:szCs w:val="24"/>
                <w:lang w:val="en-US" w:eastAsia="zh-CN" w:bidi="ar-SA"/>
              </w:rPr>
              <w:t>4</w:t>
            </w:r>
            <w:r>
              <w:rPr>
                <w:rFonts w:hint="eastAsia" w:asciiTheme="minorEastAsia" w:hAnsiTheme="minorEastAsia" w:eastAsiaTheme="minorEastAsia" w:cstheme="minorEastAsia"/>
                <w:kern w:val="2"/>
                <w:sz w:val="24"/>
                <w:szCs w:val="24"/>
                <w:lang w:val="en-US" w:eastAsia="zh-CN" w:bidi="ar-SA"/>
              </w:rPr>
              <w:t>台</w:t>
            </w:r>
          </w:p>
        </w:tc>
        <w:tc>
          <w:tcPr>
            <w:tcW w:w="198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spacing w:beforeLines="0" w:afterLines="0"/>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1.68</w:t>
            </w:r>
          </w:p>
        </w:tc>
        <w:tc>
          <w:tcPr>
            <w:tcW w:w="1901" w:type="dxa"/>
            <w:vMerge w:val="continue"/>
            <w:tcBorders>
              <w:left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63" w:hRule="atLeast"/>
          <w:jc w:val="center"/>
        </w:trPr>
        <w:tc>
          <w:tcPr>
            <w:tcW w:w="5428" w:type="dxa"/>
            <w:gridSpan w:val="3"/>
            <w:tcBorders>
              <w:top w:val="single" w:color="000000" w:sz="6" w:space="0"/>
              <w:right w:val="single" w:color="000000" w:sz="6"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合计</w:t>
            </w:r>
          </w:p>
        </w:tc>
        <w:tc>
          <w:tcPr>
            <w:tcW w:w="1980" w:type="dxa"/>
            <w:tcBorders>
              <w:top w:val="single" w:color="000000" w:sz="6" w:space="0"/>
              <w:left w:val="single" w:color="000000" w:sz="6" w:space="0"/>
              <w:right w:val="single" w:color="000000" w:sz="6" w:space="0"/>
            </w:tcBorders>
            <w:vAlign w:val="center"/>
          </w:tcPr>
          <w:p>
            <w:pPr>
              <w:keepNext w:val="0"/>
              <w:keepLines w:val="0"/>
              <w:widowControl/>
              <w:suppressLineNumbers w:val="0"/>
              <w:jc w:val="center"/>
              <w:textAlignment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28.8</w:t>
            </w:r>
          </w:p>
        </w:tc>
        <w:tc>
          <w:tcPr>
            <w:tcW w:w="1901" w:type="dxa"/>
            <w:vMerge w:val="continue"/>
            <w:tcBorders>
              <w:left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p>
        </w:tc>
      </w:tr>
    </w:tbl>
    <w:p>
      <w:pPr>
        <w:spacing w:line="360" w:lineRule="auto"/>
        <w:rPr>
          <w:rFonts w:hint="eastAsia" w:asciiTheme="minorEastAsia" w:hAnsiTheme="minorEastAsia" w:eastAsiaTheme="minorEastAsia" w:cstheme="minorEastAsia"/>
          <w:bCs/>
          <w:color w:val="auto"/>
          <w:kern w:val="0"/>
          <w:sz w:val="24"/>
          <w:szCs w:val="24"/>
          <w:lang w:val="en-US" w:eastAsia="zh-CN" w:bidi="ar-SA"/>
        </w:rPr>
      </w:pP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2、服务时间：双方签订合同时具体约定。</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3、服务地点：娄底市中心医院。</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二、项目内容及要求（以下内容必须全部响应，否则视为无效投标）</w:t>
      </w:r>
    </w:p>
    <w:p>
      <w:pPr>
        <w:spacing w:line="360" w:lineRule="auto"/>
        <w:ind w:firstLine="482"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技术参数：</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1、内镜洗</w:t>
      </w:r>
      <w:r>
        <w:rPr>
          <w:rFonts w:hint="eastAsia" w:ascii="宋体" w:hAnsi="宋体" w:cs="宋体"/>
          <w:b/>
          <w:bCs/>
          <w:sz w:val="24"/>
          <w:szCs w:val="24"/>
          <w:lang w:val="en-US" w:eastAsia="zh-CN"/>
        </w:rPr>
        <w:t>消</w:t>
      </w:r>
      <w:r>
        <w:rPr>
          <w:rFonts w:hint="eastAsia" w:ascii="宋体" w:hAnsi="宋体" w:eastAsia="宋体" w:cs="宋体"/>
          <w:b/>
          <w:bCs/>
          <w:sz w:val="24"/>
          <w:szCs w:val="24"/>
          <w:lang w:val="en-US" w:eastAsia="zh-CN"/>
        </w:rPr>
        <w:t>器技术要求：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适用于医院消化内科、呼吸科、耳鼻喉科等的各类软式内镜、硬式内镜的清洗和消毒。如：胃镜、肠镜、气管镜、喉镜等。符合WS 507《软式内镜清洗消毒技术规范》和GB/T 35267《内镜清洗消毒器》、GB30689《内镜自动清洗消毒机卫生要求》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1.1、设备外形尺寸：≤1200mm(L)×780mm(W)×1000mm(H)。</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1.2、清洗量：2条；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1.3、消毒液储存箱容量15升；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1.4、酶储存箱容量2.5升；酒精储存箱容量1升；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1.5、消毒液用量10升；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1.6、清洗机外壳采用冷轧钢板静电喷塑而成，槽体采用岛台凸起式设计，仅需8L消毒液即可达到内镜全浸泡。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1.7、清洗机采用7寸彩页大触摸屏，预置7组工作程序供客户选择。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1.8、开关门：脚踏自动开门、关门和触摸屏手动开门、关门两种方式，门为全透明防爆钢化玻璃，玻璃有CCC认证标识。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1.9、清洗机同时具备高压旋转喷淋、涡流冲洗、全浸泡、全灌流的四种方式，360°清洗消毒更彻底。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1.10、清洗机具有加热功能，在屏幕上可同时实时显示消毒液箱内温度和洗消池内液体的温度。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1.11、清洗机具备水压不足报警，水流量低报警，消毒液、酶液、酒精不足报警，酶液流量不足报警、酒精流量不足报警、消毒输送泵故障报警、灌流压力低报警、内镜泄漏报警、消毒液箱内温度异常报警、洗消池内温度异常报警、洗消过程中清洗接头脱落报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1.12、清洗机具备故障信息查询，可记录任何时间清洗机的故障信息并保存于清洗机自带的数据库，方便厂家判断机器故障并精准维修。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1.13、清洗机具有语音播报功能，可提示播报每个步骤的操作流程及设备运行状态，洗消结束后伴有语音及音乐声提示。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1.14、操作人员可通过手机或电脑访问设备的实时运行状态，同样可远程实时查阅、诊断机器的运行情况及追溯信息。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1.15、清洗机触摸显示屏可实时显示每个管道或管道系统工作时的流速及压力。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1.16、内镜清洗管道未与清洗机的自动控制连接上时，显示屏应发出警报提示信息。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1.17、清洗机具备程序监控功能，由自动控制器控制的每个操作阶段的程序监控应包括一个确认程序,以确认消毒液的浓度、温度和接触时间。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1.18、清洗机具备灌洗流量观察口，可随时观察流通到每个管道的液体是否符合清洗消毒和漂洗要求。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1.19、清洗机应具有废气排放口，用户可集中收集和处理。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1.20、清洗机自身具备清洗质量追溯系统，无需外配电脑及追溯软件即可记录所有洗消数据并保存于清洗机自带的数据库，方便用户查阅并导出、保存。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1.21、清洗机可同时打印设备名称、缸号、清洗人员的姓名、内镜编号、钢印号、病人信息、消毒模式、消毒液使用次数、消毒液的名称、洗消的开始时间及结束时间、测漏压力值、每个洗消步骤的工作时间、干燥时间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1.22、定量系统：每个化学液体独立装盛于各自的容器中，确保预设的剂量与实际使用的一致。化学液体剂量的误差值应小于设定值的±5%。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1.23、排水系统：清洗机同时具备电动阀排水和泵强制排水两种方式，供客户选择。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1.24、清洗机同时具备戊二醛消毒液、领苯二甲醛、过氧乙酸三种消毒液，消毒时间5分钟后达到消毒合格的检测报告，对枯草杆菌黑色变种芽孢的平均杀灭对数值均＞3.0。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1.25、自身消毒：采用含氯泡腾片可对机器内部全管道、腔体、内置无菌水过滤器等进行循环冲洗、浸泡消毒，对枯草杆菌黑色变种芽孢的平均杀灭对数值均＞3.0。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2、医用洁净气源技术要求：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2.1、适用范围：用于产生洁净压缩空气，为符合国家相关标准的需要洁净压缩空气的设备提供洁净的压缩空气。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2.2、设备电源：AC 23V±22V，50Hz±1Hz，0.75Kw</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2.3、设备外观尺寸：≤450(L)*500(W)*600(H)mm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2.4、产气量：设备采用多泵头不间断供气模式，产气量≥50L/min，保证供气效率。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2.5、气压可调：调配应配置气压调节装置，满足不同设备对气源压力的要求。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2.6、柜体材质：碳钢喷塑外罩，表面易清洁，经久耐用。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2.7、设备的供气质量：经洁净气源处理后的压缩空气，不得检出菌落，并提供第三方的检测报告。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2.8、气体净化：内置风冷、净化干燥技术。深度除水，空气含水量≤50mg/Nm³。高精度过滤系统，可去除空气中≥0.01μm 粒径的颗粒物，达到医疗级气源供应，保证气体干燥度、洁净度，并提供相关证明文件。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2.9、空气压缩装置要求：应采用全无油空气压缩机，双重净化深度除水，洁净气罐防腐抑菌。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2.10、储气罐要求：内部采用特殊涂层处理，应满足气体长期洁净贮存。设备应具有冷凝水自动排放功能，无需人工手动除水。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2.11、噪音：设备工作时噪音≤60dB，给操作人员提供舒适的工作环境。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2.12、控制方式：采用单片机智能化控制系统，具有自检和预警功能，提醒设备进行维护保养、数据记录等功能。</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3、内镜追溯系统要求：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3.1、采用人员刷卡登录和账号密码两种登录方式。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3.2、可记录本套清洗工作站清洗数据，包括洗消日期、操作人员、内镜信息、步骤名称、操作用时等。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系统具有较强的可扩展性和兼容性，不受清洗槽及流程的限制。实现采集设备数据及监控设备运行。采用专用语音提示装置，所有流程操作语音提示，异常操作自动给予预警，全程辅助操作人员进行高效作业，提供人性化的人机交互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3.4、自动识别清洗、完结清洗、并在监控平台进行特殊标注。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3.5、支持对内镜信息进行维护，包括内镜名称、品牌、型号、钢号、资产编号、所属科室等。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3.6、可统计清洗工作站的累计洗消数量、人均洗消次数、洗消平均耗时、洗消人员绩效等数据。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静音无油空气压缩机技术要求：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供气压力：max0.75 MPa；额定排气流量：≥2.0m³/h；储气量：22 KG；噪音≤58 dB（电源：a.c.220 V,50 Hz；输出功率：550 W）,可自动排水，免维护，为内镜清洗工作提供纯净的压力空气来源。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5、中心气体处理器要求：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5.1、具有压力显示功能，显示精确度≤0.02 MPa。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5.2、具备压力可调功能，可调范围 0.05 MPa～1.0 MPa。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6、三层内镜转运车技术要求：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6.1、转运方式：托盘式转运，确保内镜在运转过程中的安全性。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6.2、转运数量：可同时转运3条内镜。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6.3、底部采用万向静音轮，转运灵活。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7、壁挂式紫外线空气消毒机技术要求：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7.1、适用范围（m2）：≤100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7.2、循环风量（m3/h）：≥1000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7.3、输入功率（W）：≤190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7.4、噪声 dB（A）：≤50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7.5、安装方式：壁挂式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7.6、工作环境中臭氧残留量：≤0.1 mg/m3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7.7、功能：适用于对100m3 以内的房间进行空气消毒处理。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7.8、外壳设计：采用优质阻燃塑料滑动面板。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7.9、消毒效果：设备持续工作2小时，对白色葡萄球菌（8032）的杀灭率≥99.9%，达到消毒合格要求。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7.10、人机共存，提供手动定时消毒、人体红外线感应自动监控消毒、程控定时自动消毒、远红外遥控操作。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7.11、动态功能：设备可在人机共存的环境中使用，且不生成二次污染物。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7.12、机外紫外线泄漏（μm/cm2）≤1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7.13、报警提示，至少具有灯管报警、滤网过期、风机故障、负离子故障。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7.14、程控数量：9组，可实现多时段程控设置，便于临床科室多样化的使用需求。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7.15、操作简单， LCD 高清数字动态液晶显示。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8、旧设备移动改造：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8.1提供相关水电布局设计方案，落实旧设备的改造与利用，对接新大楼施工方案，保证科室现有设备能正常运行。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8.2旧设备的灌流接头需提供三年的免费更换服务。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sz w:val="24"/>
          <w:szCs w:val="24"/>
          <w:lang w:val="en-US" w:eastAsia="zh-CN"/>
        </w:rPr>
        <w:t>8.3完成检验科的一套纯水系统搬迁。</w:t>
      </w:r>
    </w:p>
    <w:p>
      <w:pPr>
        <w:rPr>
          <w:rFonts w:hint="eastAsia"/>
          <w:lang w:val="en-US" w:eastAsia="zh-CN"/>
        </w:rPr>
      </w:pP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配置清单：</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Theme="minorEastAsia" w:hAnsiTheme="minorEastAsia" w:eastAsiaTheme="minorEastAsia" w:cstheme="minorEastAsia"/>
          <w:bCs/>
          <w:sz w:val="24"/>
          <w:lang w:val="en-US" w:eastAsia="zh-CN"/>
        </w:rPr>
      </w:pPr>
      <w:r>
        <w:rPr>
          <w:rFonts w:hint="eastAsia" w:asciiTheme="minorEastAsia" w:hAnsiTheme="minorEastAsia" w:eastAsiaTheme="minorEastAsia" w:cstheme="minorEastAsia"/>
          <w:bCs/>
          <w:sz w:val="24"/>
          <w:lang w:val="en-US" w:eastAsia="zh-CN"/>
        </w:rPr>
        <w:t>内镜清洗消毒器：1套</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Theme="minorEastAsia" w:hAnsiTheme="minorEastAsia" w:eastAsiaTheme="minorEastAsia" w:cstheme="minorEastAsia"/>
          <w:bCs/>
          <w:sz w:val="24"/>
          <w:lang w:val="en-US" w:eastAsia="zh-CN"/>
        </w:rPr>
      </w:pPr>
      <w:r>
        <w:rPr>
          <w:rFonts w:hint="eastAsia" w:asciiTheme="minorEastAsia" w:hAnsiTheme="minorEastAsia" w:eastAsiaTheme="minorEastAsia" w:cstheme="minorEastAsia"/>
          <w:bCs/>
          <w:sz w:val="24"/>
          <w:lang w:val="en-US" w:eastAsia="zh-CN"/>
        </w:rPr>
        <w:t>医用洁净气源：1套</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Theme="minorEastAsia" w:hAnsiTheme="minorEastAsia" w:eastAsiaTheme="minorEastAsia" w:cstheme="minorEastAsia"/>
          <w:bCs/>
          <w:sz w:val="24"/>
          <w:lang w:val="en-US" w:eastAsia="zh-CN"/>
        </w:rPr>
      </w:pPr>
      <w:r>
        <w:rPr>
          <w:rFonts w:hint="eastAsia" w:asciiTheme="minorEastAsia" w:hAnsiTheme="minorEastAsia" w:eastAsiaTheme="minorEastAsia" w:cstheme="minorEastAsia"/>
          <w:bCs/>
          <w:sz w:val="24"/>
          <w:lang w:val="en-US" w:eastAsia="zh-CN"/>
        </w:rPr>
        <w:t>内镜追溯系统：3套</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Theme="minorEastAsia" w:hAnsiTheme="minorEastAsia" w:eastAsiaTheme="minorEastAsia" w:cstheme="minorEastAsia"/>
          <w:bCs/>
          <w:sz w:val="24"/>
          <w:lang w:val="en-US" w:eastAsia="zh-CN"/>
        </w:rPr>
      </w:pPr>
      <w:r>
        <w:rPr>
          <w:rFonts w:hint="eastAsia" w:asciiTheme="minorEastAsia" w:hAnsiTheme="minorEastAsia" w:eastAsiaTheme="minorEastAsia" w:cstheme="minorEastAsia"/>
          <w:bCs/>
          <w:sz w:val="24"/>
          <w:lang w:val="en-US" w:eastAsia="zh-CN"/>
        </w:rPr>
        <w:t>静音无油空气压缩机：2台</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Theme="minorEastAsia" w:hAnsiTheme="minorEastAsia" w:eastAsiaTheme="minorEastAsia" w:cstheme="minorEastAsia"/>
          <w:bCs/>
          <w:sz w:val="24"/>
          <w:lang w:val="en-US" w:eastAsia="zh-CN"/>
        </w:rPr>
      </w:pPr>
      <w:r>
        <w:rPr>
          <w:rFonts w:hint="eastAsia" w:asciiTheme="minorEastAsia" w:hAnsiTheme="minorEastAsia" w:eastAsiaTheme="minorEastAsia" w:cstheme="minorEastAsia"/>
          <w:bCs/>
          <w:sz w:val="24"/>
          <w:lang w:val="en-US" w:eastAsia="zh-CN"/>
        </w:rPr>
        <w:t>中心气体处理器：2套</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Theme="minorEastAsia" w:hAnsiTheme="minorEastAsia" w:eastAsiaTheme="minorEastAsia" w:cstheme="minorEastAsia"/>
          <w:bCs/>
          <w:sz w:val="24"/>
          <w:lang w:val="en-US" w:eastAsia="zh-CN"/>
        </w:rPr>
      </w:pPr>
      <w:r>
        <w:rPr>
          <w:rFonts w:hint="eastAsia" w:asciiTheme="minorEastAsia" w:hAnsiTheme="minorEastAsia" w:cstheme="minorEastAsia"/>
          <w:bCs/>
          <w:sz w:val="24"/>
          <w:lang w:val="en-US" w:eastAsia="zh-CN"/>
        </w:rPr>
        <w:t>三层</w:t>
      </w:r>
      <w:r>
        <w:rPr>
          <w:rFonts w:hint="eastAsia" w:asciiTheme="minorEastAsia" w:hAnsiTheme="minorEastAsia" w:eastAsiaTheme="minorEastAsia" w:cstheme="minorEastAsia"/>
          <w:bCs/>
          <w:sz w:val="24"/>
          <w:lang w:val="en-US" w:eastAsia="zh-CN"/>
        </w:rPr>
        <w:t>内镜转运车：</w:t>
      </w:r>
      <w:r>
        <w:rPr>
          <w:rFonts w:hint="eastAsia" w:asciiTheme="minorEastAsia" w:hAnsiTheme="minorEastAsia" w:cstheme="minorEastAsia"/>
          <w:bCs/>
          <w:sz w:val="24"/>
          <w:lang w:val="en-US" w:eastAsia="zh-CN"/>
        </w:rPr>
        <w:t>2</w:t>
      </w:r>
      <w:r>
        <w:rPr>
          <w:rFonts w:hint="eastAsia" w:asciiTheme="minorEastAsia" w:hAnsiTheme="minorEastAsia" w:eastAsiaTheme="minorEastAsia" w:cstheme="minorEastAsia"/>
          <w:bCs/>
          <w:sz w:val="24"/>
          <w:lang w:val="en-US" w:eastAsia="zh-CN"/>
        </w:rPr>
        <w:t>台</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Theme="minorEastAsia" w:hAnsiTheme="minorEastAsia" w:eastAsiaTheme="minorEastAsia" w:cstheme="minorEastAsia"/>
          <w:bCs/>
          <w:sz w:val="24"/>
          <w:lang w:val="en-US" w:eastAsia="zh-CN"/>
        </w:rPr>
      </w:pPr>
      <w:r>
        <w:rPr>
          <w:rFonts w:hint="eastAsia" w:asciiTheme="minorEastAsia" w:hAnsiTheme="minorEastAsia" w:eastAsiaTheme="minorEastAsia" w:cstheme="minorEastAsia"/>
          <w:bCs/>
          <w:sz w:val="24"/>
          <w:lang w:val="en-US" w:eastAsia="zh-CN"/>
        </w:rPr>
        <w:t>壁挂式紫外线空气消毒机：4台</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Theme="minorEastAsia" w:hAnsiTheme="minorEastAsia" w:eastAsiaTheme="minorEastAsia" w:cstheme="minorEastAsia"/>
          <w:bCs/>
          <w:sz w:val="24"/>
          <w:lang w:val="en-US" w:eastAsia="zh-CN"/>
        </w:rPr>
      </w:pPr>
      <w:r>
        <w:rPr>
          <w:rFonts w:hint="eastAsia" w:asciiTheme="minorEastAsia" w:hAnsiTheme="minorEastAsia" w:eastAsiaTheme="minorEastAsia" w:cstheme="minorEastAsia"/>
          <w:bCs/>
          <w:sz w:val="24"/>
          <w:lang w:val="en-US" w:eastAsia="zh-CN"/>
        </w:rPr>
        <w:t>旧设备移动改造：</w:t>
      </w:r>
      <w:r>
        <w:rPr>
          <w:rFonts w:hint="eastAsia" w:asciiTheme="minorEastAsia" w:hAnsiTheme="minorEastAsia" w:cstheme="minorEastAsia"/>
          <w:bCs/>
          <w:sz w:val="24"/>
          <w:lang w:val="en-US" w:eastAsia="zh-CN"/>
        </w:rPr>
        <w:t>5</w:t>
      </w:r>
      <w:r>
        <w:rPr>
          <w:rFonts w:hint="eastAsia" w:asciiTheme="minorEastAsia" w:hAnsiTheme="minorEastAsia" w:eastAsiaTheme="minorEastAsia" w:cstheme="minorEastAsia"/>
          <w:bCs/>
          <w:sz w:val="24"/>
          <w:lang w:val="en-US" w:eastAsia="zh-CN"/>
        </w:rPr>
        <w:t>套</w:t>
      </w:r>
    </w:p>
    <w:p>
      <w:pPr>
        <w:rPr>
          <w:rFonts w:hint="eastAsia"/>
          <w:lang w:val="en-US" w:eastAsia="zh-CN"/>
        </w:rPr>
      </w:pP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商务参数：</w:t>
      </w:r>
    </w:p>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rPr>
        <w:t>1、运输、装卸、培训、安装调试：由中标人负责承担，最终通过使用科室、设备科及相关部门确认验收交付使用。</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2、交货时间：按</w:t>
      </w:r>
      <w:r>
        <w:rPr>
          <w:rFonts w:hint="eastAsia" w:ascii="宋体" w:hAnsi="宋体" w:cs="宋体"/>
          <w:color w:val="auto"/>
          <w:sz w:val="24"/>
          <w:szCs w:val="24"/>
          <w:lang w:val="en-US" w:eastAsia="zh-CN"/>
        </w:rPr>
        <w:t>合同约定的日期交货。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、交货地点：娄底市中心医院</w:t>
      </w:r>
      <w:r>
        <w:rPr>
          <w:rFonts w:hint="eastAsia" w:ascii="宋体" w:hAnsi="宋体" w:cs="宋体"/>
          <w:color w:val="auto"/>
          <w:sz w:val="24"/>
          <w:szCs w:val="24"/>
          <w:lang w:val="en-US" w:eastAsia="zh-CN"/>
        </w:rPr>
        <w:t>指定地点</w:t>
      </w:r>
      <w:r>
        <w:rPr>
          <w:rFonts w:hint="eastAsia" w:ascii="宋体" w:hAnsi="宋体" w:eastAsia="宋体" w:cs="宋体"/>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、付款方式：设备验收合格后，供应商将发票交到娄底市中心医院后按程序支付货款90%（按医院财务制度一般情况下4个月内支付、特殊情况下最多不超过6个月），甲方在设备验收合格</w:t>
      </w:r>
      <w:r>
        <w:rPr>
          <w:rFonts w:hint="eastAsia" w:ascii="宋体" w:hAnsi="宋体" w:eastAsia="宋体" w:cs="宋体"/>
          <w:color w:val="auto"/>
          <w:sz w:val="24"/>
          <w:szCs w:val="24"/>
          <w:lang w:val="en-US" w:eastAsia="zh-CN"/>
        </w:rPr>
        <w:t>满</w:t>
      </w:r>
      <w:r>
        <w:rPr>
          <w:rFonts w:hint="eastAsia" w:ascii="宋体" w:hAnsi="宋体" w:cs="宋体"/>
          <w:color w:val="auto"/>
          <w:sz w:val="24"/>
          <w:szCs w:val="24"/>
          <w:u w:val="none"/>
          <w:lang w:val="en-US" w:eastAsia="zh-CN"/>
        </w:rPr>
        <w:t>2年</w:t>
      </w:r>
      <w:r>
        <w:rPr>
          <w:rFonts w:hint="eastAsia" w:ascii="宋体" w:hAnsi="宋体" w:eastAsia="宋体" w:cs="宋体"/>
          <w:color w:val="auto"/>
          <w:sz w:val="24"/>
          <w:szCs w:val="24"/>
        </w:rPr>
        <w:t>后支付10%余款给乙方。</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5、质保与售后：整机保修</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年，终身维修。</w:t>
      </w:r>
      <w:r>
        <w:rPr>
          <w:rFonts w:hint="eastAsia" w:ascii="宋体" w:hAnsi="宋体" w:cs="宋体"/>
          <w:color w:val="auto"/>
          <w:sz w:val="24"/>
          <w:szCs w:val="24"/>
          <w:lang w:val="en-US" w:eastAsia="zh-CN"/>
        </w:rPr>
        <w:t>验收时</w:t>
      </w:r>
      <w:r>
        <w:rPr>
          <w:rFonts w:hint="eastAsia" w:ascii="宋体" w:hAnsi="宋体" w:eastAsia="宋体" w:cs="宋体"/>
          <w:color w:val="auto"/>
          <w:sz w:val="24"/>
          <w:szCs w:val="24"/>
        </w:rPr>
        <w:t>出具原厂售后质保承诺书，质保期内每年巡检</w:t>
      </w:r>
      <w:r>
        <w:rPr>
          <w:rFonts w:hint="eastAsia" w:ascii="宋体" w:hAnsi="宋体" w:cs="宋体"/>
          <w:color w:val="auto"/>
          <w:sz w:val="24"/>
          <w:szCs w:val="24"/>
          <w:lang w:val="en-US" w:eastAsia="zh-CN"/>
        </w:rPr>
        <w:t>一</w:t>
      </w:r>
      <w:r>
        <w:rPr>
          <w:rFonts w:hint="eastAsia" w:ascii="宋体" w:hAnsi="宋体" w:eastAsia="宋体" w:cs="宋体"/>
          <w:color w:val="auto"/>
          <w:sz w:val="24"/>
          <w:szCs w:val="24"/>
        </w:rPr>
        <w:t>次</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并提交巡检记录</w:t>
      </w:r>
      <w:r>
        <w:rPr>
          <w:rFonts w:hint="eastAsia" w:ascii="宋体" w:hAnsi="宋体" w:eastAsia="宋体" w:cs="宋体"/>
          <w:color w:val="auto"/>
          <w:sz w:val="24"/>
          <w:szCs w:val="24"/>
        </w:rPr>
        <w:t>。</w:t>
      </w:r>
      <w:r>
        <w:rPr>
          <w:rFonts w:hint="eastAsia" w:ascii="宋体" w:hAnsi="宋体" w:eastAsia="宋体" w:cs="宋体"/>
          <w:color w:val="auto"/>
          <w:sz w:val="24"/>
          <w:szCs w:val="24"/>
          <w:lang w:val="zh-CN" w:eastAsia="zh-CN"/>
        </w:rPr>
        <w:t>质保期内</w:t>
      </w:r>
      <w:r>
        <w:rPr>
          <w:rFonts w:hint="eastAsia" w:ascii="宋体" w:hAnsi="宋体" w:cs="宋体"/>
          <w:color w:val="auto"/>
          <w:sz w:val="24"/>
          <w:szCs w:val="24"/>
          <w:lang w:val="en-US" w:eastAsia="zh-CN"/>
        </w:rPr>
        <w:t>出现故障</w:t>
      </w:r>
      <w:r>
        <w:rPr>
          <w:rFonts w:hint="eastAsia" w:ascii="宋体" w:hAnsi="宋体" w:eastAsia="宋体" w:cs="宋体"/>
          <w:color w:val="auto"/>
          <w:sz w:val="24"/>
          <w:szCs w:val="24"/>
          <w:lang w:val="en-US" w:eastAsia="zh-CN"/>
        </w:rPr>
        <w:t>，24小时响应，响应后4小时上门服务</w:t>
      </w:r>
      <w:r>
        <w:rPr>
          <w:rFonts w:hint="eastAsia" w:ascii="宋体" w:hAnsi="宋体" w:cs="宋体"/>
          <w:color w:val="auto"/>
          <w:sz w:val="24"/>
          <w:szCs w:val="24"/>
          <w:lang w:val="en-US"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6、在投标文件中必须提供相关佐证资料（原厂的技术参数、技术白皮书、说明书、彩页），并在响应表中备注该条参数响应或正偏离的佐证资料所在页码。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三、标书要求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1、封面：需注明标的名称、投标文件、单位、时间；</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三证合一”或“五证合一”营业执照，医疗器械经营许可证或医疗器械经营备案凭证（按法律规定提供证件）、生产厂家营业执照、生产许可证（如按法律规定需提供）、产品注册证（如按法律规定需提供）；</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3、投标人身份证复印件；</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5、履行本项目所必需的资质证明；</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6、针对此项目的技术、服务方案；</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7、投标人认为需提供的其他和评审有关的资料；</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8、投标文件的每一页都必须加盖投标单位的公章；</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9、投标文件参数响应表中必须标注响应项佐证材料所对应页面。</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10、所有资料均应编入投标文件，胶装并用纸质文件袋封好（一正一副），标书必须“A4规格纸张胶制（非打孔或夹装）装订成册，并编制总目录”,要求密封，否则视为符合性审查不合格，作无效投标处理，在开标现场验证时打开，采用现场开标的方式。</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四、合同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auto"/>
          <w:sz w:val="24"/>
          <w:szCs w:val="24"/>
          <w:lang w:val="en-US" w:eastAsia="zh-CN"/>
        </w:rPr>
      </w:pPr>
      <w:r>
        <w:rPr>
          <w:rFonts w:hint="eastAsia" w:ascii="黑体" w:hAnsi="黑体" w:eastAsia="黑体" w:cs="黑体"/>
          <w:color w:val="auto"/>
          <w:sz w:val="44"/>
          <w:szCs w:val="44"/>
          <w:lang w:val="en-US" w:eastAsia="zh-CN"/>
        </w:rPr>
        <w:t>医疗设备采购合同</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甲方（采购方）：</w:t>
      </w:r>
      <w:r>
        <w:rPr>
          <w:rFonts w:hint="eastAsia" w:ascii="宋体" w:hAnsi="宋体" w:eastAsia="宋体" w:cs="宋体"/>
          <w:color w:val="000000" w:themeColor="text1"/>
          <w:sz w:val="24"/>
          <w:szCs w:val="24"/>
          <w:lang w:val="en-US" w:eastAsia="zh-CN"/>
          <w14:textFill>
            <w14:solidFill>
              <w14:schemeClr w14:val="tx1"/>
            </w14:solidFill>
          </w14:textFill>
        </w:rPr>
        <w:t>娄底市中心医院</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统一社会信用代码：12431300447162073W</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地址：湖南省娄底市娄星区长青中街51号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联系人：朱振宇</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联系电话：15673845559</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乙方（供货方）：</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统一社会信用代码：</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地址:</w:t>
      </w:r>
    </w:p>
    <w:p>
      <w:pPr>
        <w:keepNext w:val="0"/>
        <w:keepLines w:val="0"/>
        <w:pageBreakBefore w:val="0"/>
        <w:widowControl/>
        <w:kinsoku/>
        <w:wordWrap/>
        <w:overflowPunct/>
        <w:topLinePunct w:val="0"/>
        <w:autoSpaceDE/>
        <w:autoSpaceDN/>
        <w:bidi w:val="0"/>
        <w:adjustRightInd/>
        <w:snapToGrid/>
        <w:spacing w:line="480" w:lineRule="exact"/>
        <w:ind w:left="5040" w:hanging="4320" w:hangingChars="1800"/>
        <w:jc w:val="left"/>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联系人：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联系电话：</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甲方通过</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医院公开挂网 </w:t>
      </w:r>
      <w:r>
        <w:rPr>
          <w:rFonts w:hint="eastAsia" w:ascii="宋体" w:hAnsi="宋体" w:eastAsia="宋体" w:cs="宋体"/>
          <w:color w:val="000000" w:themeColor="text1"/>
          <w:sz w:val="24"/>
          <w:szCs w:val="24"/>
          <w:lang w:val="en-US" w:eastAsia="zh-CN"/>
          <w14:textFill>
            <w14:solidFill>
              <w14:schemeClr w14:val="tx1"/>
            </w14:solidFill>
          </w14:textFill>
        </w:rPr>
        <w:t>采购</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内镜洗消器（双缸）等一批</w:t>
      </w:r>
      <w:r>
        <w:rPr>
          <w:rFonts w:hint="eastAsia" w:ascii="宋体" w:hAnsi="宋体" w:eastAsia="宋体" w:cs="宋体"/>
          <w:color w:val="000000" w:themeColor="text1"/>
          <w:sz w:val="24"/>
          <w:szCs w:val="24"/>
          <w:lang w:val="en-US" w:eastAsia="zh-CN"/>
          <w14:textFill>
            <w14:solidFill>
              <w14:schemeClr w14:val="tx1"/>
            </w14:solidFill>
          </w14:textFill>
        </w:rPr>
        <w:t>，乙方为成交供应商。根据《中华人民共和国民法典》《中华人民共和国政府采购法》等相关法律规定，甲乙双方在采购项目确定的基础上，就采购</w:t>
      </w:r>
      <w:r>
        <w:rPr>
          <w:rFonts w:hint="eastAsia" w:ascii="宋体" w:hAnsi="宋体" w:eastAsia="宋体" w:cs="宋体"/>
          <w:color w:val="000000" w:themeColor="text1"/>
          <w:sz w:val="24"/>
          <w:szCs w:val="24"/>
          <w:u w:val="single"/>
          <w:lang w:val="en-US" w:eastAsia="zh-CN"/>
          <w14:textFill>
            <w14:solidFill>
              <w14:schemeClr w14:val="tx1"/>
            </w14:solidFill>
          </w14:textFill>
        </w:rPr>
        <w:t>内镜洗消器（双缸）等一批</w:t>
      </w:r>
      <w:r>
        <w:rPr>
          <w:rFonts w:hint="eastAsia" w:ascii="宋体" w:hAnsi="宋体" w:eastAsia="宋体" w:cs="宋体"/>
          <w:color w:val="000000" w:themeColor="text1"/>
          <w:sz w:val="24"/>
          <w:szCs w:val="24"/>
          <w:lang w:val="en-US" w:eastAsia="zh-CN"/>
          <w14:textFill>
            <w14:solidFill>
              <w14:schemeClr w14:val="tx1"/>
            </w14:solidFill>
          </w14:textFill>
        </w:rPr>
        <w:t>事宜平等、自愿、公平、诚信协商，达成一致，特订立本合同，以资共同遵守。</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采购内容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1.1 设备名称、品牌、型号、价格</w:t>
      </w:r>
    </w:p>
    <w:tbl>
      <w:tblPr>
        <w:tblStyle w:val="9"/>
        <w:tblpPr w:leftFromText="180" w:rightFromText="180" w:vertAnchor="text" w:horzAnchor="page" w:tblpX="1965" w:tblpY="148"/>
        <w:tblOverlap w:val="never"/>
        <w:tblW w:w="8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1220"/>
        <w:gridCol w:w="1760"/>
        <w:gridCol w:w="1320"/>
        <w:gridCol w:w="940"/>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设备</w:t>
            </w:r>
            <w:r>
              <w:rPr>
                <w:rFonts w:hint="eastAsia" w:ascii="宋体" w:hAnsi="宋体" w:eastAsia="宋体" w:cs="宋体"/>
                <w:color w:val="000000" w:themeColor="text1"/>
                <w:kern w:val="0"/>
                <w:sz w:val="24"/>
                <w:szCs w:val="24"/>
                <w14:textFill>
                  <w14:solidFill>
                    <w14:schemeClr w14:val="tx1"/>
                  </w14:solidFill>
                </w14:textFill>
              </w:rPr>
              <w:t>名称</w:t>
            </w:r>
          </w:p>
        </w:tc>
        <w:tc>
          <w:tcPr>
            <w:tcW w:w="12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品牌</w:t>
            </w: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型号</w:t>
            </w: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单价（元）</w:t>
            </w:r>
          </w:p>
        </w:tc>
        <w:tc>
          <w:tcPr>
            <w:tcW w:w="94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top"/>
          </w:tcPr>
          <w:p>
            <w:pPr>
              <w:spacing w:beforeLines="0" w:afterLines="0"/>
              <w:jc w:val="center"/>
              <w:rPr>
                <w:rFonts w:hint="default" w:ascii="宋体" w:hAnsi="宋体" w:eastAsiaTheme="minorEastAsia" w:cstheme="minorBidi"/>
                <w:color w:val="000000" w:themeColor="text1"/>
                <w:kern w:val="2"/>
                <w:sz w:val="20"/>
                <w:szCs w:val="24"/>
                <w:lang w:val="en-US" w:eastAsia="zh-CN" w:bidi="ar-SA"/>
                <w14:textFill>
                  <w14:solidFill>
                    <w14:schemeClr w14:val="tx1"/>
                  </w14:solidFill>
                </w14:textFill>
              </w:rPr>
            </w:pPr>
            <w:r>
              <w:rPr>
                <w:rFonts w:hint="default" w:ascii="宋体" w:hAnsi="宋体"/>
                <w:color w:val="000000" w:themeColor="text1"/>
                <w:sz w:val="20"/>
                <w:szCs w:val="24"/>
                <w14:textFill>
                  <w14:solidFill>
                    <w14:schemeClr w14:val="tx1"/>
                  </w14:solidFill>
                </w14:textFill>
              </w:rPr>
              <w:t>内镜洗消器（双缸）</w:t>
            </w:r>
          </w:p>
        </w:tc>
        <w:tc>
          <w:tcPr>
            <w:tcW w:w="122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940" w:type="dxa"/>
            <w:noWrap w:val="0"/>
            <w:vAlign w:val="top"/>
          </w:tcPr>
          <w:p>
            <w:pPr>
              <w:pStyle w:val="16"/>
              <w:numPr>
                <w:ilvl w:val="0"/>
                <w:numId w:val="0"/>
              </w:numPr>
              <w:spacing w:line="360" w:lineRule="auto"/>
              <w:ind w:left="210" w:leftChars="0"/>
              <w:jc w:val="left"/>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t>1套</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top"/>
          </w:tcPr>
          <w:p>
            <w:pPr>
              <w:spacing w:beforeLines="0" w:afterLines="0"/>
              <w:jc w:val="center"/>
              <w:rPr>
                <w:rFonts w:hint="default" w:ascii="宋体" w:hAnsi="宋体" w:eastAsiaTheme="minorEastAsia" w:cstheme="minorBidi"/>
                <w:color w:val="000000" w:themeColor="text1"/>
                <w:kern w:val="2"/>
                <w:sz w:val="20"/>
                <w:szCs w:val="24"/>
                <w:lang w:val="en-US" w:eastAsia="zh-CN" w:bidi="ar-SA"/>
                <w14:textFill>
                  <w14:solidFill>
                    <w14:schemeClr w14:val="tx1"/>
                  </w14:solidFill>
                </w14:textFill>
              </w:rPr>
            </w:pPr>
            <w:r>
              <w:rPr>
                <w:rFonts w:hint="default" w:ascii="宋体" w:hAnsi="宋体"/>
                <w:color w:val="000000" w:themeColor="text1"/>
                <w:sz w:val="20"/>
                <w:szCs w:val="24"/>
                <w14:textFill>
                  <w14:solidFill>
                    <w14:schemeClr w14:val="tx1"/>
                  </w14:solidFill>
                </w14:textFill>
              </w:rPr>
              <w:t>内镜追溯系统</w:t>
            </w:r>
          </w:p>
        </w:tc>
        <w:tc>
          <w:tcPr>
            <w:tcW w:w="122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p>
        </w:tc>
        <w:tc>
          <w:tcPr>
            <w:tcW w:w="940" w:type="dxa"/>
            <w:noWrap w:val="0"/>
            <w:vAlign w:val="top"/>
          </w:tcPr>
          <w:p>
            <w:pPr>
              <w:pStyle w:val="16"/>
              <w:numPr>
                <w:ilvl w:val="0"/>
                <w:numId w:val="0"/>
              </w:numPr>
              <w:spacing w:line="360" w:lineRule="auto"/>
              <w:ind w:left="210" w:leftChars="0"/>
              <w:jc w:val="left"/>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t>3套</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top"/>
          </w:tcPr>
          <w:p>
            <w:pPr>
              <w:spacing w:beforeLines="0" w:afterLines="0"/>
              <w:jc w:val="center"/>
              <w:rPr>
                <w:rFonts w:hint="default" w:ascii="宋体" w:hAnsi="宋体" w:eastAsiaTheme="minorEastAsia" w:cstheme="minorBidi"/>
                <w:color w:val="000000" w:themeColor="text1"/>
                <w:kern w:val="2"/>
                <w:sz w:val="20"/>
                <w:szCs w:val="24"/>
                <w:lang w:val="en-US" w:eastAsia="zh-CN" w:bidi="ar-SA"/>
                <w14:textFill>
                  <w14:solidFill>
                    <w14:schemeClr w14:val="tx1"/>
                  </w14:solidFill>
                </w14:textFill>
              </w:rPr>
            </w:pPr>
            <w:r>
              <w:rPr>
                <w:rFonts w:hint="eastAsia" w:ascii="宋体" w:hAnsi="宋体"/>
                <w:color w:val="000000" w:themeColor="text1"/>
                <w:sz w:val="20"/>
                <w:szCs w:val="24"/>
                <w:lang w:val="en-US" w:eastAsia="zh-CN"/>
                <w14:textFill>
                  <w14:solidFill>
                    <w14:schemeClr w14:val="tx1"/>
                  </w14:solidFill>
                </w14:textFill>
              </w:rPr>
              <w:t>医用洁净气源</w:t>
            </w:r>
          </w:p>
        </w:tc>
        <w:tc>
          <w:tcPr>
            <w:tcW w:w="122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p>
        </w:tc>
        <w:tc>
          <w:tcPr>
            <w:tcW w:w="940" w:type="dxa"/>
            <w:noWrap w:val="0"/>
            <w:vAlign w:val="top"/>
          </w:tcPr>
          <w:p>
            <w:pPr>
              <w:pStyle w:val="16"/>
              <w:numPr>
                <w:ilvl w:val="0"/>
                <w:numId w:val="0"/>
              </w:numPr>
              <w:spacing w:line="360" w:lineRule="auto"/>
              <w:ind w:left="210" w:leftChars="0"/>
              <w:jc w:val="left"/>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t>1套</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top"/>
          </w:tcPr>
          <w:p>
            <w:pPr>
              <w:spacing w:beforeLines="0" w:afterLines="0"/>
              <w:jc w:val="center"/>
              <w:rPr>
                <w:rFonts w:hint="default" w:ascii="宋体" w:hAnsi="宋体" w:eastAsiaTheme="minorEastAsia" w:cstheme="minorBidi"/>
                <w:color w:val="000000" w:themeColor="text1"/>
                <w:kern w:val="2"/>
                <w:sz w:val="20"/>
                <w:szCs w:val="24"/>
                <w:lang w:val="en-US" w:eastAsia="zh-CN" w:bidi="ar-SA"/>
                <w14:textFill>
                  <w14:solidFill>
                    <w14:schemeClr w14:val="tx1"/>
                  </w14:solidFill>
                </w14:textFill>
              </w:rPr>
            </w:pPr>
            <w:r>
              <w:rPr>
                <w:rFonts w:hint="default" w:ascii="宋体" w:hAnsi="宋体"/>
                <w:color w:val="000000" w:themeColor="text1"/>
                <w:sz w:val="20"/>
                <w:szCs w:val="24"/>
                <w14:textFill>
                  <w14:solidFill>
                    <w14:schemeClr w14:val="tx1"/>
                  </w14:solidFill>
                </w14:textFill>
              </w:rPr>
              <w:t>静音无油空气压缩机</w:t>
            </w:r>
          </w:p>
        </w:tc>
        <w:tc>
          <w:tcPr>
            <w:tcW w:w="122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p>
        </w:tc>
        <w:tc>
          <w:tcPr>
            <w:tcW w:w="94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t>2台</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top"/>
          </w:tcPr>
          <w:p>
            <w:pPr>
              <w:spacing w:beforeLines="0" w:afterLines="0"/>
              <w:jc w:val="center"/>
              <w:rPr>
                <w:rFonts w:hint="default" w:ascii="宋体" w:hAnsi="宋体" w:eastAsiaTheme="minorEastAsia" w:cstheme="minorBidi"/>
                <w:color w:val="000000" w:themeColor="text1"/>
                <w:kern w:val="2"/>
                <w:sz w:val="20"/>
                <w:szCs w:val="24"/>
                <w:lang w:val="en-US" w:eastAsia="zh-CN" w:bidi="ar-SA"/>
                <w14:textFill>
                  <w14:solidFill>
                    <w14:schemeClr w14:val="tx1"/>
                  </w14:solidFill>
                </w14:textFill>
              </w:rPr>
            </w:pPr>
            <w:r>
              <w:rPr>
                <w:rFonts w:hint="default" w:ascii="宋体" w:hAnsi="宋体"/>
                <w:color w:val="000000" w:themeColor="text1"/>
                <w:sz w:val="20"/>
                <w:szCs w:val="24"/>
                <w14:textFill>
                  <w14:solidFill>
                    <w14:schemeClr w14:val="tx1"/>
                  </w14:solidFill>
                </w14:textFill>
              </w:rPr>
              <w:t>中心气体处理器</w:t>
            </w:r>
          </w:p>
        </w:tc>
        <w:tc>
          <w:tcPr>
            <w:tcW w:w="122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p>
        </w:tc>
        <w:tc>
          <w:tcPr>
            <w:tcW w:w="94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t>2套</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top"/>
          </w:tcPr>
          <w:p>
            <w:pPr>
              <w:spacing w:beforeLines="0" w:afterLines="0"/>
              <w:jc w:val="center"/>
              <w:rPr>
                <w:rFonts w:hint="default" w:ascii="宋体" w:hAnsi="宋体" w:eastAsiaTheme="minorEastAsia" w:cstheme="minorBidi"/>
                <w:color w:val="000000" w:themeColor="text1"/>
                <w:kern w:val="2"/>
                <w:sz w:val="20"/>
                <w:szCs w:val="24"/>
                <w:lang w:val="en-US" w:eastAsia="zh-CN" w:bidi="ar-SA"/>
                <w14:textFill>
                  <w14:solidFill>
                    <w14:schemeClr w14:val="tx1"/>
                  </w14:solidFill>
                </w14:textFill>
              </w:rPr>
            </w:pPr>
            <w:r>
              <w:rPr>
                <w:rFonts w:hint="eastAsia" w:ascii="宋体" w:hAnsi="宋体"/>
                <w:color w:val="000000" w:themeColor="text1"/>
                <w:sz w:val="20"/>
                <w:szCs w:val="24"/>
                <w:lang w:eastAsia="zh-CN"/>
                <w14:textFill>
                  <w14:solidFill>
                    <w14:schemeClr w14:val="tx1"/>
                  </w14:solidFill>
                </w14:textFill>
              </w:rPr>
              <w:t>三层</w:t>
            </w:r>
            <w:r>
              <w:rPr>
                <w:rFonts w:hint="default" w:ascii="宋体" w:hAnsi="宋体"/>
                <w:color w:val="000000" w:themeColor="text1"/>
                <w:sz w:val="20"/>
                <w:szCs w:val="24"/>
                <w14:textFill>
                  <w14:solidFill>
                    <w14:schemeClr w14:val="tx1"/>
                  </w14:solidFill>
                </w14:textFill>
              </w:rPr>
              <w:t>内镜转运车</w:t>
            </w:r>
          </w:p>
        </w:tc>
        <w:tc>
          <w:tcPr>
            <w:tcW w:w="122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p>
        </w:tc>
        <w:tc>
          <w:tcPr>
            <w:tcW w:w="94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Theme="minorEastAsia" w:hAnsiTheme="minorEastAsia" w:cstheme="minorEastAsia"/>
                <w:bCs/>
                <w:color w:val="000000" w:themeColor="text1"/>
                <w:sz w:val="24"/>
                <w:lang w:val="en-US" w:eastAsia="zh-CN"/>
                <w14:textFill>
                  <w14:solidFill>
                    <w14:schemeClr w14:val="tx1"/>
                  </w14:solidFill>
                </w14:textFill>
              </w:rPr>
              <w:t>2</w:t>
            </w:r>
            <w:r>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t>台</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top"/>
          </w:tcPr>
          <w:p>
            <w:pPr>
              <w:spacing w:beforeLines="0" w:afterLines="0"/>
              <w:jc w:val="center"/>
              <w:rPr>
                <w:rFonts w:hint="default" w:ascii="宋体" w:hAnsi="宋体" w:eastAsiaTheme="minorEastAsia" w:cstheme="minorBidi"/>
                <w:color w:val="000000" w:themeColor="text1"/>
                <w:kern w:val="2"/>
                <w:sz w:val="20"/>
                <w:szCs w:val="24"/>
                <w:lang w:val="en-US" w:eastAsia="zh-CN" w:bidi="ar-SA"/>
                <w14:textFill>
                  <w14:solidFill>
                    <w14:schemeClr w14:val="tx1"/>
                  </w14:solidFill>
                </w14:textFill>
              </w:rPr>
            </w:pPr>
            <w:r>
              <w:rPr>
                <w:rFonts w:hint="default" w:ascii="宋体" w:hAnsi="宋体"/>
                <w:color w:val="000000" w:themeColor="text1"/>
                <w:sz w:val="20"/>
                <w:szCs w:val="24"/>
                <w14:textFill>
                  <w14:solidFill>
                    <w14:schemeClr w14:val="tx1"/>
                  </w14:solidFill>
                </w14:textFill>
              </w:rPr>
              <w:t>壁挂式紫外线空气消毒机</w:t>
            </w:r>
          </w:p>
        </w:tc>
        <w:tc>
          <w:tcPr>
            <w:tcW w:w="122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p>
        </w:tc>
        <w:tc>
          <w:tcPr>
            <w:tcW w:w="94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t>4台</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411" w:type="dxa"/>
            <w:gridSpan w:val="6"/>
            <w:noWrap w:val="0"/>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合计</w:t>
            </w:r>
            <w:r>
              <w:rPr>
                <w:rFonts w:hint="eastAsia" w:ascii="宋体" w:hAnsi="宋体" w:eastAsia="宋体" w:cs="宋体"/>
                <w:color w:val="000000" w:themeColor="text1"/>
                <w:kern w:val="0"/>
                <w:sz w:val="24"/>
                <w:szCs w:val="24"/>
                <w:lang w:eastAsia="zh-CN"/>
                <w14:textFill>
                  <w14:solidFill>
                    <w14:schemeClr w14:val="tx1"/>
                  </w14:solidFill>
                </w14:textFill>
              </w:rPr>
              <w:t>价款</w:t>
            </w:r>
            <w:r>
              <w:rPr>
                <w:rFonts w:hint="eastAsia" w:ascii="宋体" w:hAnsi="宋体" w:eastAsia="宋体" w:cs="宋体"/>
                <w:color w:val="000000" w:themeColor="text1"/>
                <w:kern w:val="0"/>
                <w:sz w:val="24"/>
                <w:szCs w:val="24"/>
                <w14:textFill>
                  <w14:solidFill>
                    <w14:schemeClr w14:val="tx1"/>
                  </w14:solidFill>
                </w14:textFill>
              </w:rPr>
              <w:t>金额（大写）：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eastAsia="zh-CN"/>
                <w14:textFill>
                  <w14:solidFill>
                    <w14:schemeClr w14:val="tx1"/>
                  </w14:solidFill>
                </w14:textFill>
              </w:rPr>
              <w:t>元</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整      </w:t>
            </w:r>
            <w:r>
              <w:rPr>
                <w:rFonts w:hint="eastAsia" w:ascii="宋体" w:hAnsi="宋体" w:eastAsia="宋体" w:cs="宋体"/>
                <w:color w:val="000000" w:themeColor="text1"/>
                <w:kern w:val="0"/>
                <w:sz w:val="24"/>
                <w:szCs w:val="24"/>
                <w14:textFill>
                  <w14:solidFill>
                    <w14:schemeClr w14:val="tx1"/>
                  </w14:solidFill>
                </w14:textFill>
              </w:rPr>
              <w:t>人民币（小写）：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14:textFill>
                  <w14:solidFill>
                    <w14:schemeClr w14:val="tx1"/>
                  </w14:solidFill>
                </w14:textFill>
              </w:rPr>
              <w:t>元</w:t>
            </w:r>
          </w:p>
        </w:tc>
      </w:tr>
    </w:tbl>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1.2 乙方负责免费提供</w:t>
      </w:r>
      <w:r>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t>旧设备</w:t>
      </w:r>
      <w:r>
        <w:rPr>
          <w:rFonts w:hint="eastAsia" w:asciiTheme="minorEastAsia" w:hAnsiTheme="minorEastAsia" w:cstheme="minorEastAsia"/>
          <w:bCs/>
          <w:color w:val="000000" w:themeColor="text1"/>
          <w:sz w:val="24"/>
          <w:lang w:val="en-US" w:eastAsia="zh-CN"/>
          <w14:textFill>
            <w14:solidFill>
              <w14:schemeClr w14:val="tx1"/>
            </w14:solidFill>
          </w14:textFill>
        </w:rPr>
        <w:t>（共5套：消化内科4套、检验科1套）</w:t>
      </w:r>
      <w:r>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t>移动改造</w:t>
      </w:r>
      <w:r>
        <w:rPr>
          <w:rFonts w:hint="eastAsia" w:asciiTheme="minorEastAsia" w:hAnsiTheme="minorEastAsia" w:cstheme="minorEastAsia"/>
          <w:bCs/>
          <w:color w:val="000000" w:themeColor="text1"/>
          <w:sz w:val="24"/>
          <w:lang w:val="en-US" w:eastAsia="zh-CN"/>
          <w14:textFill>
            <w14:solidFill>
              <w14:schemeClr w14:val="tx1"/>
            </w14:solidFill>
          </w14:textFill>
        </w:rPr>
        <w:t>，包括</w:t>
      </w:r>
      <w:r>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t>提供相关水电布局设计方案，落实旧设备的改造与利用，对接新大楼施工方案，保证科室现有设备能正常运行</w:t>
      </w:r>
      <w:r>
        <w:rPr>
          <w:rFonts w:hint="eastAsia" w:asciiTheme="minorEastAsia" w:hAnsiTheme="minorEastAsia" w:cstheme="minorEastAsia"/>
          <w:bCs/>
          <w:color w:val="000000" w:themeColor="text1"/>
          <w:sz w:val="24"/>
          <w:lang w:val="en-US" w:eastAsia="zh-CN"/>
          <w14:textFill>
            <w14:solidFill>
              <w14:schemeClr w14:val="tx1"/>
            </w14:solidFill>
          </w14:textFill>
        </w:rPr>
        <w:t>；旧设备（消化内科4套旧设备）的灌流接头需提供三年的免费更换服务；完成检验科的1套纯水系统搬迁。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1.3 本合同约定价格为固定价格，在本合同履行期间，不因市场价格波动作任何调整。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1.4 本合同约定价格包括且不限于设计费、材料费、人工费、安装费、包装费、运输费、装卸费、调试费、检测、检验费、税费、保险费、售后服务费等在内所有费用。 </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left="0" w:leftChars="0" w:firstLine="482" w:firstLineChars="200"/>
        <w:jc w:val="both"/>
        <w:textAlignment w:val="auto"/>
        <w:rPr>
          <w:rFonts w:hint="default" w:ascii="宋体" w:hAnsi="宋体" w:eastAsia="宋体" w:cs="宋体"/>
          <w:b/>
          <w:bCs/>
          <w:color w:val="000000" w:themeColor="text1"/>
          <w:sz w:val="24"/>
          <w:szCs w:val="24"/>
          <w:lang w:val="en-US" w:eastAsia="zh-CN"/>
          <w14:textFill>
            <w14:solidFill>
              <w14:schemeClr w14:val="tx1"/>
            </w14:solidFill>
          </w14:textFill>
        </w:rPr>
      </w:pPr>
      <w:r>
        <w:rPr>
          <w:rFonts w:hint="default" w:ascii="宋体" w:hAnsi="宋体" w:eastAsia="宋体" w:cs="宋体"/>
          <w:b/>
          <w:bCs/>
          <w:color w:val="000000" w:themeColor="text1"/>
          <w:sz w:val="24"/>
          <w:szCs w:val="24"/>
          <w:lang w:val="en-US" w:eastAsia="zh-CN"/>
          <w14:textFill>
            <w14:solidFill>
              <w14:schemeClr w14:val="tx1"/>
            </w14:solidFill>
          </w14:textFill>
        </w:rPr>
        <w:t>交货时间、地点、运输及装卸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2.1 </w:t>
      </w:r>
      <w:r>
        <w:rPr>
          <w:rFonts w:hint="default" w:ascii="宋体" w:hAnsi="宋体" w:eastAsia="宋体" w:cs="宋体"/>
          <w:color w:val="000000" w:themeColor="text1"/>
          <w:sz w:val="24"/>
          <w:szCs w:val="24"/>
          <w:lang w:val="en-US" w:eastAsia="zh-CN"/>
          <w14:textFill>
            <w14:solidFill>
              <w14:schemeClr w14:val="tx1"/>
            </w14:solidFill>
          </w14:textFill>
        </w:rPr>
        <w:t>交货时间：乙方应在</w:t>
      </w:r>
      <w:r>
        <w:rPr>
          <w:rFonts w:hint="eastAsia" w:ascii="宋体" w:hAnsi="宋体" w:cs="宋体"/>
          <w:color w:val="000000" w:themeColor="text1"/>
          <w:sz w:val="24"/>
          <w:szCs w:val="24"/>
          <w:lang w:val="en-US" w:eastAsia="zh-CN"/>
          <w14:textFill>
            <w14:solidFill>
              <w14:schemeClr w14:val="tx1"/>
            </w14:solidFill>
          </w14:textFill>
        </w:rPr>
        <w:t>接到甲方通知15日内</w:t>
      </w:r>
      <w:r>
        <w:rPr>
          <w:rFonts w:hint="default" w:ascii="宋体" w:hAnsi="宋体" w:eastAsia="宋体" w:cs="宋体"/>
          <w:color w:val="000000" w:themeColor="text1"/>
          <w:sz w:val="24"/>
          <w:szCs w:val="24"/>
          <w:lang w:val="en-US" w:eastAsia="zh-CN"/>
          <w14:textFill>
            <w14:solidFill>
              <w14:schemeClr w14:val="tx1"/>
            </w14:solidFill>
          </w14:textFill>
        </w:rPr>
        <w:t>将设备运至</w:t>
      </w:r>
      <w:r>
        <w:rPr>
          <w:rFonts w:hint="eastAsia" w:ascii="宋体" w:hAnsi="宋体" w:eastAsia="宋体" w:cs="宋体"/>
          <w:color w:val="000000" w:themeColor="text1"/>
          <w:sz w:val="24"/>
          <w:szCs w:val="24"/>
          <w:lang w:val="en-US" w:eastAsia="zh-CN"/>
          <w14:textFill>
            <w14:solidFill>
              <w14:schemeClr w14:val="tx1"/>
            </w14:solidFill>
          </w14:textFill>
        </w:rPr>
        <w:t>甲方指定交货</w:t>
      </w:r>
      <w:r>
        <w:rPr>
          <w:rFonts w:hint="default" w:ascii="宋体" w:hAnsi="宋体" w:eastAsia="宋体" w:cs="宋体"/>
          <w:color w:val="000000" w:themeColor="text1"/>
          <w:sz w:val="24"/>
          <w:szCs w:val="24"/>
          <w:lang w:val="en-US" w:eastAsia="zh-CN"/>
          <w14:textFill>
            <w14:solidFill>
              <w14:schemeClr w14:val="tx1"/>
            </w14:solidFill>
          </w14:textFill>
        </w:rPr>
        <w:t>地点，并</w:t>
      </w:r>
      <w:r>
        <w:rPr>
          <w:rFonts w:hint="eastAsia" w:ascii="宋体" w:hAnsi="宋体" w:eastAsia="宋体" w:cs="宋体"/>
          <w:color w:val="000000" w:themeColor="text1"/>
          <w:sz w:val="24"/>
          <w:szCs w:val="24"/>
          <w:lang w:val="en-US" w:eastAsia="zh-CN"/>
          <w14:textFill>
            <w14:solidFill>
              <w14:schemeClr w14:val="tx1"/>
            </w14:solidFill>
          </w14:textFill>
        </w:rPr>
        <w:t>在</w:t>
      </w:r>
      <w:r>
        <w:rPr>
          <w:rFonts w:hint="eastAsia" w:ascii="宋体" w:hAnsi="宋体" w:cs="宋体"/>
          <w:color w:val="000000" w:themeColor="text1"/>
          <w:sz w:val="24"/>
          <w:szCs w:val="24"/>
          <w:lang w:val="en-US" w:eastAsia="zh-CN"/>
          <w14:textFill>
            <w14:solidFill>
              <w14:schemeClr w14:val="tx1"/>
            </w14:solidFill>
          </w14:textFill>
        </w:rPr>
        <w:t>到货后3日内</w:t>
      </w:r>
      <w:r>
        <w:rPr>
          <w:rFonts w:hint="default" w:ascii="宋体" w:hAnsi="宋体" w:cs="宋体"/>
          <w:color w:val="000000" w:themeColor="text1"/>
          <w:sz w:val="24"/>
          <w:szCs w:val="24"/>
          <w:lang w:val="en-US" w:eastAsia="zh-CN"/>
          <w14:textFill>
            <w14:solidFill>
              <w14:schemeClr w14:val="tx1"/>
            </w14:solidFill>
          </w14:textFill>
        </w:rPr>
        <w:t>完成安装、调试，办理验收手续并交付甲方</w:t>
      </w:r>
      <w:r>
        <w:rPr>
          <w:rFonts w:hint="default" w:ascii="宋体" w:hAnsi="宋体" w:eastAsia="宋体" w:cs="宋体"/>
          <w:color w:val="000000" w:themeColor="text1"/>
          <w:sz w:val="24"/>
          <w:szCs w:val="24"/>
          <w:lang w:val="en-US" w:eastAsia="zh-CN"/>
          <w14:textFill>
            <w14:solidFill>
              <w14:schemeClr w14:val="tx1"/>
            </w14:solidFill>
          </w14:textFill>
        </w:rPr>
        <w:t>使用。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default"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.2 甲方指定</w:t>
      </w:r>
      <w:r>
        <w:rPr>
          <w:rFonts w:hint="default" w:ascii="宋体" w:hAnsi="宋体" w:eastAsia="宋体" w:cs="宋体"/>
          <w:color w:val="000000" w:themeColor="text1"/>
          <w:sz w:val="24"/>
          <w:szCs w:val="24"/>
          <w:lang w:val="en-US" w:eastAsia="zh-CN"/>
          <w14:textFill>
            <w14:solidFill>
              <w14:schemeClr w14:val="tx1"/>
            </w14:solidFill>
          </w14:textFill>
        </w:rPr>
        <w:t>交货地点：娄底市中心医院</w:t>
      </w:r>
      <w:r>
        <w:rPr>
          <w:rFonts w:hint="eastAsia" w:ascii="宋体" w:hAnsi="宋体" w:eastAsia="宋体" w:cs="宋体"/>
          <w:color w:val="000000" w:themeColor="text1"/>
          <w:sz w:val="24"/>
          <w:szCs w:val="24"/>
          <w:lang w:val="en-US" w:eastAsia="zh-CN"/>
          <w14:textFill>
            <w14:solidFill>
              <w14:schemeClr w14:val="tx1"/>
            </w14:solidFill>
          </w14:textFill>
        </w:rPr>
        <w:t>设备科</w:t>
      </w:r>
      <w:r>
        <w:rPr>
          <w:rFonts w:hint="default" w:ascii="宋体" w:hAnsi="宋体" w:eastAsia="宋体" w:cs="宋体"/>
          <w:color w:val="000000" w:themeColor="text1"/>
          <w:sz w:val="24"/>
          <w:szCs w:val="24"/>
          <w:lang w:val="en-US" w:eastAsia="zh-CN"/>
          <w14:textFill>
            <w14:solidFill>
              <w14:schemeClr w14:val="tx1"/>
            </w14:solidFill>
          </w14:textFill>
        </w:rPr>
        <w:t>（湖南省娄底市</w:t>
      </w:r>
      <w:r>
        <w:rPr>
          <w:rFonts w:hint="eastAsia" w:ascii="宋体" w:hAnsi="宋体" w:eastAsia="宋体" w:cs="宋体"/>
          <w:color w:val="000000" w:themeColor="text1"/>
          <w:sz w:val="24"/>
          <w:szCs w:val="24"/>
          <w:lang w:val="en-US" w:eastAsia="zh-CN"/>
          <w14:textFill>
            <w14:solidFill>
              <w14:schemeClr w14:val="tx1"/>
            </w14:solidFill>
          </w14:textFill>
        </w:rPr>
        <w:t>娄星区</w:t>
      </w:r>
      <w:r>
        <w:rPr>
          <w:rFonts w:hint="default" w:ascii="宋体" w:hAnsi="宋体" w:eastAsia="宋体" w:cs="宋体"/>
          <w:color w:val="000000" w:themeColor="text1"/>
          <w:sz w:val="24"/>
          <w:szCs w:val="24"/>
          <w:lang w:val="en-US" w:eastAsia="zh-CN"/>
          <w14:textFill>
            <w14:solidFill>
              <w14:schemeClr w14:val="tx1"/>
            </w14:solidFill>
          </w14:textFill>
        </w:rPr>
        <w:t xml:space="preserve">长青中街51号）。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default"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default" w:ascii="宋体" w:hAnsi="宋体" w:eastAsia="宋体" w:cs="宋体"/>
          <w:color w:val="000000" w:themeColor="text1"/>
          <w:sz w:val="24"/>
          <w:szCs w:val="24"/>
          <w:lang w:val="en-US" w:eastAsia="zh-CN"/>
          <w14:textFill>
            <w14:solidFill>
              <w14:schemeClr w14:val="tx1"/>
            </w14:solidFill>
          </w14:textFill>
        </w:rPr>
        <w:t>运输及装卸：由乙方自备交通运输工具将设备运至合同约定地点，并负责设备装卸</w:t>
      </w:r>
      <w:r>
        <w:rPr>
          <w:rFonts w:hint="eastAsia" w:ascii="宋体" w:hAnsi="宋体" w:eastAsia="宋体" w:cs="宋体"/>
          <w:color w:val="000000" w:themeColor="text1"/>
          <w:sz w:val="24"/>
          <w:szCs w:val="24"/>
          <w:lang w:val="en-US" w:eastAsia="zh-CN"/>
          <w14:textFill>
            <w14:solidFill>
              <w14:schemeClr w14:val="tx1"/>
            </w14:solidFill>
          </w14:textFill>
        </w:rPr>
        <w:t>的人工及费用</w:t>
      </w:r>
      <w:r>
        <w:rPr>
          <w:rFonts w:hint="default" w:ascii="宋体" w:hAnsi="宋体" w:eastAsia="宋体" w:cs="宋体"/>
          <w:color w:val="000000" w:themeColor="text1"/>
          <w:sz w:val="24"/>
          <w:szCs w:val="24"/>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第三条 质量标准、质量验收、包装要求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3.1 质量标准：乙方提供设备的质量、安装应符合或优于国家标准；如响应文件中的技术参数和质量标准高于国家标准，则设备的技术参数和质量标准以响应文件为准。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3.2 质量验收：以本合同约定标准按以下方式进行验收：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3.2.1 到货验收：乙方将设备运至指定交货地点后，应通知甲方，并向甲方提供厂家标准资料文件（进口设备需提供真实有效的海关报关单，其他设备需提供产品合格证）和原厂售后质保承诺书。甲方自接到乙方通知之日起7日内组织人员对设备按合同约定及厂家出厂装箱单进行到货验收，经甲方验收合格后签署验收报告单，乙方方可进行现场拆包、安装、调试、培训。如经甲方验收不合格，乙方应在</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lang w:val="en-US" w:eastAsia="zh-CN"/>
          <w14:textFill>
            <w14:solidFill>
              <w14:schemeClr w14:val="tx1"/>
            </w14:solidFill>
          </w14:textFill>
        </w:rPr>
        <w:t>日内无条件予以更换。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3.2.2 拆包、安装、调试、培训验收：乙方将设备全部拆包、安装、调试、培训后应及时通知甲方，甲方自接到乙方通知之日起7日内自行组织或委托第三方进行总体验收，验收合格后签署总体验收报告单。如经甲方或第三方验收不合格，乙方应在</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lang w:val="en-US" w:eastAsia="zh-CN"/>
          <w14:textFill>
            <w14:solidFill>
              <w14:schemeClr w14:val="tx1"/>
            </w14:solidFill>
          </w14:textFill>
        </w:rPr>
        <w:t>日内无条件予以返工并承担所有费用。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3.2.3 甲方验收时如发现乙方所交付、安装的设备不符合本合同约定，甲方应做出详尽的现场记录，由甲乙双方签署备忘录，该现场记录和备忘录作为乙方补交缺少部件、更换不符标准部件的有效依据，由此产生的一切经济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3.3 包装要求：乙方提供的设备必须为原厂包装，外包装到货时应保证完好无损，否则甲方有权拒绝收货，由此造成的延期交货违约责任和一切经济损失全部由乙方承担。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第四条 安装、培训、通知等事项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4.1 甲方负责协调、处理与安装、调试有关事宜，为乙方创造良好的安装、调试环境。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4.2 甲方委派</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杨娟  </w:t>
      </w:r>
      <w:r>
        <w:rPr>
          <w:rFonts w:hint="eastAsia" w:ascii="宋体" w:hAnsi="宋体" w:eastAsia="宋体" w:cs="宋体"/>
          <w:color w:val="000000" w:themeColor="text1"/>
          <w:sz w:val="24"/>
          <w:szCs w:val="24"/>
          <w:lang w:val="en-US" w:eastAsia="zh-CN"/>
          <w14:textFill>
            <w14:solidFill>
              <w14:schemeClr w14:val="tx1"/>
            </w14:solidFill>
          </w14:textFill>
        </w:rPr>
        <w:t>作为代表，跟踪、检查安装、调试现场。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4.3 乙方负责对甲方的操作人员进行免费培训。</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4.4 乙方在安装、调试过程中应加强操作人员的安全教育，杜绝安全事故的发生。 </w:t>
      </w:r>
    </w:p>
    <w:p>
      <w:pPr>
        <w:keepNext w:val="0"/>
        <w:keepLines w:val="0"/>
        <w:pageBreakBefore w:val="0"/>
        <w:widowControl/>
        <w:numPr>
          <w:ilvl w:val="-1"/>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4</w:t>
      </w:r>
      <w:r>
        <w:rPr>
          <w:rFonts w:hint="eastAsia" w:ascii="宋体" w:hAnsi="宋体" w:eastAsia="宋体" w:cs="宋体"/>
          <w:color w:val="000000" w:themeColor="text1"/>
          <w:sz w:val="24"/>
          <w:szCs w:val="24"/>
          <w:lang w:val="en-US" w:eastAsia="zh-CN"/>
          <w14:textFill>
            <w14:solidFill>
              <w14:schemeClr w14:val="tx1"/>
            </w14:solidFill>
          </w14:textFill>
        </w:rPr>
        <w:t>.5 甲乙双方同意，与本合同有关的任何文书，应以书面方式送达本合同约定的联系方式。书面形式包括手机短信、微信、书面函件、电子邮件等形式。</w:t>
      </w:r>
    </w:p>
    <w:p>
      <w:pPr>
        <w:keepNext w:val="0"/>
        <w:keepLines w:val="0"/>
        <w:pageBreakBefore w:val="0"/>
        <w:widowControl/>
        <w:numPr>
          <w:ilvl w:val="-1"/>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4.6双方确认的文书（包括未来可能发生的诉讼或仲裁活动中法院或仲裁机构的送达法律文书）送达地址：</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4.6.1甲方的文书送达地址：</w:t>
      </w:r>
      <w:r>
        <w:rPr>
          <w:rFonts w:hint="eastAsia" w:ascii="宋体" w:hAnsi="宋体" w:eastAsia="宋体" w:cs="宋体"/>
          <w:color w:val="000000" w:themeColor="text1"/>
          <w:sz w:val="24"/>
          <w:szCs w:val="24"/>
          <w:u w:val="single"/>
          <w:lang w:val="en-US" w:eastAsia="zh-CN"/>
          <w14:textFill>
            <w14:solidFill>
              <w14:schemeClr w14:val="tx1"/>
            </w14:solidFill>
          </w14:textFill>
        </w:rPr>
        <w:t>湖南省娄底市娄星区长青中街51号娄底市中心医院</w:t>
      </w:r>
      <w:r>
        <w:rPr>
          <w:rFonts w:hint="eastAsia" w:ascii="宋体" w:hAnsi="宋体" w:eastAsia="宋体" w:cs="宋体"/>
          <w:color w:val="000000" w:themeColor="text1"/>
          <w:sz w:val="24"/>
          <w:szCs w:val="24"/>
          <w:lang w:val="en-US" w:eastAsia="zh-CN"/>
          <w14:textFill>
            <w14:solidFill>
              <w14:schemeClr w14:val="tx1"/>
            </w14:solidFill>
          </w14:textFill>
        </w:rPr>
        <w:t>；收件人：</w:t>
      </w:r>
      <w:r>
        <w:rPr>
          <w:rFonts w:hint="eastAsia" w:ascii="宋体" w:hAnsi="宋体" w:eastAsia="宋体" w:cs="宋体"/>
          <w:color w:val="000000" w:themeColor="text1"/>
          <w:sz w:val="24"/>
          <w:szCs w:val="24"/>
          <w:u w:val="single"/>
          <w:lang w:val="en-US" w:eastAsia="zh-CN"/>
          <w14:textFill>
            <w14:solidFill>
              <w14:schemeClr w14:val="tx1"/>
            </w14:solidFill>
          </w14:textFill>
        </w:rPr>
        <w:t>朱振宇</w:t>
      </w:r>
      <w:r>
        <w:rPr>
          <w:rFonts w:hint="eastAsia" w:ascii="宋体" w:hAnsi="宋体" w:eastAsia="宋体" w:cs="宋体"/>
          <w:color w:val="000000" w:themeColor="text1"/>
          <w:sz w:val="24"/>
          <w:szCs w:val="24"/>
          <w:lang w:val="en-US" w:eastAsia="zh-CN"/>
          <w14:textFill>
            <w14:solidFill>
              <w14:schemeClr w14:val="tx1"/>
            </w14:solidFill>
          </w14:textFill>
        </w:rPr>
        <w:t>，联系电话：</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15673845559 </w:t>
      </w:r>
      <w:r>
        <w:rPr>
          <w:rFonts w:hint="eastAsia" w:ascii="宋体" w:hAnsi="宋体" w:eastAsia="宋体" w:cs="宋体"/>
          <w:color w:val="000000" w:themeColor="text1"/>
          <w:sz w:val="24"/>
          <w:szCs w:val="24"/>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u w:val="non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4.6.2 乙方的文书送达地址</w:t>
      </w:r>
      <w:r>
        <w:rPr>
          <w:rFonts w:hint="eastAsia" w:ascii="宋体" w:hAnsi="宋体" w:eastAsia="宋体" w:cs="宋体"/>
          <w:color w:val="000000" w:themeColor="text1"/>
          <w:sz w:val="24"/>
          <w:szCs w:val="24"/>
          <w:u w:val="none"/>
          <w:lang w:val="en-US" w:eastAsia="zh-CN"/>
          <w14:textFill>
            <w14:solidFill>
              <w14:schemeClr w14:val="tx1"/>
            </w14:solidFill>
          </w14:textFill>
        </w:rPr>
        <w:t>：</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；联系人：</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联系电话：</w:t>
      </w:r>
      <w:r>
        <w:rPr>
          <w:rFonts w:hint="eastAsia" w:ascii="宋体" w:hAnsi="宋体" w:eastAsia="宋体" w:cs="宋体"/>
          <w:color w:val="000000" w:themeColor="text1"/>
          <w:sz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u w:val="none"/>
          <w:lang w:val="en-US" w:eastAsia="zh-CN"/>
          <w14:textFill>
            <w14:solidFill>
              <w14:schemeClr w14:val="tx1"/>
            </w14:solidFill>
          </w14:textFill>
        </w:rPr>
        <w:t xml:space="preserve">。 </w:t>
      </w:r>
    </w:p>
    <w:p>
      <w:pPr>
        <w:keepNext w:val="0"/>
        <w:keepLines w:val="0"/>
        <w:pageBreakBefore w:val="0"/>
        <w:widowControl/>
        <w:numPr>
          <w:ilvl w:val="-1"/>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4.7上述通知应被视为在下列时间送达：以快递或专人发送的，在收件人签收之日或拒收之日；以挂号邮件发出的，在发出之日起7个工作日；以电子邮件发出的，在电子邮件进入收件方电子邮箱服务器之日。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4.8以上地址和联系方式，任何一方发生变更应在变更之日起三日内通知对方。如未通知，一方按原地址送达的书面资料被退回的，退回之日视为送达之日。任何一方按照确认地址送到另一方的书面资料被拒绝签收导致邮件被退回的，退回之日视为送达之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第五条 售后服务</w:t>
      </w:r>
    </w:p>
    <w:p>
      <w:pPr>
        <w:keepNext w:val="0"/>
        <w:keepLines w:val="0"/>
        <w:pageBreakBefore w:val="0"/>
        <w:widowControl/>
        <w:numPr>
          <w:ilvl w:val="-1"/>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5.1 本合同设备质保期为</w:t>
      </w:r>
      <w:r>
        <w:rPr>
          <w:rFonts w:hint="eastAsia" w:ascii="宋体" w:hAnsi="宋体" w:eastAsia="宋体" w:cs="宋体"/>
          <w:color w:val="000000" w:themeColor="text1"/>
          <w:sz w:val="24"/>
          <w:szCs w:val="24"/>
          <w:u w:val="single"/>
          <w:lang w:val="en-US" w:eastAsia="zh-CN"/>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年，自甲方在总体验收报告单上签字确认合格之日起算。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5.2 </w:t>
      </w:r>
      <w:r>
        <w:rPr>
          <w:rFonts w:hint="eastAsia" w:ascii="宋体" w:hAnsi="宋体" w:eastAsia="宋体" w:cs="宋体"/>
          <w:color w:val="000000" w:themeColor="text1"/>
          <w:sz w:val="24"/>
          <w14:textFill>
            <w14:solidFill>
              <w14:schemeClr w14:val="tx1"/>
            </w14:solidFill>
          </w14:textFill>
        </w:rPr>
        <w:t>乙方在质保期内免费提供维修、更换、保养、咨询等服务。</w:t>
      </w:r>
      <w:r>
        <w:rPr>
          <w:rFonts w:hint="eastAsia" w:ascii="宋体" w:hAnsi="宋体" w:eastAsia="宋体" w:cs="宋体"/>
          <w:color w:val="000000" w:themeColor="text1"/>
          <w:sz w:val="24"/>
          <w:szCs w:val="24"/>
          <w:lang w:val="en-US" w:eastAsia="zh-CN"/>
          <w14:textFill>
            <w14:solidFill>
              <w14:schemeClr w14:val="tx1"/>
            </w14:solidFill>
          </w14:textFill>
        </w:rPr>
        <w:t>如设备在</w:t>
      </w:r>
      <w:r>
        <w:rPr>
          <w:rFonts w:hint="eastAsia" w:ascii="宋体" w:hAnsi="宋体" w:eastAsia="宋体" w:cs="宋体"/>
          <w:color w:val="000000" w:themeColor="text1"/>
          <w:sz w:val="24"/>
          <w14:textFill>
            <w14:solidFill>
              <w14:schemeClr w14:val="tx1"/>
            </w14:solidFill>
          </w14:textFill>
        </w:rPr>
        <w:t>质</w:t>
      </w:r>
      <w:r>
        <w:rPr>
          <w:rFonts w:hint="eastAsia" w:ascii="宋体" w:hAnsi="宋体" w:eastAsia="宋体" w:cs="宋体"/>
          <w:color w:val="000000" w:themeColor="text1"/>
          <w:sz w:val="24"/>
          <w:szCs w:val="24"/>
          <w:lang w:val="en-US" w:eastAsia="zh-CN"/>
          <w14:textFill>
            <w14:solidFill>
              <w14:schemeClr w14:val="tx1"/>
            </w14:solidFill>
          </w14:textFill>
        </w:rPr>
        <w:t>保期内出现质量问题，乙方应在接到甲方通知（包括电话通知）后24小时内响应，响应后4小时上门服务，相关费用由乙方承担。如乙方不及时履行保修义务，甲方有权委托第三方进行维修，由此产生的相关费用，在支付价款中予以扣除或要求乙方支付对应货物价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479" w:leftChars="228" w:firstLine="0" w:firstLineChars="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5.3 质保期内，乙方每年至少对设备进行一次巡检并向甲方提交巡检记录。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5.4 质保期届满后，如设备出现问题，乙方应在接到甲方通知（包括电话通知）后24小时内响应，响应后4小时上门服务，相关费用由甲方承担。</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 xml:space="preserve">5 </w:t>
      </w:r>
      <w:r>
        <w:rPr>
          <w:rFonts w:hint="eastAsia" w:ascii="宋体" w:hAnsi="宋体" w:eastAsia="宋体" w:cs="宋体"/>
          <w:color w:val="000000" w:themeColor="text1"/>
          <w:sz w:val="24"/>
          <w:szCs w:val="24"/>
          <w14:textFill>
            <w14:solidFill>
              <w14:schemeClr w14:val="tx1"/>
            </w14:solidFill>
          </w14:textFill>
        </w:rPr>
        <w:t>乙方须指派</w:t>
      </w:r>
      <w:r>
        <w:rPr>
          <w:rFonts w:hint="eastAsia" w:ascii="宋体" w:hAnsi="宋体" w:eastAsia="宋体" w:cs="宋体"/>
          <w:color w:val="000000" w:themeColor="text1"/>
          <w:sz w:val="24"/>
          <w:szCs w:val="24"/>
          <w:u w:val="non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电话：</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专门负责与甲方联系售后服务事宜，如人员发生变动，应及时通知甲方。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第六条 结算、付款方式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6.1 甲方通过银行转账方式向乙方指定银行账户支付结算价款：自甲方在总体验收报告单上签字确认合格之日起4个月内，支付结算总价款的90%；自甲方在总体验收报告单上签字确认合格之日起满</w:t>
      </w:r>
      <w:r>
        <w:rPr>
          <w:rFonts w:hint="eastAsia" w:ascii="宋体" w:hAnsi="宋体" w:eastAsia="宋体" w:cs="宋体"/>
          <w:color w:val="000000" w:themeColor="text1"/>
          <w:sz w:val="24"/>
          <w:szCs w:val="24"/>
          <w:u w:val="single"/>
          <w:lang w:val="en-US" w:eastAsia="zh-CN"/>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年的10个工作日内，向乙方免息支付结算总价款的10%。</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6.2 乙方应在甲方首次付款前，向甲方提供以自己名义开具的与结算总价款对应的增值税普通发票，如因乙方未及时提供发票，甲方有权顺延付款期限。</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6.3 乙方开具的发票金额应与总体验收报告单内容一致，甲方不支付超出总体验收报告单内容以外的任何费用。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6.4 乙方指定账户：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u w:val="singl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开户名：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themeColor="text1"/>
          <w:sz w:val="24"/>
          <w:szCs w:val="24"/>
          <w:u w:val="non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开户银行：</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color w:val="000000" w:themeColor="text1"/>
          <w:sz w:val="24"/>
          <w:szCs w:val="24"/>
          <w:u w:val="non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themeColor="text1"/>
          <w:sz w:val="28"/>
          <w:szCs w:val="28"/>
          <w:u w:val="non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账号：</w:t>
      </w:r>
      <w:r>
        <w:rPr>
          <w:rFonts w:hint="eastAsia" w:ascii="宋体" w:hAnsi="宋体"/>
          <w:color w:val="000000" w:themeColor="text1"/>
          <w:sz w:val="28"/>
          <w:szCs w:val="28"/>
          <w:u w:val="none"/>
          <w:lang w:val="en-US" w:eastAsia="zh-CN"/>
          <w14:textFill>
            <w14:solidFill>
              <w14:schemeClr w14:val="tx1"/>
            </w14:solidFill>
          </w14:textFill>
        </w:rPr>
        <w:t xml:space="preserve"> </w:t>
      </w:r>
      <w:r>
        <w:rPr>
          <w:rFonts w:hint="eastAsia" w:ascii="宋体" w:hAnsi="宋体"/>
          <w:color w:val="000000" w:themeColor="text1"/>
          <w:sz w:val="24"/>
          <w:szCs w:val="24"/>
          <w:u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color w:val="000000" w:themeColor="text1"/>
          <w:sz w:val="28"/>
          <w:szCs w:val="28"/>
          <w:u w:val="non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第七条 风险承担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7.1 乙方履行本合同过程中发生事故，包括但不限于在运输、装卸、安装及调试过程中发生事故，给甲方、乙方或第三方人身、财产造成的所有损失，均由乙方负责处理和承担全部法律责任、经济赔偿责任。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7.2 货物毁损、丢失的风险自甲方在总体验收报告单上签字确认合格后转移给甲方，此前货物的一切风险均由乙方承担。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第八条 违约责任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8.1 如乙方未在本合同约定时间内将验收合格的货物交付给甲方使用，除应赔偿甲方因此造成的损失外，每逾期一日，按本合同约定总价款的千分之一向甲方支付违约金，甲方可在约定应付价款中对该费用予以扣除。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8.2 乙方出现以下违约情形之一的，甲方有权拒绝支付任何价款并解除合同</w:t>
      </w:r>
      <w:r>
        <w:rPr>
          <w:rFonts w:hint="eastAsia" w:ascii="宋体" w:hAnsi="宋体" w:eastAsia="宋体" w:cs="宋体"/>
          <w:color w:val="000000" w:themeColor="text1"/>
          <w:sz w:val="24"/>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8.2.1 乙方逾期</w:t>
      </w:r>
      <w:r>
        <w:rPr>
          <w:rFonts w:hint="eastAsia" w:ascii="宋体" w:hAnsi="宋体" w:eastAsia="宋体" w:cs="宋体"/>
          <w:color w:val="000000" w:themeColor="text1"/>
          <w:sz w:val="24"/>
          <w:szCs w:val="24"/>
          <w:u w:val="single"/>
          <w:lang w:val="en-US" w:eastAsia="zh-CN"/>
          <w14:textFill>
            <w14:solidFill>
              <w14:schemeClr w14:val="tx1"/>
            </w14:solidFill>
          </w14:textFill>
        </w:rPr>
        <w:t>30</w:t>
      </w:r>
      <w:r>
        <w:rPr>
          <w:rFonts w:hint="eastAsia" w:ascii="宋体" w:hAnsi="宋体" w:eastAsia="宋体" w:cs="宋体"/>
          <w:color w:val="000000" w:themeColor="text1"/>
          <w:sz w:val="24"/>
          <w:szCs w:val="24"/>
          <w:lang w:val="en-US" w:eastAsia="zh-CN"/>
          <w14:textFill>
            <w14:solidFill>
              <w14:schemeClr w14:val="tx1"/>
            </w14:solidFill>
          </w14:textFill>
        </w:rPr>
        <w:t>日仍不能供货；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8.2.2 乙方提供的设备质量不符合国家标准、本合同标准或响应文件约定标准；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8.2.3 乙方将订单转包、分包给第三方；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8.2.4 其他根本违约的情形。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8.3 如乙方单方解除合同或甲方因乙方原因解除合同，乙方应赔偿给甲方造成的全部经济损失，并按本合同总价款 30%标准支付甲方违约金。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第九条 争议解决</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如双方本合同履行中发生争议，双方应先协商解决，协商解决不成的，任何一方可向甲方所在地有管辖权的人民法院提起诉讼解决。</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default"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第十条 附则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10.1 本合同未尽事宜，双方另行协商签订补充协议。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10.2 本合同组成文件和优先解释顺序：本合同补充协议；本合同及附件；议价结果公示；响应文件；采购文件；其他与本合同有关的资料。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10.3 本合同一式伍份，甲方执肆份、乙方执壹份，自双方签字并盖章之日起生效。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default" w:ascii="宋体" w:hAnsi="宋体" w:eastAsia="宋体" w:cs="宋体"/>
          <w:color w:val="000000" w:themeColor="text1"/>
          <w:sz w:val="24"/>
          <w:szCs w:val="24"/>
          <w:lang w:val="en-US" w:eastAsia="zh-CN"/>
          <w14:textFill>
            <w14:solidFill>
              <w14:schemeClr w14:val="tx1"/>
            </w14:solidFill>
          </w14:textFill>
        </w:rPr>
        <w:t>甲方（盖章）：</w:t>
      </w:r>
      <w:r>
        <w:rPr>
          <w:rFonts w:hint="eastAsia" w:ascii="宋体" w:hAnsi="宋体" w:eastAsia="宋体" w:cs="宋体"/>
          <w:color w:val="000000" w:themeColor="text1"/>
          <w:sz w:val="24"/>
          <w:szCs w:val="24"/>
          <w:lang w:val="en-US" w:eastAsia="zh-CN"/>
          <w14:textFill>
            <w14:solidFill>
              <w14:schemeClr w14:val="tx1"/>
            </w14:solidFill>
          </w14:textFill>
        </w:rPr>
        <w:t>娄底市中心医院</w:t>
      </w:r>
      <w:r>
        <w:rPr>
          <w:rFonts w:hint="default"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default" w:ascii="宋体" w:hAnsi="宋体" w:eastAsia="宋体" w:cs="宋体"/>
          <w:color w:val="000000" w:themeColor="text1"/>
          <w:sz w:val="24"/>
          <w:szCs w:val="24"/>
          <w:lang w:val="en-US" w:eastAsia="zh-CN"/>
          <w14:textFill>
            <w14:solidFill>
              <w14:schemeClr w14:val="tx1"/>
            </w14:solidFill>
          </w14:textFill>
        </w:rPr>
        <w:t>乙方（盖章）</w:t>
      </w:r>
      <w:r>
        <w:rPr>
          <w:rFonts w:hint="eastAsia" w:ascii="宋体" w:hAnsi="宋体" w:eastAsia="宋体" w:cs="宋体"/>
          <w:color w:val="000000" w:themeColor="text1"/>
          <w:sz w:val="24"/>
          <w:szCs w:val="24"/>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default" w:ascii="宋体" w:hAnsi="宋体" w:eastAsia="宋体" w:cs="宋体"/>
          <w:color w:val="000000" w:themeColor="text1"/>
          <w:sz w:val="24"/>
          <w:szCs w:val="24"/>
          <w:lang w:val="en-US" w:eastAsia="zh-CN"/>
          <w14:textFill>
            <w14:solidFill>
              <w14:schemeClr w14:val="tx1"/>
            </w14:solidFill>
          </w14:textFill>
        </w:rPr>
        <w:t xml:space="preserve">法定代表人（签字）：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default" w:ascii="宋体" w:hAnsi="宋体" w:eastAsia="宋体" w:cs="宋体"/>
          <w:color w:val="000000" w:themeColor="text1"/>
          <w:sz w:val="24"/>
          <w:szCs w:val="24"/>
          <w:lang w:val="en-US" w:eastAsia="zh-CN"/>
          <w14:textFill>
            <w14:solidFill>
              <w14:schemeClr w14:val="tx1"/>
            </w14:solidFill>
          </w14:textFill>
        </w:rPr>
        <w:t>法定代表人（签字）：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或</w:t>
      </w:r>
      <w:r>
        <w:rPr>
          <w:rFonts w:hint="default" w:ascii="宋体" w:hAnsi="宋体" w:eastAsia="宋体" w:cs="宋体"/>
          <w:color w:val="000000" w:themeColor="text1"/>
          <w:sz w:val="24"/>
          <w:szCs w:val="24"/>
          <w:lang w:val="en-US" w:eastAsia="zh-CN"/>
          <w14:textFill>
            <w14:solidFill>
              <w14:schemeClr w14:val="tx1"/>
            </w14:solidFill>
          </w14:textFill>
        </w:rPr>
        <w:t xml:space="preserve">委托代理人（签字）：        </w:t>
      </w:r>
      <w:r>
        <w:rPr>
          <w:rFonts w:hint="eastAsia" w:ascii="宋体" w:hAnsi="宋体" w:eastAsia="宋体" w:cs="宋体"/>
          <w:color w:val="000000" w:themeColor="text1"/>
          <w:sz w:val="24"/>
          <w:szCs w:val="24"/>
          <w:lang w:val="en-US" w:eastAsia="zh-CN"/>
          <w14:textFill>
            <w14:solidFill>
              <w14:schemeClr w14:val="tx1"/>
            </w14:solidFill>
          </w14:textFill>
        </w:rPr>
        <w:t xml:space="preserve">      或</w:t>
      </w:r>
      <w:r>
        <w:rPr>
          <w:rFonts w:hint="default" w:ascii="宋体" w:hAnsi="宋体" w:eastAsia="宋体" w:cs="宋体"/>
          <w:color w:val="000000" w:themeColor="text1"/>
          <w:sz w:val="24"/>
          <w:szCs w:val="24"/>
          <w:lang w:val="en-US" w:eastAsia="zh-CN"/>
          <w14:textFill>
            <w14:solidFill>
              <w14:schemeClr w14:val="tx1"/>
            </w14:solidFill>
          </w14:textFill>
        </w:rPr>
        <w:t>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default" w:ascii="宋体" w:hAnsi="宋体" w:eastAsia="宋体" w:cs="宋体"/>
          <w:color w:val="000000" w:themeColor="text1"/>
          <w:sz w:val="24"/>
          <w:szCs w:val="24"/>
          <w:lang w:val="en-US" w:eastAsia="zh-CN"/>
          <w14:textFill>
            <w14:solidFill>
              <w14:schemeClr w14:val="tx1"/>
            </w14:solidFill>
          </w14:textFill>
        </w:rPr>
        <w:t>合同签订地</w:t>
      </w:r>
      <w:r>
        <w:rPr>
          <w:rFonts w:hint="eastAsia" w:ascii="宋体" w:hAnsi="宋体" w:eastAsia="宋体" w:cs="宋体"/>
          <w:color w:val="000000" w:themeColor="text1"/>
          <w:sz w:val="24"/>
          <w:szCs w:val="24"/>
          <w:lang w:val="en-US" w:eastAsia="zh-CN"/>
          <w14:textFill>
            <w14:solidFill>
              <w14:schemeClr w14:val="tx1"/>
            </w14:solidFill>
          </w14:textFill>
        </w:rPr>
        <w:t>履行地</w:t>
      </w:r>
      <w:r>
        <w:rPr>
          <w:rFonts w:hint="default" w:ascii="宋体" w:hAnsi="宋体" w:eastAsia="宋体" w:cs="宋体"/>
          <w:color w:val="000000" w:themeColor="text1"/>
          <w:sz w:val="24"/>
          <w:szCs w:val="24"/>
          <w:lang w:val="en-US" w:eastAsia="zh-CN"/>
          <w14:textFill>
            <w14:solidFill>
              <w14:schemeClr w14:val="tx1"/>
            </w14:solidFill>
          </w14:textFill>
        </w:rPr>
        <w:t xml:space="preserve">：娄底市娄星区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default" w:ascii="宋体" w:hAnsi="宋体" w:eastAsia="宋体" w:cs="宋体"/>
          <w:color w:val="000000" w:themeColor="text1"/>
          <w:sz w:val="24"/>
          <w:szCs w:val="24"/>
          <w:lang w:val="en-US" w:eastAsia="zh-CN"/>
          <w14:textFill>
            <w14:solidFill>
              <w14:schemeClr w14:val="tx1"/>
            </w14:solidFill>
          </w14:textFill>
        </w:rPr>
        <w:t>签订时间：</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default" w:ascii="宋体" w:hAnsi="宋体" w:eastAsia="宋体" w:cs="宋体"/>
          <w:color w:val="000000" w:themeColor="text1"/>
          <w:sz w:val="24"/>
          <w:szCs w:val="24"/>
          <w:lang w:val="en-US" w:eastAsia="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default" w:ascii="宋体" w:hAnsi="宋体" w:eastAsia="宋体" w:cs="宋体"/>
          <w:color w:val="000000" w:themeColor="text1"/>
          <w:sz w:val="24"/>
          <w:szCs w:val="24"/>
          <w:lang w:val="en-US" w:eastAsia="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default" w:ascii="宋体" w:hAnsi="宋体" w:eastAsia="宋体" w:cs="宋体"/>
          <w:color w:val="000000" w:themeColor="text1"/>
          <w:sz w:val="24"/>
          <w:szCs w:val="24"/>
          <w:lang w:val="en-US" w:eastAsia="zh-CN"/>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b/>
          <w:bCs/>
          <w:color w:val="auto"/>
          <w:sz w:val="24"/>
          <w:szCs w:val="24"/>
          <w:lang w:val="en-US" w:eastAsia="zh-CN"/>
        </w:rPr>
      </w:pPr>
    </w:p>
    <w:p>
      <w:pPr>
        <w:pStyle w:val="2"/>
        <w:numPr>
          <w:ilvl w:val="0"/>
          <w:numId w:val="0"/>
        </w:numPr>
        <w:spacing w:line="240" w:lineRule="auto"/>
        <w:ind w:left="2940" w:leftChars="0"/>
        <w:jc w:val="both"/>
        <w:rPr>
          <w:rFonts w:hint="eastAsia" w:ascii="宋体" w:hAnsi="宋体" w:cs="宋体"/>
          <w:color w:val="auto"/>
          <w:sz w:val="30"/>
          <w:szCs w:val="30"/>
        </w:rPr>
      </w:pPr>
      <w:bookmarkStart w:id="1" w:name="_Toc16523574"/>
      <w:r>
        <w:rPr>
          <w:rFonts w:hint="eastAsia" w:ascii="宋体" w:hAnsi="宋体" w:cs="宋体"/>
          <w:color w:val="auto"/>
          <w:sz w:val="30"/>
          <w:szCs w:val="30"/>
          <w:lang w:val="en-US" w:eastAsia="zh-CN"/>
        </w:rPr>
        <w:t xml:space="preserve">第三章   </w:t>
      </w:r>
      <w:r>
        <w:rPr>
          <w:rFonts w:hint="eastAsia" w:ascii="宋体" w:hAnsi="宋体" w:cs="宋体"/>
          <w:color w:val="auto"/>
          <w:sz w:val="30"/>
          <w:szCs w:val="30"/>
        </w:rPr>
        <w:t>投标文件的格式</w:t>
      </w:r>
    </w:p>
    <w:p>
      <w:pPr>
        <w:pStyle w:val="2"/>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1"/>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center"/>
        <w:rPr>
          <w:rFonts w:hint="eastAsia" w:eastAsia="宋体"/>
          <w:b/>
          <w:color w:val="auto"/>
          <w:sz w:val="24"/>
          <w:lang w:eastAsia="zh-CN"/>
        </w:rPr>
      </w:pPr>
      <w:r>
        <w:rPr>
          <w:rFonts w:hint="eastAsia"/>
          <w:b/>
          <w:color w:val="auto"/>
          <w:sz w:val="24"/>
          <w:lang w:eastAsia="zh-CN"/>
        </w:rPr>
        <w:t>注：此项内容需包含投标商品名称、数量、品牌、型号、单价、总价、等信息</w:t>
      </w:r>
    </w:p>
    <w:p>
      <w:pPr>
        <w:pStyle w:val="15"/>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4"/>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3"/>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及资格要求的证明材料，提供信用中国网页查询截图，</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2023</w:t>
      </w:r>
      <w:r>
        <w:rPr>
          <w:rFonts w:hint="eastAsia" w:ascii="宋体" w:hAnsi="宋体" w:eastAsia="宋体" w:cs="Times New Roman"/>
          <w:b w:val="0"/>
          <w:bCs w:val="0"/>
          <w:color w:val="auto"/>
          <w:kern w:val="2"/>
          <w:sz w:val="24"/>
          <w:szCs w:val="24"/>
          <w:lang w:val="en-US" w:eastAsia="zh-CN" w:bidi="ar-SA"/>
        </w:rPr>
        <w:t>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headerReference r:id="rId3" w:type="default"/>
          <w:footerReference r:id="rId4" w:type="default"/>
          <w:pgSz w:w="11906" w:h="16838"/>
          <w:pgMar w:top="1440" w:right="1080" w:bottom="1440" w:left="1080" w:header="567" w:footer="283" w:gutter="0"/>
          <w:pgBorders>
            <w:top w:val="none" w:sz="0" w:space="0"/>
            <w:left w:val="none" w:sz="0" w:space="0"/>
            <w:bottom w:val="none" w:sz="0" w:space="0"/>
            <w:right w:val="none" w:sz="0" w:space="0"/>
          </w:pgBorders>
          <w:pgNumType w:fmt="decimal" w:start="1"/>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2" w:name="_Toc476514128"/>
      <w:bookmarkStart w:id="3" w:name="_Toc486424819"/>
    </w:p>
    <w:p>
      <w:pPr>
        <w:pStyle w:val="14"/>
        <w:rPr>
          <w:rFonts w:hint="eastAsia"/>
          <w:lang w:eastAsia="zh-CN"/>
        </w:rPr>
      </w:pPr>
    </w:p>
    <w:p>
      <w:pPr>
        <w:spacing w:before="120" w:beforeLines="50" w:after="120" w:afterLines="50" w:line="276" w:lineRule="auto"/>
        <w:jc w:val="center"/>
        <w:rPr>
          <w:b/>
          <w:color w:val="auto"/>
          <w:sz w:val="24"/>
        </w:rPr>
      </w:pPr>
      <w:r>
        <w:rPr>
          <w:b/>
          <w:color w:val="auto"/>
          <w:sz w:val="24"/>
        </w:rPr>
        <w:t>采购需求响应/偏离表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9"/>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bookmarkEnd w:id="2"/>
    <w:bookmarkEnd w:id="3"/>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（2）如不提供此表，则视为投标人不满足招标文件第三章的所有条款要求，其投标无效；</w:t>
      </w:r>
    </w:p>
    <w:p>
      <w:pPr>
        <w:adjustRightInd w:val="0"/>
        <w:snapToGrid w:val="0"/>
        <w:spacing w:before="50" w:line="360" w:lineRule="auto"/>
        <w:ind w:left="-88" w:leftChars="-42"/>
        <w:rPr>
          <w:rFonts w:hint="eastAsia" w:eastAsia="宋体"/>
          <w:color w:val="auto"/>
          <w:lang w:eastAsia="zh-CN"/>
        </w:rPr>
      </w:pPr>
      <w:r>
        <w:rPr>
          <w:color w:val="auto"/>
          <w:sz w:val="24"/>
        </w:rPr>
        <w:t>（3）</w:t>
      </w:r>
      <w:r>
        <w:rPr>
          <w:rFonts w:hint="eastAsia"/>
          <w:color w:val="auto"/>
          <w:sz w:val="24"/>
          <w:lang w:eastAsia="zh-CN"/>
        </w:rPr>
        <w:t>本项目为最低价评分法，所有参数必须全部响应，并在响应表中逐条应答，如有任何一条负偏离，则视为无效投标</w:t>
      </w:r>
    </w:p>
    <w:p>
      <w:pPr>
        <w:pStyle w:val="15"/>
        <w:rPr>
          <w:color w:val="auto"/>
        </w:rPr>
      </w:pPr>
    </w:p>
    <w:p>
      <w:pPr>
        <w:pStyle w:val="14"/>
        <w:rPr>
          <w:rFonts w:hint="eastAsia"/>
          <w:lang w:eastAsia="zh-CN"/>
        </w:rPr>
      </w:pPr>
    </w:p>
    <w:p/>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15</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E9074F"/>
    <w:multiLevelType w:val="singleLevel"/>
    <w:tmpl w:val="A5E9074F"/>
    <w:lvl w:ilvl="0" w:tentative="0">
      <w:start w:val="4"/>
      <w:numFmt w:val="decimal"/>
      <w:suff w:val="nothing"/>
      <w:lvlText w:val="%1、"/>
      <w:lvlJc w:val="left"/>
    </w:lvl>
  </w:abstractNum>
  <w:abstractNum w:abstractNumId="1">
    <w:nsid w:val="BB68914C"/>
    <w:multiLevelType w:val="singleLevel"/>
    <w:tmpl w:val="BB68914C"/>
    <w:lvl w:ilvl="0" w:tentative="0">
      <w:start w:val="2"/>
      <w:numFmt w:val="chineseCounting"/>
      <w:suff w:val="nothing"/>
      <w:lvlText w:val="%1、"/>
      <w:lvlJc w:val="left"/>
      <w:rPr>
        <w:rFonts w:hint="eastAsia"/>
      </w:rPr>
    </w:lvl>
  </w:abstractNum>
  <w:abstractNum w:abstractNumId="2">
    <w:nsid w:val="F22833F1"/>
    <w:multiLevelType w:val="singleLevel"/>
    <w:tmpl w:val="F22833F1"/>
    <w:lvl w:ilvl="0" w:tentative="0">
      <w:start w:val="1"/>
      <w:numFmt w:val="decimal"/>
      <w:suff w:val="nothing"/>
      <w:lvlText w:val="%1、"/>
      <w:lvlJc w:val="left"/>
    </w:lvl>
  </w:abstractNum>
  <w:abstractNum w:abstractNumId="3">
    <w:nsid w:val="1E6DDE31"/>
    <w:multiLevelType w:val="singleLevel"/>
    <w:tmpl w:val="1E6DDE31"/>
    <w:lvl w:ilvl="0" w:tentative="0">
      <w:start w:val="1"/>
      <w:numFmt w:val="chineseCounting"/>
      <w:suff w:val="space"/>
      <w:lvlText w:val="第%1条"/>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6DE375E4"/>
    <w:rsid w:val="00AE556A"/>
    <w:rsid w:val="04653F41"/>
    <w:rsid w:val="06E91EC4"/>
    <w:rsid w:val="0DC219D0"/>
    <w:rsid w:val="0E331420"/>
    <w:rsid w:val="0EDD1643"/>
    <w:rsid w:val="0F753717"/>
    <w:rsid w:val="0FD665BE"/>
    <w:rsid w:val="10914EF9"/>
    <w:rsid w:val="12080B62"/>
    <w:rsid w:val="12994AC5"/>
    <w:rsid w:val="129F447F"/>
    <w:rsid w:val="15675A4C"/>
    <w:rsid w:val="1AF56B46"/>
    <w:rsid w:val="1F796B24"/>
    <w:rsid w:val="1FE73549"/>
    <w:rsid w:val="20B41DA7"/>
    <w:rsid w:val="21026F8C"/>
    <w:rsid w:val="2339449E"/>
    <w:rsid w:val="28E81B29"/>
    <w:rsid w:val="29B45A41"/>
    <w:rsid w:val="2A262830"/>
    <w:rsid w:val="2C7642D0"/>
    <w:rsid w:val="2C9D37F1"/>
    <w:rsid w:val="2DD77C64"/>
    <w:rsid w:val="2DDA1E78"/>
    <w:rsid w:val="2EAC037F"/>
    <w:rsid w:val="2EB67A5C"/>
    <w:rsid w:val="302741D2"/>
    <w:rsid w:val="308B184D"/>
    <w:rsid w:val="340F06E9"/>
    <w:rsid w:val="372F7378"/>
    <w:rsid w:val="397348CD"/>
    <w:rsid w:val="3B3B544D"/>
    <w:rsid w:val="3B654F2B"/>
    <w:rsid w:val="3BB72BAE"/>
    <w:rsid w:val="3C9F0607"/>
    <w:rsid w:val="3CA16AE4"/>
    <w:rsid w:val="3DDC47DD"/>
    <w:rsid w:val="3E584E51"/>
    <w:rsid w:val="429A4992"/>
    <w:rsid w:val="435B161D"/>
    <w:rsid w:val="43B25DAC"/>
    <w:rsid w:val="4B140CF8"/>
    <w:rsid w:val="4B7F39F4"/>
    <w:rsid w:val="4BAE646F"/>
    <w:rsid w:val="4CAC1559"/>
    <w:rsid w:val="4D717A37"/>
    <w:rsid w:val="4DCD6AB3"/>
    <w:rsid w:val="50540C20"/>
    <w:rsid w:val="51AC28BD"/>
    <w:rsid w:val="5474581F"/>
    <w:rsid w:val="5BDA3C8D"/>
    <w:rsid w:val="5F8F066E"/>
    <w:rsid w:val="611B6B1B"/>
    <w:rsid w:val="62FE4D74"/>
    <w:rsid w:val="64133D6A"/>
    <w:rsid w:val="66D228C0"/>
    <w:rsid w:val="678E4F5D"/>
    <w:rsid w:val="680E122C"/>
    <w:rsid w:val="6AA7773D"/>
    <w:rsid w:val="6DE375E4"/>
    <w:rsid w:val="71584067"/>
    <w:rsid w:val="74566F5C"/>
    <w:rsid w:val="750117A8"/>
    <w:rsid w:val="77423DFF"/>
    <w:rsid w:val="77CB531A"/>
    <w:rsid w:val="7B0620DE"/>
    <w:rsid w:val="7BBF44BB"/>
    <w:rsid w:val="7BF15CE4"/>
    <w:rsid w:val="7C3A27E5"/>
    <w:rsid w:val="7D972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paragraph" w:styleId="3">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Indent"/>
    <w:basedOn w:val="1"/>
    <w:next w:val="5"/>
    <w:qFormat/>
    <w:uiPriority w:val="99"/>
    <w:pPr>
      <w:spacing w:line="400" w:lineRule="exact"/>
      <w:ind w:left="630"/>
    </w:pPr>
    <w:rPr>
      <w:rFonts w:ascii="楷体_GB2312"/>
      <w:sz w:val="30"/>
      <w:szCs w:val="30"/>
    </w:rPr>
  </w:style>
  <w:style w:type="paragraph" w:styleId="5">
    <w:name w:val="Body Text First Indent 2"/>
    <w:basedOn w:val="4"/>
    <w:next w:val="1"/>
    <w:qFormat/>
    <w:uiPriority w:val="0"/>
    <w:pPr>
      <w:overflowPunct w:val="0"/>
      <w:adjustRightInd w:val="0"/>
      <w:spacing w:line="500" w:lineRule="exact"/>
      <w:ind w:firstLine="420" w:firstLineChars="200"/>
      <w:textAlignment w:val="baseline"/>
    </w:pPr>
    <w:rPr>
      <w:rFonts w:eastAsia="仿宋_GB2312"/>
      <w:kern w:val="28"/>
      <w:sz w:val="28"/>
    </w:rPr>
  </w:style>
  <w:style w:type="paragraph" w:styleId="6">
    <w:name w:val="footer"/>
    <w:basedOn w:val="1"/>
    <w:qFormat/>
    <w:uiPriority w:val="0"/>
    <w:pPr>
      <w:tabs>
        <w:tab w:val="center" w:pos="4153"/>
        <w:tab w:val="right" w:pos="8306"/>
      </w:tabs>
      <w:snapToGrid w:val="0"/>
      <w:jc w:val="left"/>
    </w:pPr>
    <w:rPr>
      <w:kern w:val="0"/>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rPr>
      <w:sz w:val="24"/>
    </w:rPr>
  </w:style>
  <w:style w:type="paragraph" w:customStyle="1" w:styleId="11">
    <w:name w:val="正文格式"/>
    <w:basedOn w:val="1"/>
    <w:qFormat/>
    <w:uiPriority w:val="0"/>
    <w:pPr>
      <w:widowControl/>
      <w:adjustRightInd w:val="0"/>
      <w:snapToGrid w:val="0"/>
      <w:spacing w:line="400" w:lineRule="atLeast"/>
      <w:ind w:firstLine="482"/>
      <w:textAlignment w:val="baseline"/>
    </w:pPr>
    <w:rPr>
      <w:kern w:val="0"/>
      <w:sz w:val="24"/>
    </w:rPr>
  </w:style>
  <w:style w:type="paragraph" w:customStyle="1" w:styleId="12">
    <w:name w:val="Default"/>
    <w:next w:val="1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大标题"/>
    <w:basedOn w:val="1"/>
    <w:next w:val="5"/>
    <w:qFormat/>
    <w:uiPriority w:val="0"/>
    <w:pPr>
      <w:jc w:val="center"/>
    </w:pPr>
    <w:rPr>
      <w:rFonts w:ascii="Arial" w:hAnsi="Arial" w:eastAsia="宋体"/>
      <w:b/>
      <w:sz w:val="28"/>
      <w:szCs w:val="24"/>
    </w:rPr>
  </w:style>
  <w:style w:type="paragraph" w:customStyle="1" w:styleId="14">
    <w:name w:val="列出段落1"/>
    <w:basedOn w:val="1"/>
    <w:qFormat/>
    <w:uiPriority w:val="99"/>
    <w:pPr>
      <w:ind w:firstLine="420" w:firstLineChars="200"/>
    </w:pPr>
  </w:style>
  <w:style w:type="paragraph" w:customStyle="1" w:styleId="15">
    <w:name w:val="无间隔1"/>
    <w:qFormat/>
    <w:uiPriority w:val="0"/>
    <w:pPr>
      <w:widowControl w:val="0"/>
      <w:jc w:val="both"/>
    </w:pPr>
    <w:rPr>
      <w:rFonts w:ascii="Calibri" w:hAnsi="Calibri" w:eastAsia="宋体" w:cs="Times New Roman"/>
      <w:kern w:val="2"/>
      <w:sz w:val="21"/>
      <w:szCs w:val="22"/>
      <w:lang w:val="en-US" w:eastAsia="zh-CN" w:bidi="ar-SA"/>
    </w:rPr>
  </w:style>
  <w:style w:type="paragraph" w:styleId="1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7686</Words>
  <Characters>8040</Characters>
  <Lines>0</Lines>
  <Paragraphs>0</Paragraphs>
  <TotalTime>0</TotalTime>
  <ScaleCrop>false</ScaleCrop>
  <LinksUpToDate>false</LinksUpToDate>
  <CharactersWithSpaces>8973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2023-07-17T09:45:00Z</dcterms:created>
  <dc:creator>是小豹子</dc:creator>
  <cp:lastModifiedBy>张思远</cp:lastModifiedBy>
  <dcterms:modified xsi:type="dcterms:W3CDTF">2023-11-08T02:14:04Z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3505A2AB25E048A4A9B0E6A6741CA1BA_11</vt:lpwstr>
  </property>
</Properties>
</file>