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ascii="Arial" w:hAnsi="Arial" w:eastAsia="方正小标宋简体" w:cs="Arial"/>
          <w:color w:val="auto"/>
          <w:sz w:val="72"/>
          <w:szCs w:val="72"/>
        </w:rPr>
      </w:pPr>
    </w:p>
    <w:p>
      <w:pPr>
        <w:pStyle w:val="13"/>
        <w:tabs>
          <w:tab w:val="left" w:pos="312"/>
        </w:tabs>
        <w:snapToGrid w:val="0"/>
        <w:spacing w:line="288" w:lineRule="auto"/>
        <w:jc w:val="center"/>
        <w:rPr>
          <w:rFonts w:ascii="Arial" w:hAnsi="Arial" w:eastAsia="方正小标宋简体" w:cs="Arial"/>
          <w:color w:val="auto"/>
          <w:sz w:val="72"/>
          <w:szCs w:val="72"/>
        </w:rPr>
      </w:pPr>
      <w:bookmarkStart w:id="0" w:name="_Toc16523570"/>
      <w:r>
        <w:rPr>
          <w:rFonts w:hint="eastAsia" w:ascii="Arial" w:hAnsi="Arial" w:eastAsia="方正小标宋简体" w:cs="Arial"/>
          <w:color w:val="auto"/>
          <w:sz w:val="72"/>
          <w:szCs w:val="72"/>
        </w:rPr>
        <w:t>娄底市中心医院院内</w:t>
      </w:r>
    </w:p>
    <w:p>
      <w:pPr>
        <w:pStyle w:val="13"/>
        <w:snapToGrid w:val="0"/>
        <w:jc w:val="center"/>
        <w:rPr>
          <w:rFonts w:ascii="Arial" w:hAnsi="Arial" w:eastAsia="方正小标宋简体" w:cs="Arial"/>
          <w:color w:val="auto"/>
          <w:sz w:val="72"/>
          <w:szCs w:val="72"/>
        </w:rPr>
      </w:pPr>
    </w:p>
    <w:p>
      <w:pPr>
        <w:pStyle w:val="13"/>
        <w:snapToGrid w:val="0"/>
        <w:jc w:val="center"/>
        <w:rPr>
          <w:rFonts w:ascii="Arial" w:hAnsi="Arial" w:eastAsia="方正小标宋简体" w:cs="Arial"/>
          <w:color w:val="auto"/>
          <w:sz w:val="72"/>
          <w:szCs w:val="72"/>
        </w:rPr>
      </w:pPr>
      <w:r>
        <w:rPr>
          <w:rFonts w:hint="eastAsia" w:ascii="Arial" w:hAnsi="Arial" w:eastAsia="方正小标宋简体" w:cs="Arial"/>
          <w:color w:val="auto"/>
          <w:sz w:val="72"/>
          <w:szCs w:val="72"/>
        </w:rPr>
        <w:t>招</w:t>
      </w:r>
    </w:p>
    <w:p>
      <w:pPr>
        <w:pStyle w:val="13"/>
        <w:snapToGrid w:val="0"/>
        <w:jc w:val="center"/>
        <w:rPr>
          <w:rFonts w:ascii="Arial" w:hAnsi="Arial" w:eastAsia="方正小标宋简体" w:cs="Arial"/>
          <w:color w:val="auto"/>
          <w:sz w:val="72"/>
          <w:szCs w:val="72"/>
        </w:rPr>
      </w:pPr>
    </w:p>
    <w:p>
      <w:pPr>
        <w:pStyle w:val="13"/>
        <w:snapToGrid w:val="0"/>
        <w:jc w:val="center"/>
        <w:rPr>
          <w:rFonts w:ascii="Arial" w:hAnsi="Arial" w:eastAsia="方正小标宋简体" w:cs="Arial"/>
          <w:color w:val="auto"/>
          <w:sz w:val="72"/>
          <w:szCs w:val="72"/>
        </w:rPr>
      </w:pPr>
      <w:r>
        <w:rPr>
          <w:rFonts w:ascii="Arial" w:hAnsi="Arial" w:eastAsia="方正小标宋简体" w:cs="Arial"/>
          <w:color w:val="auto"/>
          <w:sz w:val="72"/>
          <w:szCs w:val="72"/>
        </w:rPr>
        <w:t>标</w:t>
      </w:r>
    </w:p>
    <w:p>
      <w:pPr>
        <w:pStyle w:val="13"/>
        <w:snapToGrid w:val="0"/>
        <w:jc w:val="center"/>
        <w:rPr>
          <w:rFonts w:ascii="Arial" w:hAnsi="Arial" w:eastAsia="方正小标宋简体" w:cs="Arial"/>
          <w:color w:val="auto"/>
          <w:sz w:val="72"/>
          <w:szCs w:val="72"/>
        </w:rPr>
      </w:pPr>
    </w:p>
    <w:p>
      <w:pPr>
        <w:pStyle w:val="13"/>
        <w:snapToGrid w:val="0"/>
        <w:jc w:val="center"/>
        <w:rPr>
          <w:rFonts w:ascii="Arial" w:hAnsi="Arial" w:eastAsia="方正小标宋简体" w:cs="Arial"/>
          <w:color w:val="auto"/>
          <w:sz w:val="72"/>
          <w:szCs w:val="72"/>
        </w:rPr>
      </w:pPr>
      <w:r>
        <w:rPr>
          <w:rFonts w:ascii="Arial" w:hAnsi="Arial" w:eastAsia="方正小标宋简体" w:cs="Arial"/>
          <w:color w:val="auto"/>
          <w:sz w:val="72"/>
          <w:szCs w:val="72"/>
        </w:rPr>
        <w:t>文</w:t>
      </w:r>
    </w:p>
    <w:p>
      <w:pPr>
        <w:pStyle w:val="13"/>
        <w:snapToGrid w:val="0"/>
        <w:jc w:val="center"/>
        <w:rPr>
          <w:rFonts w:ascii="Arial" w:hAnsi="Arial" w:eastAsia="方正小标宋简体" w:cs="Arial"/>
          <w:color w:val="auto"/>
          <w:sz w:val="72"/>
          <w:szCs w:val="72"/>
        </w:rPr>
      </w:pPr>
    </w:p>
    <w:p>
      <w:pPr>
        <w:pStyle w:val="13"/>
        <w:snapToGrid w:val="0"/>
        <w:jc w:val="center"/>
        <w:rPr>
          <w:rFonts w:ascii="Arial" w:hAnsi="Arial" w:eastAsia="方正小标宋简体" w:cs="Arial"/>
          <w:color w:val="auto"/>
          <w:sz w:val="36"/>
          <w:szCs w:val="36"/>
        </w:rPr>
      </w:pPr>
      <w:r>
        <w:rPr>
          <w:rFonts w:ascii="Arial" w:hAnsi="Arial" w:eastAsia="方正小标宋简体" w:cs="Arial"/>
          <w:color w:val="auto"/>
          <w:sz w:val="72"/>
          <w:szCs w:val="72"/>
        </w:rPr>
        <w:t>件</w:t>
      </w:r>
    </w:p>
    <w:p>
      <w:pPr>
        <w:pStyle w:val="13"/>
        <w:snapToGrid w:val="0"/>
        <w:jc w:val="center"/>
        <w:rPr>
          <w:rFonts w:ascii="Arial" w:hAnsi="Arial" w:cs="Arial"/>
          <w:color w:val="auto"/>
          <w:sz w:val="32"/>
          <w:szCs w:val="32"/>
        </w:rPr>
      </w:pPr>
    </w:p>
    <w:p>
      <w:pPr>
        <w:pStyle w:val="13"/>
        <w:snapToGrid w:val="0"/>
        <w:jc w:val="center"/>
        <w:rPr>
          <w:rFonts w:ascii="Arial" w:hAnsi="Arial" w:cs="Arial"/>
          <w:color w:val="auto"/>
          <w:sz w:val="32"/>
          <w:szCs w:val="32"/>
        </w:rPr>
      </w:pPr>
    </w:p>
    <w:p>
      <w:pPr>
        <w:pStyle w:val="13"/>
        <w:snapToGrid w:val="0"/>
        <w:jc w:val="center"/>
        <w:rPr>
          <w:rFonts w:ascii="Arial" w:hAnsi="Arial" w:cs="Arial"/>
          <w:color w:val="auto"/>
          <w:sz w:val="32"/>
          <w:szCs w:val="32"/>
        </w:rPr>
      </w:pPr>
    </w:p>
    <w:p>
      <w:pPr>
        <w:spacing w:line="360" w:lineRule="auto"/>
        <w:rPr>
          <w:rFonts w:hint="eastAsia"/>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color w:val="auto"/>
          <w:sz w:val="32"/>
          <w:szCs w:val="32"/>
        </w:rPr>
      </w:pPr>
      <w:r>
        <w:rPr>
          <w:rFonts w:hint="eastAsia"/>
          <w:bCs/>
          <w:color w:val="auto"/>
          <w:sz w:val="32"/>
          <w:szCs w:val="32"/>
        </w:rPr>
        <w:t>项目名称：</w:t>
      </w:r>
      <w:r>
        <w:rPr>
          <w:rFonts w:hint="eastAsia"/>
          <w:bCs/>
          <w:color w:val="auto"/>
          <w:sz w:val="32"/>
          <w:szCs w:val="32"/>
          <w:lang w:val="en-US" w:eastAsia="zh-CN"/>
        </w:rPr>
        <w:t>娄底</w:t>
      </w:r>
      <w:r>
        <w:rPr>
          <w:rFonts w:hint="eastAsia"/>
          <w:bCs/>
          <w:color w:val="auto"/>
          <w:sz w:val="32"/>
          <w:szCs w:val="32"/>
        </w:rPr>
        <w:t>中心医院</w:t>
      </w:r>
      <w:r>
        <w:rPr>
          <w:rFonts w:hint="eastAsia"/>
          <w:bCs/>
          <w:color w:val="auto"/>
          <w:sz w:val="28"/>
          <w:szCs w:val="28"/>
          <w:lang w:val="en-US" w:eastAsia="zh-CN"/>
        </w:rPr>
        <w:t>120调度和5G院前急救（租赁）</w:t>
      </w:r>
      <w:r>
        <w:rPr>
          <w:rFonts w:hint="eastAsia"/>
          <w:bCs/>
          <w:color w:val="auto"/>
          <w:sz w:val="32"/>
          <w:szCs w:val="32"/>
        </w:rPr>
        <w:t>项目招标文件（院内</w:t>
      </w:r>
      <w:r>
        <w:rPr>
          <w:rFonts w:hint="eastAsia"/>
          <w:bCs/>
          <w:color w:val="auto"/>
          <w:sz w:val="32"/>
          <w:szCs w:val="32"/>
          <w:lang w:eastAsia="zh-CN"/>
        </w:rPr>
        <w:t>公开挂网</w:t>
      </w:r>
      <w:r>
        <w:rPr>
          <w:rFonts w:hint="eastAsia"/>
          <w:bCs/>
          <w:color w:val="auto"/>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color w:val="auto"/>
          <w:sz w:val="32"/>
          <w:szCs w:val="32"/>
        </w:rPr>
      </w:pPr>
    </w:p>
    <w:p>
      <w:pPr>
        <w:spacing w:line="320" w:lineRule="exact"/>
        <w:jc w:val="left"/>
        <w:rPr>
          <w:color w:val="auto"/>
          <w:sz w:val="24"/>
        </w:rPr>
      </w:pPr>
    </w:p>
    <w:p>
      <w:pPr>
        <w:spacing w:line="320" w:lineRule="exact"/>
        <w:jc w:val="center"/>
        <w:rPr>
          <w:rFonts w:hint="eastAsia"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120调度和5G院前急救（租赁）项目进行挂网招标，将招标事项公告如下：</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一、项目信息</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项目名称：120调度和5G院前急救（租赁）</w:t>
      </w:r>
      <w:r>
        <w:rPr>
          <w:rFonts w:hint="default" w:ascii="宋体" w:hAnsi="宋体" w:eastAsia="宋体" w:cs="宋体"/>
          <w:bCs/>
          <w:color w:val="auto"/>
          <w:sz w:val="24"/>
          <w:szCs w:val="24"/>
          <w:lang w:val="en-US" w:eastAsia="zh-CN"/>
        </w:rPr>
        <w:t>项目</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二、采购方式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院内公开挂网，本项目采用综合评分法，按招标文件第三章评分方法和标准进行评审，以评审结果排序，综合评分得分相同的，按投标报价由低到高顺序排列，得分且投标报价相同的，按技术指标优劣顺序排列。</w:t>
      </w:r>
    </w:p>
    <w:p>
      <w:pPr>
        <w:pStyle w:val="13"/>
        <w:numPr>
          <w:ilvl w:val="0"/>
          <w:numId w:val="0"/>
        </w:numPr>
        <w:tabs>
          <w:tab w:val="left" w:pos="312"/>
        </w:tabs>
        <w:autoSpaceDE w:val="0"/>
        <w:autoSpaceDN w:val="0"/>
        <w:adjustRightInd w:val="0"/>
        <w:snapToGrid w:val="0"/>
        <w:spacing w:line="360" w:lineRule="auto"/>
        <w:ind w:firstLine="480" w:firstLineChars="200"/>
        <w:rPr>
          <w:rFonts w:hint="eastAsia" w:ascii="宋体" w:hAnsi="宋体" w:eastAsia="宋体" w:cs="宋体"/>
          <w:bCs/>
          <w:color w:val="auto"/>
          <w:lang w:val="en-US" w:eastAsia="zh-CN"/>
        </w:rPr>
      </w:pPr>
      <w:r>
        <w:rPr>
          <w:rFonts w:hint="eastAsia" w:ascii="宋体" w:hAnsi="宋体" w:eastAsia="宋体" w:cs="宋体"/>
          <w:bCs/>
          <w:color w:val="auto"/>
          <w:sz w:val="24"/>
          <w:szCs w:val="24"/>
          <w:lang w:val="en-US" w:eastAsia="zh-CN"/>
        </w:rPr>
        <w:t>2、报价要求：本项目应按每月租赁费用报价，具体结算费用以实际租赁时间为准</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eastAsia" w:ascii="宋体" w:hAnsi="宋体" w:eastAsia="宋体" w:cs="宋体"/>
          <w:bCs/>
          <w:color w:val="FF0000"/>
          <w:sz w:val="24"/>
          <w:szCs w:val="24"/>
          <w:lang w:val="en-US" w:eastAsia="zh-CN"/>
        </w:rPr>
        <w:t>投标人必须是在中华人民共和国境内注册登记的法人、其他组织或者自然人（根据《〈政府采购法实施条例〉释义》，银行、保险、石油石化、电力、电信等有行业特殊情况的，取得营业执照的分支机构可以分公司名义参与投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2、参加政府采购活动近3年内，在经营活动中没有重大违法记录；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6、本项目结算前，中标人必须配合我院按合同规定金额完成电子卖场直购程序。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1、投标截止时间、开标时间：2023年12月8日15:00</w:t>
      </w:r>
      <w:bookmarkStart w:id="5" w:name="_GoBack"/>
      <w:bookmarkEnd w:id="5"/>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2、开标地点：投标截止后另行通知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2、联系人及联系方式：杨奕欣 13407388405</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3、招标人地址：娄底市中心医院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default" w:ascii="宋体" w:hAnsi="宋体" w:eastAsia="宋体" w:cs="宋体"/>
          <w:bCs/>
          <w:color w:val="auto"/>
          <w:sz w:val="24"/>
          <w:szCs w:val="24"/>
          <w:lang w:val="en-US" w:eastAsia="zh-CN"/>
        </w:rPr>
        <w:t>3</w:t>
      </w:r>
      <w:r>
        <w:rPr>
          <w:rFonts w:hint="eastAsia" w:ascii="宋体" w:hAnsi="宋体" w:eastAsia="宋体" w:cs="宋体"/>
          <w:bCs/>
          <w:color w:val="auto"/>
          <w:sz w:val="24"/>
          <w:szCs w:val="24"/>
          <w:lang w:val="en-US" w:eastAsia="zh-CN"/>
        </w:rPr>
        <w:t>、投标人未按照要求出席开标会的；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default" w:ascii="宋体" w:hAnsi="宋体" w:eastAsia="宋体" w:cs="宋体"/>
          <w:bCs/>
          <w:color w:val="auto"/>
          <w:sz w:val="24"/>
          <w:szCs w:val="24"/>
          <w:lang w:val="en-US" w:eastAsia="zh-CN"/>
        </w:rPr>
        <w:t>4</w:t>
      </w:r>
      <w:r>
        <w:rPr>
          <w:rFonts w:hint="eastAsia" w:ascii="宋体" w:hAnsi="宋体" w:eastAsia="宋体" w:cs="宋体"/>
          <w:bCs/>
          <w:color w:val="auto"/>
          <w:sz w:val="24"/>
          <w:szCs w:val="24"/>
          <w:lang w:val="en-US" w:eastAsia="zh-CN"/>
        </w:rPr>
        <w:t>、投标报价有错误的，评标委员会将要求投标人作出书面澄清说明和确认，投标人拒不作出澄清说明和确认的；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default" w:ascii="宋体" w:hAnsi="宋体" w:eastAsia="宋体" w:cs="宋体"/>
          <w:bCs/>
          <w:color w:val="auto"/>
          <w:sz w:val="24"/>
          <w:szCs w:val="24"/>
          <w:lang w:val="en-US" w:eastAsia="zh-CN"/>
        </w:rPr>
        <w:t>5</w:t>
      </w:r>
      <w:r>
        <w:rPr>
          <w:rFonts w:hint="eastAsia" w:ascii="宋体" w:hAnsi="宋体" w:eastAsia="宋体" w:cs="宋体"/>
          <w:bCs/>
          <w:color w:val="auto"/>
          <w:sz w:val="24"/>
          <w:szCs w:val="24"/>
          <w:lang w:val="en-US" w:eastAsia="zh-CN"/>
        </w:rPr>
        <w:t>、投标文件存在弄虚作假或者隐瞒事实，或者未按照招标文件要求如实提供有关情况和文件，以及证明资料且对投标人有利的，应当否决其投标。被列为中标候选人的，应当取消其中标候选人资格。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2.1、投标截止时间止，投标人少于2家的；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2.2、经评标委员会评审后，符合资格审查的投标人少于2家的。</w:t>
      </w:r>
    </w:p>
    <w:p>
      <w:pPr>
        <w:pStyle w:val="14"/>
        <w:ind w:firstLine="480" w:firstLineChars="200"/>
        <w:jc w:val="both"/>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3、投标文件的投标报价出现前后不一致的，按照下列规定修正：</w:t>
      </w:r>
    </w:p>
    <w:p>
      <w:pPr>
        <w:pStyle w:val="7"/>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3.1投标文件中开标一览表内容与投标文件中相应内容不一致的，以开标一览表为准；</w:t>
      </w:r>
    </w:p>
    <w:p>
      <w:pPr>
        <w:pStyle w:val="7"/>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3.2大写金额和小写金额不一致的，以大写金额为准；</w:t>
      </w:r>
    </w:p>
    <w:p>
      <w:pPr>
        <w:pStyle w:val="7"/>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3.3总价金额与按单价汇总金额不一致的，以单价金额计算结果为准。</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50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3.4投标文件报价按照前款规定的顺序修正。修正后的报价由投标人代表签字或者加盖单位章确认后产生约束力，投标人不确认的，其投标无效。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4、对于投标文件中含义不明确、同类问题表述不一致或者有明显文字和计算错误的内容，评标委员会应当以书面形式要求投标人作出必要的澄清、说明或者补正。</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footerReference r:id="rId5" w:type="default"/>
          <w:pgSz w:w="11906" w:h="16838"/>
          <w:pgMar w:top="1191" w:right="1587" w:bottom="1020" w:left="1587" w:header="567" w:footer="283" w:gutter="0"/>
          <w:pgNumType w:fmt="decimal" w:start="1"/>
          <w:cols w:space="720" w:num="1"/>
          <w:docGrid w:linePitch="312" w:charSpace="0"/>
        </w:sect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1.项目</w:t>
      </w:r>
      <w:r>
        <w:rPr>
          <w:rFonts w:hint="default" w:ascii="仿宋_GB2312" w:hAnsi="Times New Roman" w:eastAsia="仿宋_GB2312" w:cs="仿宋_GB2312"/>
          <w:bCs/>
          <w:color w:val="auto"/>
          <w:kern w:val="0"/>
          <w:sz w:val="28"/>
          <w:szCs w:val="28"/>
          <w:lang w:val="en-US" w:eastAsia="zh-CN" w:bidi="ar-SA"/>
        </w:rPr>
        <w:t>内容</w:t>
      </w:r>
    </w:p>
    <w:tbl>
      <w:tblPr>
        <w:tblStyle w:val="11"/>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5300"/>
        <w:gridCol w:w="1399"/>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53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租赁时间</w:t>
            </w:r>
            <w:r>
              <w:rPr>
                <w:rFonts w:hint="eastAsia" w:ascii="仿宋_GB2312" w:eastAsia="仿宋_GB2312" w:cs="仿宋_GB2312"/>
                <w:bCs/>
                <w:color w:val="auto"/>
                <w:kern w:val="0"/>
                <w:sz w:val="28"/>
                <w:szCs w:val="28"/>
                <w:lang w:val="en-US" w:eastAsia="zh-CN" w:bidi="ar-SA"/>
              </w:rPr>
              <w:t>（月）</w:t>
            </w:r>
          </w:p>
        </w:tc>
        <w:tc>
          <w:tcPr>
            <w:tcW w:w="18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53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120调度指挥中心</w:t>
            </w:r>
            <w:r>
              <w:rPr>
                <w:rFonts w:hint="eastAsia" w:ascii="仿宋_GB2312" w:eastAsia="仿宋_GB2312" w:cs="仿宋_GB2312"/>
                <w:bCs/>
                <w:color w:val="auto"/>
                <w:kern w:val="0"/>
                <w:sz w:val="28"/>
                <w:szCs w:val="28"/>
                <w:u w:val="none"/>
                <w:lang w:val="en-US" w:eastAsia="zh-CN" w:bidi="ar-SA"/>
              </w:rPr>
              <w:t>和5G院前急救系统</w:t>
            </w:r>
            <w:r>
              <w:rPr>
                <w:rFonts w:hint="default" w:ascii="仿宋_GB2312" w:eastAsia="仿宋_GB2312" w:cs="仿宋_GB2312"/>
                <w:bCs/>
                <w:color w:val="auto"/>
                <w:kern w:val="0"/>
                <w:sz w:val="28"/>
                <w:szCs w:val="28"/>
                <w:u w:val="none"/>
                <w:lang w:val="en-US" w:eastAsia="zh-CN" w:bidi="ar-SA"/>
              </w:rPr>
              <w:t>租赁</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7</w:t>
            </w:r>
          </w:p>
        </w:tc>
        <w:tc>
          <w:tcPr>
            <w:tcW w:w="18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4000元/月</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w:t>
      </w:r>
      <w:r>
        <w:rPr>
          <w:rFonts w:hint="eastAsia" w:ascii="仿宋_GB2312" w:eastAsia="仿宋_GB2312" w:cs="仿宋_GB2312"/>
          <w:bCs/>
          <w:color w:val="auto"/>
          <w:kern w:val="0"/>
          <w:sz w:val="28"/>
          <w:szCs w:val="28"/>
          <w:lang w:val="en-US" w:eastAsia="zh-CN" w:bidi="ar-SA"/>
        </w:rPr>
        <w:t>开始到租赁服务结束止,以实际的时间为准。</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（以下内容必须全部满足，否则视为无效投标）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1、满足</w:t>
      </w:r>
      <w:r>
        <w:rPr>
          <w:rFonts w:hint="eastAsia" w:ascii="仿宋_GB2312" w:hAnsi="Times New Roman" w:eastAsia="仿宋_GB2312" w:cs="仿宋_GB2312"/>
          <w:bCs/>
          <w:color w:val="auto"/>
          <w:kern w:val="0"/>
          <w:sz w:val="28"/>
          <w:szCs w:val="28"/>
          <w:lang w:val="en-US" w:eastAsia="zh-CN" w:bidi="ar-SA"/>
        </w:rPr>
        <w:t>《湘卫医发〔2023〕9号 湖南省卫生健康委关于印发湖南省 5G 智慧化急救体系建设的工作方案的通知》的文件要求。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2、满足《关于印发《湖南省5G智慧化急救体系建设指南》的通知》的文件要求。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3、1个120调度中心、4个调度坐席、1个急救分站、7台救护车改造为建设标准。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4、租赁建设与上线使用必须在2023年12月31日之前完成。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default" w:ascii="仿宋_GB2312" w:eastAsia="仿宋_GB2312" w:cs="仿宋_GB2312"/>
          <w:bCs/>
          <w:color w:val="auto"/>
          <w:kern w:val="0"/>
          <w:sz w:val="28"/>
          <w:szCs w:val="28"/>
          <w:lang w:val="en-US" w:eastAsia="zh-CN" w:bidi="ar-SA"/>
        </w:rPr>
        <w:t>招标人</w:t>
      </w:r>
      <w:r>
        <w:rPr>
          <w:rFonts w:hint="eastAsia" w:ascii="仿宋_GB2312" w:eastAsia="仿宋_GB2312" w:cs="仿宋_GB2312"/>
          <w:bCs/>
          <w:color w:val="auto"/>
          <w:kern w:val="0"/>
          <w:sz w:val="28"/>
          <w:szCs w:val="28"/>
          <w:lang w:val="en-US" w:eastAsia="zh-CN" w:bidi="ar-SA"/>
        </w:rPr>
        <w:t>只</w:t>
      </w:r>
      <w:r>
        <w:rPr>
          <w:rFonts w:hint="default" w:ascii="仿宋_GB2312" w:eastAsia="仿宋_GB2312" w:cs="仿宋_GB2312"/>
          <w:bCs/>
          <w:color w:val="auto"/>
          <w:kern w:val="0"/>
          <w:sz w:val="28"/>
          <w:szCs w:val="28"/>
          <w:lang w:val="en-US" w:eastAsia="zh-CN" w:bidi="ar-SA"/>
        </w:rPr>
        <w:t>支付</w:t>
      </w:r>
      <w:r>
        <w:rPr>
          <w:rFonts w:hint="eastAsia" w:ascii="仿宋_GB2312" w:eastAsia="仿宋_GB2312" w:cs="仿宋_GB2312"/>
          <w:bCs/>
          <w:color w:val="auto"/>
          <w:kern w:val="0"/>
          <w:sz w:val="28"/>
          <w:szCs w:val="28"/>
          <w:lang w:val="en-US" w:eastAsia="zh-CN" w:bidi="ar-SA"/>
        </w:rPr>
        <w:t>租赁费用，</w:t>
      </w:r>
      <w:r>
        <w:rPr>
          <w:rFonts w:hint="default" w:ascii="仿宋_GB2312" w:eastAsia="仿宋_GB2312" w:cs="仿宋_GB2312"/>
          <w:bCs/>
          <w:color w:val="auto"/>
          <w:kern w:val="0"/>
          <w:sz w:val="28"/>
          <w:szCs w:val="28"/>
          <w:lang w:val="en-US" w:eastAsia="zh-CN" w:bidi="ar-SA"/>
        </w:rPr>
        <w:t>租赁</w:t>
      </w:r>
      <w:r>
        <w:rPr>
          <w:rFonts w:hint="eastAsia" w:ascii="仿宋_GB2312" w:eastAsia="仿宋_GB2312" w:cs="仿宋_GB2312"/>
          <w:bCs/>
          <w:color w:val="auto"/>
          <w:kern w:val="0"/>
          <w:sz w:val="28"/>
          <w:szCs w:val="28"/>
          <w:lang w:val="en-US" w:eastAsia="zh-CN" w:bidi="ar-SA"/>
        </w:rPr>
        <w:t>项目实施和拆除产生的其他所有费用一律由中标人负责。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6、租赁期限从租赁系统验收完成并上线使用开始，到项目租赁结束止，暂估租赁时间为七个月，具体时间以甲方通知为准。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7、租赁费用在租赁服务结束后结算，以实际的租赁时间计算总费用，如</w:t>
      </w:r>
      <w:r>
        <w:rPr>
          <w:rFonts w:hint="eastAsia" w:ascii="仿宋_GB2312" w:hAnsi="Times New Roman" w:eastAsia="仿宋_GB2312" w:cs="仿宋_GB2312"/>
          <w:bCs/>
          <w:color w:val="FF0000"/>
          <w:kern w:val="0"/>
          <w:sz w:val="28"/>
          <w:szCs w:val="28"/>
          <w:lang w:val="en-US" w:eastAsia="zh-CN"/>
        </w:rPr>
        <w:t>停止租用时，如租用时间不满</w:t>
      </w:r>
      <w:r>
        <w:rPr>
          <w:rFonts w:hint="eastAsia" w:ascii="仿宋_GB2312" w:hAnsi="Times New Roman" w:eastAsia="仿宋_GB2312" w:cs="仿宋_GB2312"/>
          <w:bCs/>
          <w:color w:val="FF0000"/>
          <w:kern w:val="0"/>
          <w:sz w:val="28"/>
          <w:szCs w:val="28"/>
          <w:u w:val="none"/>
          <w:lang w:val="en-US" w:eastAsia="zh-CN"/>
        </w:rPr>
        <w:t xml:space="preserve"> 20 </w:t>
      </w:r>
      <w:r>
        <w:rPr>
          <w:rFonts w:hint="eastAsia" w:ascii="仿宋_GB2312" w:hAnsi="Times New Roman" w:eastAsia="仿宋_GB2312" w:cs="仿宋_GB2312"/>
          <w:bCs/>
          <w:color w:val="FF0000"/>
          <w:kern w:val="0"/>
          <w:sz w:val="28"/>
          <w:szCs w:val="28"/>
          <w:lang w:val="en-US" w:eastAsia="zh-CN"/>
        </w:rPr>
        <w:t>日，该月租用费用不再计算；如租用时间达</w:t>
      </w:r>
      <w:r>
        <w:rPr>
          <w:rFonts w:hint="eastAsia" w:ascii="仿宋_GB2312" w:hAnsi="Times New Roman" w:eastAsia="仿宋_GB2312" w:cs="仿宋_GB2312"/>
          <w:bCs/>
          <w:color w:val="FF0000"/>
          <w:kern w:val="0"/>
          <w:sz w:val="28"/>
          <w:szCs w:val="28"/>
          <w:u w:val="none"/>
          <w:lang w:val="en-US" w:eastAsia="zh-CN"/>
        </w:rPr>
        <w:t xml:space="preserve"> 20 </w:t>
      </w:r>
      <w:r>
        <w:rPr>
          <w:rFonts w:hint="eastAsia" w:ascii="仿宋_GB2312" w:hAnsi="Times New Roman" w:eastAsia="仿宋_GB2312" w:cs="仿宋_GB2312"/>
          <w:bCs/>
          <w:color w:val="FF0000"/>
          <w:kern w:val="0"/>
          <w:sz w:val="28"/>
          <w:szCs w:val="28"/>
          <w:lang w:val="en-US" w:eastAsia="zh-CN"/>
        </w:rPr>
        <w:t>日及以上，按月租用费用全额计算该月费用。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4、如投标人不是法定代表人或非独立法人投标人的负责人，须持法定代表人或非独立法人投标人的负责人</w:t>
      </w:r>
      <w:r>
        <w:rPr>
          <w:rFonts w:hint="eastAsia" w:ascii="仿宋_GB2312" w:eastAsia="仿宋_GB2312" w:cs="仿宋_GB2312"/>
          <w:bCs/>
          <w:color w:val="auto"/>
          <w:kern w:val="0"/>
          <w:sz w:val="28"/>
          <w:szCs w:val="28"/>
          <w:lang w:val="en-US" w:eastAsia="zh-CN" w:bidi="ar-SA"/>
        </w:rPr>
        <w:t>的</w:t>
      </w:r>
      <w:r>
        <w:rPr>
          <w:rFonts w:hint="eastAsia" w:ascii="仿宋_GB2312" w:hAnsi="Times New Roman" w:eastAsia="仿宋_GB2312" w:cs="仿宋_GB2312"/>
          <w:bCs/>
          <w:color w:val="auto"/>
          <w:kern w:val="0"/>
          <w:sz w:val="28"/>
          <w:szCs w:val="28"/>
          <w:lang w:val="en-US" w:eastAsia="zh-CN" w:bidi="ar-SA"/>
        </w:rPr>
        <w:t>亲笔签名的授权委托书,并提供法定代表人或非独立法人投标人的负责人</w:t>
      </w:r>
      <w:r>
        <w:rPr>
          <w:rFonts w:hint="eastAsia" w:ascii="仿宋_GB2312" w:eastAsia="仿宋_GB2312" w:cs="仿宋_GB2312"/>
          <w:bCs/>
          <w:color w:val="auto"/>
          <w:kern w:val="0"/>
          <w:sz w:val="28"/>
          <w:szCs w:val="28"/>
          <w:lang w:val="en-US" w:eastAsia="zh-CN" w:bidi="ar-SA"/>
        </w:rPr>
        <w:t>的</w:t>
      </w:r>
      <w:r>
        <w:rPr>
          <w:rFonts w:hint="eastAsia" w:ascii="仿宋_GB2312" w:hAnsi="Times New Roman" w:eastAsia="仿宋_GB2312" w:cs="仿宋_GB2312"/>
          <w:bCs/>
          <w:color w:val="auto"/>
          <w:kern w:val="0"/>
          <w:sz w:val="28"/>
          <w:szCs w:val="28"/>
          <w:lang w:val="en-US" w:eastAsia="zh-CN" w:bidi="ar-SA"/>
        </w:rPr>
        <w:t>身份证明和法定代表人或非独立法人投标人的负责人</w:t>
      </w:r>
      <w:r>
        <w:rPr>
          <w:rFonts w:hint="eastAsia" w:ascii="仿宋_GB2312" w:eastAsia="仿宋_GB2312" w:cs="仿宋_GB2312"/>
          <w:bCs/>
          <w:color w:val="auto"/>
          <w:kern w:val="0"/>
          <w:sz w:val="28"/>
          <w:szCs w:val="28"/>
          <w:lang w:val="en-US" w:eastAsia="zh-CN" w:bidi="ar-SA"/>
        </w:rPr>
        <w:t>的</w:t>
      </w:r>
      <w:r>
        <w:rPr>
          <w:rFonts w:hint="eastAsia" w:ascii="仿宋_GB2312" w:hAnsi="Times New Roman" w:eastAsia="仿宋_GB2312" w:cs="仿宋_GB2312"/>
          <w:bCs/>
          <w:color w:val="auto"/>
          <w:kern w:val="0"/>
          <w:sz w:val="28"/>
          <w:szCs w:val="28"/>
          <w:lang w:val="en-US" w:eastAsia="zh-CN" w:bidi="ar-SA"/>
        </w:rPr>
        <w:t>身份证复印件</w:t>
      </w:r>
      <w:r>
        <w:rPr>
          <w:rFonts w:hint="eastAsia" w:ascii="仿宋_GB2312"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6、针对此项目的技术、服务方案；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8、投标文件的每一页都必须加盖投标单位的公章；</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9</w:t>
      </w:r>
      <w:r>
        <w:rPr>
          <w:rFonts w:hint="eastAsia" w:ascii="仿宋_GB2312" w:hAnsi="Times New Roman" w:eastAsia="仿宋_GB2312" w:cs="仿宋_GB2312"/>
          <w:bCs/>
          <w:color w:val="auto"/>
          <w:kern w:val="0"/>
          <w:sz w:val="28"/>
          <w:szCs w:val="28"/>
          <w:lang w:val="en-US" w:eastAsia="zh-CN" w:bidi="ar-SA"/>
        </w:rPr>
        <w:t>、投标文件必须胶装并用纸质文件袋封好（一正</w:t>
      </w:r>
      <w:r>
        <w:rPr>
          <w:rFonts w:hint="eastAsia" w:ascii="仿宋_GB2312" w:eastAsia="仿宋_GB2312" w:cs="仿宋_GB2312"/>
          <w:bCs/>
          <w:color w:val="auto"/>
          <w:kern w:val="0"/>
          <w:sz w:val="28"/>
          <w:szCs w:val="28"/>
          <w:lang w:val="en-US" w:eastAsia="zh-CN" w:bidi="ar-SA"/>
        </w:rPr>
        <w:t>一</w:t>
      </w:r>
      <w:r>
        <w:rPr>
          <w:rFonts w:hint="eastAsia" w:ascii="仿宋_GB2312" w:hAnsi="Times New Roman" w:eastAsia="仿宋_GB2312" w:cs="仿宋_GB2312"/>
          <w:bCs/>
          <w:color w:val="auto"/>
          <w:kern w:val="0"/>
          <w:sz w:val="28"/>
          <w:szCs w:val="28"/>
          <w:lang w:val="en-US" w:eastAsia="zh-CN" w:bidi="ar-SA"/>
        </w:rPr>
        <w:t>副），封口加盖单位公章，在开标现场验证时打开，采用现场开标的方式。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sectPr>
          <w:pgSz w:w="11906" w:h="16838"/>
          <w:pgMar w:top="1191" w:right="1587" w:bottom="1020" w:left="1587" w:header="567" w:footer="283" w:gutter="0"/>
          <w:pgNumType w:fmt="decimal"/>
          <w:cols w:space="720" w:num="1"/>
          <w:docGrid w:linePitch="312" w:charSpace="0"/>
        </w:sectPr>
      </w:pPr>
    </w:p>
    <w:p>
      <w:pPr>
        <w:pStyle w:val="3"/>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adjustRightInd w:val="0"/>
        <w:snapToGrid w:val="0"/>
        <w:spacing w:line="360" w:lineRule="auto"/>
        <w:jc w:val="center"/>
        <w:rPr>
          <w:rFonts w:hint="eastAsia" w:ascii="宋体" w:hAnsi="宋体" w:cs="宋体"/>
          <w:b/>
          <w:color w:val="auto"/>
          <w:sz w:val="36"/>
        </w:rPr>
      </w:pPr>
      <w:r>
        <w:rPr>
          <w:rFonts w:hint="eastAsia" w:ascii="宋体" w:hAnsi="宋体" w:cs="宋体"/>
          <w:b/>
          <w:color w:val="auto"/>
          <w:sz w:val="36"/>
        </w:rPr>
        <w:t>投标人综合评分表</w:t>
      </w:r>
    </w:p>
    <w:tbl>
      <w:tblPr>
        <w:tblStyle w:val="11"/>
        <w:tblpPr w:leftFromText="180" w:rightFromText="180" w:vertAnchor="text" w:tblpXSpec="center" w:tblpY="1"/>
        <w:tblOverlap w:val="never"/>
        <w:tblW w:w="5282"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60"/>
        <w:gridCol w:w="949"/>
        <w:gridCol w:w="1464"/>
        <w:gridCol w:w="5754"/>
        <w:gridCol w:w="7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96" w:type="pct"/>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76" w:type="pct"/>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评审项目</w:t>
            </w:r>
          </w:p>
        </w:tc>
        <w:tc>
          <w:tcPr>
            <w:tcW w:w="3042" w:type="pct"/>
            <w:vAlign w:val="center"/>
          </w:tcPr>
          <w:p>
            <w:pPr>
              <w:ind w:left="48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384" w:type="pct"/>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35" w:hRule="atLeast"/>
          <w:jc w:val="center"/>
        </w:trPr>
        <w:tc>
          <w:tcPr>
            <w:tcW w:w="296" w:type="pct"/>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02" w:type="pct"/>
            <w:vAlign w:val="center"/>
          </w:tcPr>
          <w:p>
            <w:pPr>
              <w:spacing w:line="360"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highlight w:val="none"/>
              </w:rPr>
              <w:t>价格（</w:t>
            </w:r>
            <w:r>
              <w:rPr>
                <w:rFonts w:hint="eastAsia" w:ascii="宋体" w:hAnsi="宋体" w:cs="宋体"/>
                <w:color w:val="FF0000"/>
                <w:sz w:val="24"/>
                <w:szCs w:val="24"/>
                <w:highlight w:val="none"/>
                <w:lang w:val="en-US" w:eastAsia="zh-CN"/>
              </w:rPr>
              <w:t>10</w:t>
            </w:r>
            <w:r>
              <w:rPr>
                <w:rFonts w:hint="eastAsia" w:ascii="宋体" w:hAnsi="宋体" w:eastAsia="宋体" w:cs="宋体"/>
                <w:color w:val="FF0000"/>
                <w:sz w:val="24"/>
                <w:szCs w:val="24"/>
                <w:highlight w:val="none"/>
              </w:rPr>
              <w:t>分）</w:t>
            </w:r>
          </w:p>
        </w:tc>
        <w:tc>
          <w:tcPr>
            <w:tcW w:w="774" w:type="pct"/>
            <w:vAlign w:val="center"/>
          </w:tcPr>
          <w:p>
            <w:pPr>
              <w:spacing w:line="360"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highlight w:val="none"/>
                <w:lang w:val="en-US" w:eastAsia="zh-CN"/>
              </w:rPr>
              <w:t>招标价格</w:t>
            </w:r>
          </w:p>
        </w:tc>
        <w:tc>
          <w:tcPr>
            <w:tcW w:w="3042" w:type="pct"/>
            <w:vAlign w:val="center"/>
          </w:tcPr>
          <w:p>
            <w:pPr>
              <w:spacing w:line="300" w:lineRule="exact"/>
              <w:jc w:val="both"/>
              <w:rPr>
                <w:rFonts w:hint="default" w:ascii="宋体" w:hAnsi="宋体" w:eastAsia="宋体" w:cs="宋体"/>
                <w:color w:val="FF0000"/>
                <w:sz w:val="21"/>
                <w:szCs w:val="21"/>
                <w:lang w:val="en-US"/>
              </w:rPr>
            </w:pPr>
            <w:r>
              <w:rPr>
                <w:rFonts w:hint="eastAsia" w:ascii="宋体" w:hAnsi="宋体" w:eastAsia="宋体" w:cs="宋体"/>
                <w:color w:val="FF0000"/>
                <w:szCs w:val="21"/>
                <w:lang w:val="en-US" w:eastAsia="zh-CN"/>
              </w:rPr>
              <w:t>满足招标文件所有要求，且</w:t>
            </w:r>
            <w:r>
              <w:rPr>
                <w:rFonts w:hint="eastAsia" w:ascii="宋体" w:hAnsi="宋体" w:cs="宋体"/>
                <w:color w:val="FF0000"/>
                <w:szCs w:val="21"/>
                <w:lang w:val="en-US" w:eastAsia="zh-CN"/>
              </w:rPr>
              <w:t>最终投标价格最低的投标报价为评标基准价，其价格分为满分，其他有效投标人的价格分按照下列公式计算：投标报价得分 = （评标基准价 / 最终投标报价）</w:t>
            </w:r>
            <w:r>
              <w:rPr>
                <w:rFonts w:hint="eastAsia" w:ascii="宋体" w:hAnsi="宋体" w:eastAsia="宋体" w:cs="宋体"/>
                <w:color w:val="FF0000"/>
                <w:szCs w:val="21"/>
              </w:rPr>
              <w:t>×</w:t>
            </w:r>
            <w:r>
              <w:rPr>
                <w:rFonts w:hint="eastAsia" w:ascii="宋体" w:hAnsi="宋体" w:cs="宋体"/>
                <w:color w:val="FF0000"/>
                <w:szCs w:val="21"/>
                <w:lang w:val="en-US" w:eastAsia="zh-CN"/>
              </w:rPr>
              <w:t xml:space="preserve"> 10。</w:t>
            </w:r>
          </w:p>
        </w:tc>
        <w:tc>
          <w:tcPr>
            <w:tcW w:w="384" w:type="pct"/>
            <w:vAlign w:val="center"/>
          </w:tcPr>
          <w:p>
            <w:pPr>
              <w:spacing w:line="360" w:lineRule="auto"/>
              <w:jc w:val="center"/>
              <w:rPr>
                <w:rFonts w:hint="eastAsia" w:ascii="宋体" w:hAnsi="宋体" w:eastAsia="宋体" w:cs="宋体"/>
                <w:color w:val="FF0000"/>
                <w:sz w:val="24"/>
                <w:szCs w:val="24"/>
              </w:rPr>
            </w:pPr>
            <w:r>
              <w:rPr>
                <w:rFonts w:hint="eastAsia" w:ascii="宋体" w:hAnsi="宋体" w:cs="宋体"/>
                <w:color w:val="FF0000"/>
                <w:sz w:val="24"/>
                <w:szCs w:val="24"/>
                <w:highlight w:val="none"/>
                <w:lang w:val="en-US" w:eastAsia="zh-CN"/>
              </w:rPr>
              <w:t>1</w:t>
            </w:r>
            <w:r>
              <w:rPr>
                <w:rFonts w:hint="eastAsia" w:ascii="宋体" w:hAnsi="宋体" w:eastAsia="宋体" w:cs="宋体"/>
                <w:color w:val="FF0000"/>
                <w:sz w:val="24"/>
                <w:szCs w:val="24"/>
                <w:highlight w:val="none"/>
                <w:lang w:val="en-US" w:eastAsia="zh-CN"/>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296" w:type="pct"/>
            <w:vMerge w:val="restar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02" w:type="pct"/>
            <w:vMerge w:val="restar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分）</w:t>
            </w:r>
          </w:p>
        </w:tc>
        <w:tc>
          <w:tcPr>
            <w:tcW w:w="774" w:type="pct"/>
            <w:vAlign w:val="center"/>
          </w:tcPr>
          <w:p>
            <w:pPr>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投标文件</w:t>
            </w:r>
          </w:p>
        </w:tc>
        <w:tc>
          <w:tcPr>
            <w:tcW w:w="3042" w:type="pct"/>
            <w:vAlign w:val="center"/>
          </w:tcPr>
          <w:p>
            <w:pPr>
              <w:spacing w:line="300" w:lineRule="exact"/>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投标文件包含招标文件中要求的全部内容，计</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分；未满足全部要求的，计0分。</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资质证书</w:t>
            </w:r>
          </w:p>
        </w:tc>
        <w:tc>
          <w:tcPr>
            <w:tcW w:w="3042" w:type="pct"/>
            <w:vAlign w:val="center"/>
          </w:tcPr>
          <w:p>
            <w:pPr>
              <w:spacing w:line="300" w:lineRule="exact"/>
              <w:jc w:val="both"/>
              <w:rPr>
                <w:rFonts w:hint="eastAsia" w:ascii="宋体" w:hAnsi="宋体" w:eastAsia="宋体" w:cs="宋体"/>
                <w:color w:val="auto"/>
                <w:szCs w:val="21"/>
              </w:rPr>
            </w:pPr>
            <w:r>
              <w:rPr>
                <w:rFonts w:hint="eastAsia" w:ascii="宋体" w:hAnsi="宋体" w:eastAsia="宋体" w:cs="宋体"/>
                <w:color w:val="auto"/>
                <w:szCs w:val="21"/>
              </w:rPr>
              <w:t>提供与本项目产品有关的软件著作权证书：</w:t>
            </w:r>
          </w:p>
          <w:p>
            <w:pPr>
              <w:spacing w:line="300" w:lineRule="exact"/>
              <w:rPr>
                <w:rFonts w:hint="eastAsia" w:ascii="宋体" w:hAnsi="宋体" w:eastAsia="宋体" w:cs="宋体"/>
                <w:i w:val="0"/>
                <w:iCs w:val="0"/>
                <w:snapToGrid/>
                <w:color w:val="auto"/>
                <w:kern w:val="2"/>
                <w:sz w:val="21"/>
                <w:szCs w:val="21"/>
                <w:u w:val="none"/>
                <w:shd w:val="clear" w:color="auto" w:fill="auto"/>
                <w:lang w:val="en-US" w:eastAsia="zh-CN"/>
              </w:rPr>
            </w:pPr>
            <w:r>
              <w:rPr>
                <w:rFonts w:hint="eastAsia" w:ascii="宋体" w:hAnsi="宋体" w:cs="宋体"/>
                <w:color w:val="auto"/>
                <w:szCs w:val="21"/>
                <w:lang w:val="en-US" w:eastAsia="zh-CN"/>
              </w:rPr>
              <w:t>软件著作权范围包括：（1）120调度指挥、（2）院内预告、（3）院前急救、（4）远程会诊、（5）院前院内一体化，每包含一个计1分，最多5分。</w:t>
            </w:r>
          </w:p>
          <w:p>
            <w:pPr>
              <w:spacing w:line="300" w:lineRule="exact"/>
              <w:rPr>
                <w:rFonts w:hint="eastAsia" w:ascii="宋体" w:hAnsi="宋体" w:cs="宋体"/>
                <w:i w:val="0"/>
                <w:iCs w:val="0"/>
                <w:snapToGrid/>
                <w:color w:val="auto"/>
                <w:kern w:val="2"/>
                <w:sz w:val="21"/>
                <w:szCs w:val="21"/>
                <w:u w:val="none"/>
                <w:shd w:val="clear" w:color="auto" w:fill="auto"/>
                <w:lang w:val="en-US" w:eastAsia="zh-CN"/>
              </w:rPr>
            </w:pPr>
            <w:r>
              <w:rPr>
                <w:rFonts w:hint="eastAsia" w:ascii="宋体" w:hAnsi="宋体" w:eastAsia="宋体" w:cs="宋体"/>
                <w:i w:val="0"/>
                <w:iCs w:val="0"/>
                <w:snapToGrid/>
                <w:color w:val="auto"/>
                <w:kern w:val="2"/>
                <w:sz w:val="21"/>
                <w:szCs w:val="21"/>
                <w:u w:val="none"/>
                <w:shd w:val="clear" w:color="auto" w:fill="auto"/>
                <w:lang w:val="en-US" w:eastAsia="zh-CN"/>
              </w:rPr>
              <w:t>（</w:t>
            </w:r>
            <w:r>
              <w:rPr>
                <w:rFonts w:hint="eastAsia" w:ascii="宋体" w:hAnsi="宋体" w:cs="宋体"/>
                <w:i w:val="0"/>
                <w:iCs w:val="0"/>
                <w:snapToGrid/>
                <w:color w:val="auto"/>
                <w:kern w:val="2"/>
                <w:sz w:val="21"/>
                <w:szCs w:val="21"/>
                <w:u w:val="none"/>
                <w:shd w:val="clear" w:color="auto" w:fill="auto"/>
                <w:lang w:val="en-US" w:eastAsia="zh-CN"/>
              </w:rPr>
              <w:t>若一个软件著作权证书包含3个范围，计3分；</w:t>
            </w:r>
          </w:p>
          <w:p>
            <w:pPr>
              <w:spacing w:line="300" w:lineRule="exact"/>
              <w:rPr>
                <w:rFonts w:hint="default" w:ascii="宋体" w:hAnsi="宋体" w:cs="宋体"/>
                <w:color w:val="auto"/>
                <w:szCs w:val="21"/>
                <w:lang w:val="en-US" w:eastAsia="zh-CN"/>
              </w:rPr>
            </w:pPr>
            <w:r>
              <w:rPr>
                <w:rFonts w:hint="eastAsia" w:ascii="宋体" w:hAnsi="宋体" w:eastAsia="宋体" w:cs="宋体"/>
                <w:i w:val="0"/>
                <w:iCs w:val="0"/>
                <w:snapToGrid/>
                <w:color w:val="auto"/>
                <w:kern w:val="2"/>
                <w:sz w:val="21"/>
                <w:szCs w:val="21"/>
                <w:u w:val="none"/>
                <w:shd w:val="clear" w:color="auto" w:fill="auto"/>
                <w:lang w:val="en-US" w:eastAsia="zh-CN"/>
              </w:rPr>
              <w:t>须提供软件著作权证书复印件并加盖投标人公章，</w:t>
            </w:r>
            <w:r>
              <w:rPr>
                <w:rFonts w:hint="default" w:ascii="宋体" w:hAnsi="宋体" w:eastAsia="宋体" w:cs="宋体"/>
                <w:i w:val="0"/>
                <w:iCs w:val="0"/>
                <w:snapToGrid/>
                <w:color w:val="auto"/>
                <w:kern w:val="2"/>
                <w:sz w:val="21"/>
                <w:szCs w:val="21"/>
                <w:u w:val="none"/>
                <w:shd w:val="clear" w:color="auto" w:fill="auto"/>
                <w:lang w:val="en-US" w:eastAsia="zh-CN"/>
              </w:rPr>
              <w:t>证书需在有效期内</w:t>
            </w:r>
            <w:r>
              <w:rPr>
                <w:rFonts w:hint="eastAsia" w:ascii="宋体" w:hAnsi="宋体" w:eastAsia="宋体" w:cs="宋体"/>
                <w:i w:val="0"/>
                <w:iCs w:val="0"/>
                <w:snapToGrid/>
                <w:color w:val="auto"/>
                <w:kern w:val="2"/>
                <w:sz w:val="21"/>
                <w:szCs w:val="21"/>
                <w:u w:val="none"/>
                <w:shd w:val="clear" w:color="auto" w:fill="auto"/>
                <w:lang w:val="en-US" w:eastAsia="zh-CN"/>
              </w:rPr>
              <w:t>，否则不得分)。</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0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4"/>
                <w:szCs w:val="24"/>
                <w:lang w:val="en-US" w:eastAsia="zh-CN"/>
              </w:rPr>
              <w:t>安全</w:t>
            </w:r>
            <w:r>
              <w:rPr>
                <w:rFonts w:hint="eastAsia" w:ascii="宋体" w:hAnsi="宋体" w:eastAsia="宋体" w:cs="宋体"/>
                <w:color w:val="auto"/>
                <w:sz w:val="24"/>
                <w:szCs w:val="24"/>
                <w:lang w:val="en-US" w:eastAsia="zh-CN"/>
              </w:rPr>
              <w:t>实力</w:t>
            </w:r>
          </w:p>
        </w:tc>
        <w:tc>
          <w:tcPr>
            <w:tcW w:w="3042" w:type="pct"/>
            <w:vAlign w:val="center"/>
          </w:tcPr>
          <w:p>
            <w:pPr>
              <w:spacing w:line="300" w:lineRule="exact"/>
              <w:jc w:val="both"/>
              <w:rPr>
                <w:rFonts w:hint="eastAsia" w:ascii="宋体" w:hAnsi="宋体" w:eastAsia="宋体" w:cs="宋体"/>
                <w:bCs w:val="0"/>
                <w:color w:val="auto"/>
                <w:sz w:val="21"/>
                <w:szCs w:val="21"/>
              </w:rPr>
            </w:pPr>
            <w:r>
              <w:rPr>
                <w:rFonts w:hint="eastAsia" w:ascii="宋体" w:hAnsi="宋体" w:cs="宋体"/>
                <w:color w:val="auto"/>
                <w:szCs w:val="21"/>
                <w:lang w:val="en-US" w:eastAsia="zh-CN"/>
              </w:rPr>
              <w:t>（1）</w:t>
            </w:r>
            <w:r>
              <w:rPr>
                <w:rFonts w:hint="eastAsia" w:ascii="宋体" w:hAnsi="宋体" w:eastAsia="宋体" w:cs="宋体"/>
                <w:bCs w:val="0"/>
                <w:color w:val="auto"/>
                <w:sz w:val="21"/>
                <w:szCs w:val="21"/>
              </w:rPr>
              <w:t>投标人</w:t>
            </w:r>
            <w:r>
              <w:rPr>
                <w:rFonts w:hint="eastAsia" w:ascii="宋体" w:hAnsi="宋体" w:cs="宋体"/>
                <w:bCs w:val="0"/>
                <w:color w:val="auto"/>
                <w:sz w:val="21"/>
                <w:szCs w:val="21"/>
                <w:lang w:val="en-US" w:eastAsia="zh-CN"/>
              </w:rPr>
              <w:t>所投产品承载的云平台</w:t>
            </w:r>
            <w:r>
              <w:rPr>
                <w:rFonts w:hint="eastAsia" w:ascii="宋体" w:hAnsi="宋体" w:eastAsia="宋体" w:cs="宋体"/>
                <w:bCs w:val="0"/>
                <w:color w:val="auto"/>
                <w:sz w:val="21"/>
                <w:szCs w:val="21"/>
              </w:rPr>
              <w:t>具有信息系统安全等级保护证明（三级或以上）的得</w:t>
            </w:r>
            <w:r>
              <w:rPr>
                <w:rFonts w:hint="eastAsia" w:ascii="宋体" w:hAnsi="宋体" w:cs="宋体"/>
                <w:bCs w:val="0"/>
                <w:color w:val="auto"/>
                <w:sz w:val="21"/>
                <w:szCs w:val="21"/>
                <w:lang w:val="en-US" w:eastAsia="zh-CN"/>
              </w:rPr>
              <w:t>3</w:t>
            </w:r>
            <w:r>
              <w:rPr>
                <w:rFonts w:hint="eastAsia" w:ascii="宋体" w:hAnsi="宋体" w:eastAsia="宋体" w:cs="宋体"/>
                <w:bCs w:val="0"/>
                <w:color w:val="auto"/>
                <w:sz w:val="21"/>
                <w:szCs w:val="21"/>
              </w:rPr>
              <w:t>分，否则不得分。</w:t>
            </w:r>
          </w:p>
          <w:p>
            <w:pPr>
              <w:spacing w:line="300" w:lineRule="exact"/>
              <w:jc w:val="both"/>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eastAsia="宋体" w:cs="宋体"/>
                <w:bCs w:val="0"/>
                <w:color w:val="auto"/>
                <w:sz w:val="21"/>
                <w:szCs w:val="21"/>
              </w:rPr>
              <w:t>投标人</w:t>
            </w:r>
            <w:r>
              <w:rPr>
                <w:rFonts w:hint="eastAsia" w:ascii="宋体" w:hAnsi="宋体" w:cs="宋体"/>
                <w:bCs w:val="0"/>
                <w:color w:val="auto"/>
                <w:sz w:val="21"/>
                <w:szCs w:val="21"/>
                <w:lang w:val="en-US" w:eastAsia="zh-CN"/>
              </w:rPr>
              <w:t>所投产品承载的云平台提供有效期内三级或以上等保测评合格报告，80分及以上计2分，70-79分计1分</w:t>
            </w:r>
            <w:r>
              <w:rPr>
                <w:rFonts w:hint="eastAsia" w:ascii="宋体" w:hAnsi="宋体" w:eastAsia="宋体" w:cs="宋体"/>
                <w:bCs w:val="0"/>
                <w:color w:val="auto"/>
                <w:sz w:val="21"/>
                <w:szCs w:val="21"/>
              </w:rPr>
              <w:t>，否则不得分。</w:t>
            </w:r>
            <w:r>
              <w:rPr>
                <w:rFonts w:hint="eastAsia" w:ascii="宋体" w:hAnsi="宋体" w:cs="宋体"/>
                <w:bCs w:val="0"/>
                <w:color w:val="auto"/>
                <w:sz w:val="21"/>
                <w:szCs w:val="21"/>
                <w:lang w:eastAsia="zh-CN"/>
              </w:rPr>
              <w:t>（</w:t>
            </w:r>
            <w:r>
              <w:rPr>
                <w:rFonts w:hint="eastAsia" w:ascii="宋体" w:hAnsi="宋体" w:cs="宋体"/>
                <w:bCs w:val="0"/>
                <w:color w:val="auto"/>
                <w:sz w:val="21"/>
                <w:szCs w:val="21"/>
                <w:lang w:val="en-US" w:eastAsia="zh-CN"/>
              </w:rPr>
              <w:t>需要提供测评报告基本信息表，测评结论表的扫描件并加盖公章，未提供的不得分</w:t>
            </w:r>
            <w:r>
              <w:rPr>
                <w:rFonts w:hint="eastAsia" w:ascii="宋体" w:hAnsi="宋体" w:cs="宋体"/>
                <w:bCs w:val="0"/>
                <w:color w:val="auto"/>
                <w:sz w:val="21"/>
                <w:szCs w:val="21"/>
                <w:lang w:eastAsia="zh-CN"/>
              </w:rPr>
              <w:t>）</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项目团队</w:t>
            </w:r>
          </w:p>
        </w:tc>
        <w:tc>
          <w:tcPr>
            <w:tcW w:w="3042" w:type="pct"/>
            <w:vAlign w:val="center"/>
          </w:tcPr>
          <w:p>
            <w:pPr>
              <w:numPr>
                <w:ilvl w:val="-1"/>
                <w:numId w:val="0"/>
              </w:numPr>
              <w:spacing w:line="300" w:lineRule="exact"/>
              <w:jc w:val="both"/>
              <w:rPr>
                <w:rFonts w:hint="eastAsia" w:ascii="宋体" w:hAnsi="宋体" w:cs="宋体"/>
                <w:color w:val="auto"/>
                <w:szCs w:val="21"/>
                <w:lang w:val="en-US" w:eastAsia="zh-CN"/>
              </w:rPr>
            </w:pPr>
            <w:r>
              <w:rPr>
                <w:rFonts w:hint="eastAsia" w:ascii="宋体" w:hAnsi="宋体" w:cs="宋体"/>
                <w:color w:val="auto"/>
                <w:szCs w:val="21"/>
                <w:lang w:val="en-US" w:eastAsia="zh-CN"/>
              </w:rPr>
              <w:t>（1）项目经理从业五年以上并具有PMP或系统集成项目管理工程师或以上资质认证证书的，计2分。</w:t>
            </w:r>
          </w:p>
          <w:p>
            <w:pPr>
              <w:spacing w:line="3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（2）主要技术负责人获得国家认证的对应技术资格的，计1分。</w:t>
            </w:r>
          </w:p>
          <w:p>
            <w:pPr>
              <w:spacing w:line="3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（3）项目团队的组成结构合理，项目经理、技术总监、系统分析、设计、测试人员等配备齐全的，计2分。</w:t>
            </w:r>
          </w:p>
          <w:p>
            <w:pPr>
              <w:pStyle w:val="2"/>
              <w:rPr>
                <w:rFonts w:hint="default"/>
                <w:color w:val="auto"/>
                <w:lang w:val="en-US" w:eastAsia="zh-CN"/>
              </w:rPr>
            </w:pPr>
            <w:r>
              <w:rPr>
                <w:rFonts w:hint="eastAsia" w:ascii="宋体" w:hAnsi="宋体" w:cs="宋体"/>
                <w:color w:val="auto"/>
                <w:szCs w:val="21"/>
                <w:lang w:val="en-US" w:eastAsia="zh-CN"/>
              </w:rPr>
              <w:t>（须提供符合上述要求人员的相关资质证书的复印件及近半年在本单位参保的社保缴费证明复印件）</w:t>
            </w:r>
          </w:p>
        </w:tc>
        <w:tc>
          <w:tcPr>
            <w:tcW w:w="384" w:type="pct"/>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eastAsia="宋体" w:cs="宋体"/>
                <w:color w:val="auto"/>
                <w:sz w:val="24"/>
                <w:szCs w:val="24"/>
                <w:lang w:val="en-US"/>
              </w:rPr>
            </w:pPr>
            <w:r>
              <w:rPr>
                <w:rFonts w:hint="eastAsia" w:ascii="宋体" w:hAnsi="宋体" w:cs="宋体"/>
                <w:color w:val="auto"/>
                <w:sz w:val="24"/>
                <w:szCs w:val="24"/>
                <w:highlight w:val="none"/>
                <w:lang w:val="en-US" w:eastAsia="zh-CN"/>
              </w:rPr>
              <w:t>同类业绩</w:t>
            </w:r>
          </w:p>
        </w:tc>
        <w:tc>
          <w:tcPr>
            <w:tcW w:w="3042" w:type="pct"/>
            <w:vAlign w:val="center"/>
          </w:tcPr>
          <w:p>
            <w:pPr>
              <w:spacing w:line="300" w:lineRule="exact"/>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供应商在202</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年1月1日以来（</w:t>
            </w:r>
            <w:r>
              <w:rPr>
                <w:rFonts w:hint="default" w:ascii="宋体" w:hAnsi="宋体" w:eastAsia="宋体" w:cs="宋体"/>
                <w:color w:val="auto"/>
                <w:szCs w:val="21"/>
                <w:lang w:val="en-US" w:eastAsia="zh-CN"/>
              </w:rPr>
              <w:t>以投标人提供的</w:t>
            </w:r>
            <w:r>
              <w:rPr>
                <w:rFonts w:hint="eastAsia" w:ascii="宋体" w:hAnsi="宋体" w:eastAsia="宋体" w:cs="宋体"/>
                <w:color w:val="auto"/>
                <w:szCs w:val="21"/>
                <w:lang w:val="en-US" w:eastAsia="zh-CN"/>
              </w:rPr>
              <w:t>中标</w:t>
            </w:r>
            <w:r>
              <w:rPr>
                <w:rFonts w:hint="default" w:ascii="宋体" w:hAnsi="宋体" w:eastAsia="宋体" w:cs="宋体"/>
                <w:color w:val="auto"/>
                <w:szCs w:val="21"/>
                <w:lang w:val="en-US" w:eastAsia="zh-CN"/>
              </w:rPr>
              <w:t>通知书</w:t>
            </w:r>
            <w:r>
              <w:rPr>
                <w:rFonts w:hint="eastAsia" w:ascii="宋体" w:hAnsi="宋体" w:eastAsia="宋体" w:cs="宋体"/>
                <w:color w:val="auto"/>
                <w:szCs w:val="21"/>
                <w:lang w:val="en-US" w:eastAsia="zh-CN"/>
              </w:rPr>
              <w:t>日期</w:t>
            </w:r>
            <w:r>
              <w:rPr>
                <w:rFonts w:hint="default" w:ascii="宋体" w:hAnsi="宋体" w:eastAsia="宋体" w:cs="宋体"/>
                <w:color w:val="auto"/>
                <w:szCs w:val="21"/>
                <w:lang w:val="en-US" w:eastAsia="zh-CN"/>
              </w:rPr>
              <w:t>或合同签订日期</w:t>
            </w:r>
            <w:r>
              <w:rPr>
                <w:rFonts w:hint="eastAsia" w:ascii="宋体" w:hAnsi="宋体" w:eastAsia="宋体" w:cs="宋体"/>
                <w:color w:val="auto"/>
                <w:szCs w:val="21"/>
                <w:lang w:val="en-US" w:eastAsia="zh-CN"/>
              </w:rPr>
              <w:t>为准）</w:t>
            </w:r>
            <w:r>
              <w:rPr>
                <w:rFonts w:hint="default" w:ascii="宋体" w:hAnsi="宋体" w:eastAsia="宋体" w:cs="宋体"/>
                <w:color w:val="auto"/>
                <w:szCs w:val="21"/>
                <w:lang w:val="en-US" w:eastAsia="zh-CN"/>
              </w:rPr>
              <w:t>同类租赁服务业绩</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每个</w:t>
            </w:r>
            <w:r>
              <w:rPr>
                <w:rFonts w:hint="default" w:ascii="宋体" w:hAnsi="宋体" w:cs="宋体"/>
                <w:color w:val="auto"/>
                <w:szCs w:val="21"/>
                <w:lang w:val="en-US" w:eastAsia="zh-CN"/>
              </w:rPr>
              <w:t>项目</w:t>
            </w:r>
            <w:r>
              <w:rPr>
                <w:rFonts w:hint="eastAsia" w:ascii="宋体" w:hAnsi="宋体" w:eastAsia="宋体" w:cs="宋体"/>
                <w:color w:val="auto"/>
                <w:szCs w:val="21"/>
                <w:lang w:val="en-US" w:eastAsia="zh-CN"/>
              </w:rPr>
              <w:t>计</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分，最高</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分。（须提供合同或中标通知书的扫描件并加盖公章，未提供的不得分）</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296" w:type="pct"/>
            <w:vMerge w:val="restar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02" w:type="pct"/>
            <w:vMerge w:val="restart"/>
            <w:vAlign w:val="center"/>
          </w:tcPr>
          <w:p>
            <w:pPr>
              <w:spacing w:line="360"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技术</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FF0000"/>
                <w:sz w:val="24"/>
                <w:szCs w:val="24"/>
              </w:rPr>
              <w:t>（</w:t>
            </w:r>
            <w:r>
              <w:rPr>
                <w:rFonts w:hint="eastAsia" w:ascii="宋体" w:hAnsi="宋体" w:cs="宋体"/>
                <w:color w:val="FF0000"/>
                <w:sz w:val="24"/>
                <w:szCs w:val="24"/>
                <w:lang w:val="en-US" w:eastAsia="zh-CN"/>
              </w:rPr>
              <w:t>60</w:t>
            </w:r>
            <w:r>
              <w:rPr>
                <w:rFonts w:hint="eastAsia" w:ascii="宋体" w:hAnsi="宋体" w:eastAsia="宋体" w:cs="宋体"/>
                <w:color w:val="FF0000"/>
                <w:sz w:val="24"/>
                <w:szCs w:val="24"/>
              </w:rPr>
              <w:t>分）</w:t>
            </w:r>
          </w:p>
        </w:tc>
        <w:tc>
          <w:tcPr>
            <w:tcW w:w="77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建设方案</w:t>
            </w:r>
          </w:p>
        </w:tc>
        <w:tc>
          <w:tcPr>
            <w:tcW w:w="3042" w:type="pct"/>
            <w:vAlign w:val="center"/>
          </w:tcPr>
          <w:p>
            <w:pPr>
              <w:spacing w:line="300" w:lineRule="exact"/>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建设方案包含招标文件中要求的全部内容且方案完整，计10分；</w:t>
            </w:r>
          </w:p>
          <w:p>
            <w:pPr>
              <w:spacing w:line="300" w:lineRule="exact"/>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建设方案包含招标文件中要求的全部内容且方案</w:t>
            </w:r>
            <w:r>
              <w:rPr>
                <w:rFonts w:hint="eastAsia" w:ascii="宋体" w:hAnsi="宋体" w:cs="宋体"/>
                <w:color w:val="auto"/>
                <w:szCs w:val="21"/>
                <w:lang w:val="en-US" w:eastAsia="zh-CN"/>
              </w:rPr>
              <w:t>较</w:t>
            </w:r>
            <w:r>
              <w:rPr>
                <w:rFonts w:hint="eastAsia" w:ascii="宋体" w:hAnsi="宋体" w:eastAsia="宋体" w:cs="宋体"/>
                <w:color w:val="auto"/>
                <w:szCs w:val="21"/>
                <w:lang w:val="en-US" w:eastAsia="zh-CN"/>
              </w:rPr>
              <w:t>完整，计</w:t>
            </w:r>
            <w:r>
              <w:rPr>
                <w:rFonts w:hint="eastAsia" w:ascii="宋体" w:hAnsi="宋体" w:cs="宋体"/>
                <w:color w:val="auto"/>
                <w:szCs w:val="21"/>
                <w:lang w:val="en-US" w:eastAsia="zh-CN"/>
              </w:rPr>
              <w:t>7</w:t>
            </w:r>
            <w:r>
              <w:rPr>
                <w:rFonts w:hint="eastAsia" w:ascii="宋体" w:hAnsi="宋体" w:eastAsia="宋体" w:cs="宋体"/>
                <w:color w:val="auto"/>
                <w:szCs w:val="21"/>
                <w:lang w:val="en-US" w:eastAsia="zh-CN"/>
              </w:rPr>
              <w:t>分；</w:t>
            </w:r>
          </w:p>
          <w:p>
            <w:pPr>
              <w:spacing w:line="300" w:lineRule="exact"/>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建设方案包含招标文件中要求的全部内容且方案</w:t>
            </w:r>
            <w:r>
              <w:rPr>
                <w:rFonts w:hint="eastAsia" w:ascii="宋体" w:hAnsi="宋体" w:cs="宋体"/>
                <w:color w:val="auto"/>
                <w:szCs w:val="21"/>
                <w:lang w:val="en-US" w:eastAsia="zh-CN"/>
              </w:rPr>
              <w:t>基本</w:t>
            </w:r>
            <w:r>
              <w:rPr>
                <w:rFonts w:hint="eastAsia" w:ascii="宋体" w:hAnsi="宋体" w:eastAsia="宋体" w:cs="宋体"/>
                <w:color w:val="auto"/>
                <w:szCs w:val="21"/>
                <w:lang w:val="en-US" w:eastAsia="zh-CN"/>
              </w:rPr>
              <w:t>完整，计</w:t>
            </w:r>
            <w:r>
              <w:rPr>
                <w:rFonts w:hint="eastAsia" w:ascii="宋体" w:hAnsi="宋体" w:cs="宋体"/>
                <w:color w:val="auto"/>
                <w:szCs w:val="21"/>
                <w:lang w:val="en-US" w:eastAsia="zh-CN"/>
              </w:rPr>
              <w:t>4</w:t>
            </w:r>
            <w:r>
              <w:rPr>
                <w:rFonts w:hint="eastAsia" w:ascii="宋体" w:hAnsi="宋体" w:eastAsia="宋体" w:cs="宋体"/>
                <w:color w:val="auto"/>
                <w:szCs w:val="21"/>
                <w:lang w:val="en-US" w:eastAsia="zh-CN"/>
              </w:rPr>
              <w:t>分；</w:t>
            </w:r>
          </w:p>
          <w:p>
            <w:pPr>
              <w:spacing w:line="300" w:lineRule="exact"/>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未满足全部要求的计0分；</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接口对接</w:t>
            </w:r>
          </w:p>
        </w:tc>
        <w:tc>
          <w:tcPr>
            <w:tcW w:w="3042" w:type="pct"/>
            <w:vAlign w:val="center"/>
          </w:tcPr>
          <w:p>
            <w:pPr>
              <w:numPr>
                <w:ilvl w:val="-1"/>
                <w:numId w:val="0"/>
              </w:numPr>
              <w:spacing w:line="300" w:lineRule="exact"/>
              <w:jc w:val="both"/>
              <w:rPr>
                <w:rFonts w:hint="eastAsia" w:ascii="宋体" w:hAnsi="宋体" w:cs="宋体"/>
                <w:color w:val="FF0000"/>
                <w:szCs w:val="21"/>
                <w:lang w:val="en-US" w:eastAsia="zh-CN"/>
              </w:rPr>
            </w:pPr>
            <w:r>
              <w:rPr>
                <w:rFonts w:hint="eastAsia" w:ascii="宋体" w:hAnsi="宋体" w:cs="宋体"/>
                <w:color w:val="FF0000"/>
                <w:szCs w:val="21"/>
                <w:lang w:val="en-US" w:eastAsia="zh-CN"/>
              </w:rPr>
              <w:t>（1）实现省市县各级平台对接，并提供各级平台、急救分站和救护车接入接口，计4分。</w:t>
            </w:r>
          </w:p>
          <w:p>
            <w:pPr>
              <w:numPr>
                <w:ilvl w:val="-1"/>
                <w:numId w:val="0"/>
              </w:numPr>
              <w:spacing w:line="300" w:lineRule="exact"/>
              <w:jc w:val="both"/>
              <w:rPr>
                <w:rFonts w:hint="eastAsia" w:ascii="宋体" w:hAnsi="宋体" w:cs="宋体"/>
                <w:color w:val="FF0000"/>
                <w:szCs w:val="21"/>
                <w:lang w:val="en-US" w:eastAsia="zh-CN"/>
              </w:rPr>
            </w:pPr>
            <w:r>
              <w:rPr>
                <w:rFonts w:hint="eastAsia" w:ascii="宋体" w:hAnsi="宋体" w:cs="宋体"/>
                <w:color w:val="FF0000"/>
                <w:szCs w:val="21"/>
                <w:lang w:val="en-US" w:eastAsia="zh-CN"/>
              </w:rPr>
              <w:t>（2）提供标准化接口，并实现与院内HIS或集成平台对接，计4分。</w:t>
            </w:r>
          </w:p>
          <w:p>
            <w:pPr>
              <w:numPr>
                <w:ilvl w:val="-1"/>
                <w:numId w:val="0"/>
              </w:numPr>
              <w:spacing w:line="300" w:lineRule="exact"/>
              <w:jc w:val="both"/>
              <w:rPr>
                <w:rFonts w:hint="eastAsia" w:ascii="宋体" w:hAnsi="宋体" w:cs="宋体"/>
                <w:color w:val="FF0000"/>
                <w:szCs w:val="21"/>
                <w:lang w:val="en-US" w:eastAsia="zh-CN"/>
              </w:rPr>
            </w:pPr>
            <w:r>
              <w:rPr>
                <w:rFonts w:hint="eastAsia" w:ascii="宋体" w:hAnsi="宋体" w:cs="宋体"/>
                <w:color w:val="FF0000"/>
                <w:szCs w:val="21"/>
                <w:lang w:val="en-US" w:eastAsia="zh-CN"/>
              </w:rPr>
              <w:t>（3）提供标准化接口，并实现与院内LIS、PACS对接，计4分。</w:t>
            </w:r>
          </w:p>
          <w:p>
            <w:pPr>
              <w:numPr>
                <w:ilvl w:val="-1"/>
                <w:numId w:val="0"/>
              </w:numPr>
              <w:spacing w:line="300" w:lineRule="exact"/>
              <w:jc w:val="both"/>
              <w:rPr>
                <w:rFonts w:hint="eastAsia" w:ascii="宋体" w:hAnsi="宋体" w:cs="宋体"/>
                <w:color w:val="FF0000"/>
                <w:szCs w:val="21"/>
                <w:lang w:val="en-US" w:eastAsia="zh-CN"/>
              </w:rPr>
            </w:pPr>
            <w:r>
              <w:rPr>
                <w:rFonts w:hint="eastAsia" w:ascii="宋体" w:hAnsi="宋体" w:cs="宋体"/>
                <w:color w:val="FF0000"/>
                <w:szCs w:val="21"/>
                <w:lang w:val="en-US" w:eastAsia="zh-CN"/>
              </w:rPr>
              <w:t>（4）提供标准化接口，并实现与院内电子病历系统对接，计4分。</w:t>
            </w:r>
          </w:p>
          <w:p>
            <w:pPr>
              <w:numPr>
                <w:ilvl w:val="-1"/>
                <w:numId w:val="0"/>
              </w:numPr>
              <w:spacing w:line="300" w:lineRule="exact"/>
              <w:jc w:val="both"/>
              <w:rPr>
                <w:rFonts w:hint="eastAsia" w:ascii="宋体" w:hAnsi="宋体" w:cs="宋体"/>
                <w:color w:val="FF0000"/>
                <w:szCs w:val="21"/>
                <w:lang w:val="en-US" w:eastAsia="zh-CN"/>
              </w:rPr>
            </w:pPr>
            <w:r>
              <w:rPr>
                <w:rFonts w:hint="eastAsia" w:ascii="宋体" w:hAnsi="宋体" w:cs="宋体"/>
                <w:color w:val="FF0000"/>
                <w:szCs w:val="21"/>
                <w:lang w:val="en-US" w:eastAsia="zh-CN"/>
              </w:rPr>
              <w:t>（5）提供标准化接口，并实现与院内门急诊医生站对接，计4分。</w:t>
            </w:r>
          </w:p>
          <w:p>
            <w:pPr>
              <w:pStyle w:val="2"/>
              <w:rPr>
                <w:rFonts w:hint="default"/>
                <w:color w:val="FF0000"/>
                <w:lang w:val="en-US" w:eastAsia="zh-CN"/>
              </w:rPr>
            </w:pPr>
            <w:r>
              <w:rPr>
                <w:rFonts w:hint="eastAsia" w:ascii="宋体" w:hAnsi="宋体" w:cs="宋体"/>
                <w:color w:val="FF0000"/>
                <w:szCs w:val="21"/>
                <w:lang w:val="en-US" w:eastAsia="zh-CN"/>
              </w:rPr>
              <w:t>（上述接口对接产生的费用由投标人负责。）</w:t>
            </w:r>
          </w:p>
        </w:tc>
        <w:tc>
          <w:tcPr>
            <w:tcW w:w="384" w:type="pct"/>
            <w:vAlign w:val="center"/>
          </w:tcPr>
          <w:p>
            <w:pPr>
              <w:spacing w:line="360" w:lineRule="auto"/>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实施方案</w:t>
            </w:r>
          </w:p>
        </w:tc>
        <w:tc>
          <w:tcPr>
            <w:tcW w:w="3042" w:type="pct"/>
            <w:vAlign w:val="center"/>
          </w:tcPr>
          <w:p>
            <w:pPr>
              <w:spacing w:line="300" w:lineRule="exact"/>
              <w:jc w:val="both"/>
              <w:rPr>
                <w:rFonts w:hint="eastAsia" w:ascii="宋体" w:hAnsi="宋体" w:cs="宋体"/>
                <w:color w:val="auto"/>
                <w:szCs w:val="21"/>
              </w:rPr>
            </w:pPr>
            <w:r>
              <w:rPr>
                <w:rFonts w:hint="eastAsia" w:ascii="宋体" w:hAnsi="宋体" w:cs="宋体"/>
                <w:color w:val="auto"/>
                <w:szCs w:val="21"/>
              </w:rPr>
              <w:t>根据招标文件中的功能需求，是否有提供完整的实施方案，涵盖系统需求分析、测试、试运行、验收、进度安排等，其项目管理制度及管理方案是否具有科学性、合理性和可执行性。</w:t>
            </w:r>
          </w:p>
          <w:p>
            <w:pPr>
              <w:spacing w:line="300" w:lineRule="exact"/>
              <w:jc w:val="both"/>
              <w:rPr>
                <w:rFonts w:hint="eastAsia" w:ascii="宋体" w:hAnsi="宋体" w:cs="宋体"/>
                <w:color w:val="auto"/>
                <w:szCs w:val="21"/>
              </w:rPr>
            </w:pPr>
            <w:r>
              <w:rPr>
                <w:rFonts w:hint="eastAsia" w:ascii="宋体" w:hAnsi="宋体" w:cs="宋体"/>
                <w:color w:val="auto"/>
                <w:szCs w:val="21"/>
              </w:rPr>
              <w:t>（1）实施方案需求分析步骤清晰，测试、试运行、验收、进度安排科学、合理，得</w:t>
            </w:r>
            <w:r>
              <w:rPr>
                <w:rFonts w:hint="eastAsia" w:ascii="宋体" w:hAnsi="宋体" w:cs="宋体"/>
                <w:color w:val="auto"/>
                <w:szCs w:val="21"/>
                <w:lang w:val="en-US" w:eastAsia="zh-CN"/>
              </w:rPr>
              <w:t>10</w:t>
            </w:r>
            <w:r>
              <w:rPr>
                <w:rFonts w:hint="eastAsia" w:ascii="宋体" w:hAnsi="宋体" w:cs="宋体"/>
                <w:color w:val="auto"/>
                <w:szCs w:val="21"/>
              </w:rPr>
              <w:t>分；</w:t>
            </w:r>
          </w:p>
          <w:p>
            <w:pPr>
              <w:spacing w:line="300" w:lineRule="exact"/>
              <w:jc w:val="both"/>
              <w:rPr>
                <w:rFonts w:hint="eastAsia" w:ascii="宋体" w:hAnsi="宋体" w:cs="宋体"/>
                <w:color w:val="auto"/>
                <w:szCs w:val="21"/>
              </w:rPr>
            </w:pPr>
            <w:r>
              <w:rPr>
                <w:rFonts w:hint="eastAsia" w:ascii="宋体" w:hAnsi="宋体" w:cs="宋体"/>
                <w:color w:val="auto"/>
                <w:szCs w:val="21"/>
              </w:rPr>
              <w:t>（2）实施方案需求分析步骤较清晰，测试、试运行、验收、进度安排较科学、合理，得</w:t>
            </w:r>
            <w:r>
              <w:rPr>
                <w:rFonts w:hint="eastAsia" w:ascii="宋体" w:hAnsi="宋体" w:cs="宋体"/>
                <w:color w:val="auto"/>
                <w:szCs w:val="21"/>
                <w:lang w:val="en-US" w:eastAsia="zh-CN"/>
              </w:rPr>
              <w:t>7</w:t>
            </w:r>
            <w:r>
              <w:rPr>
                <w:rFonts w:hint="eastAsia" w:ascii="宋体" w:hAnsi="宋体" w:cs="宋体"/>
                <w:color w:val="auto"/>
                <w:szCs w:val="21"/>
              </w:rPr>
              <w:t>分；</w:t>
            </w:r>
          </w:p>
          <w:p>
            <w:pPr>
              <w:spacing w:line="300" w:lineRule="exact"/>
              <w:jc w:val="both"/>
              <w:rPr>
                <w:rFonts w:hint="eastAsia" w:ascii="宋体" w:hAnsi="宋体" w:cs="宋体"/>
                <w:color w:val="auto"/>
                <w:szCs w:val="21"/>
              </w:rPr>
            </w:pPr>
            <w:r>
              <w:rPr>
                <w:rFonts w:hint="eastAsia" w:ascii="宋体" w:hAnsi="宋体" w:cs="宋体"/>
                <w:color w:val="auto"/>
                <w:szCs w:val="21"/>
              </w:rPr>
              <w:t>（3）实施方案需求分析步骤一般，测试、试运行、验收、进度安排一般，得</w:t>
            </w:r>
            <w:r>
              <w:rPr>
                <w:rFonts w:hint="eastAsia" w:ascii="宋体" w:hAnsi="宋体" w:cs="宋体"/>
                <w:color w:val="auto"/>
                <w:szCs w:val="21"/>
                <w:lang w:val="en-US" w:eastAsia="zh-CN"/>
              </w:rPr>
              <w:t>4</w:t>
            </w:r>
            <w:r>
              <w:rPr>
                <w:rFonts w:hint="eastAsia" w:ascii="宋体" w:hAnsi="宋体" w:cs="宋体"/>
                <w:color w:val="auto"/>
                <w:szCs w:val="21"/>
              </w:rPr>
              <w:t>分。；</w:t>
            </w:r>
          </w:p>
          <w:p>
            <w:pPr>
              <w:spacing w:line="300" w:lineRule="exact"/>
              <w:jc w:val="both"/>
              <w:rPr>
                <w:rFonts w:hint="eastAsia" w:ascii="宋体" w:hAnsi="宋体" w:eastAsia="宋体" w:cs="宋体"/>
                <w:color w:val="auto"/>
                <w:szCs w:val="21"/>
                <w:lang w:val="en-US" w:eastAsia="zh-CN"/>
              </w:rPr>
            </w:pPr>
            <w:r>
              <w:rPr>
                <w:rFonts w:hint="eastAsia" w:ascii="宋体" w:hAnsi="宋体" w:cs="宋体"/>
                <w:color w:val="auto"/>
                <w:szCs w:val="21"/>
              </w:rPr>
              <w:t>（4）不提供或提供的实施方案不清晰的，不得分。</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FF0000"/>
                <w:sz w:val="24"/>
                <w:szCs w:val="24"/>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售后服务</w:t>
            </w:r>
          </w:p>
        </w:tc>
        <w:tc>
          <w:tcPr>
            <w:tcW w:w="3042" w:type="pct"/>
            <w:vAlign w:val="center"/>
          </w:tcPr>
          <w:p>
            <w:pPr>
              <w:jc w:val="left"/>
              <w:rPr>
                <w:rFonts w:hint="eastAsia" w:ascii="宋体" w:hAnsi="宋体" w:eastAsia="宋体" w:cs="宋体"/>
                <w:color w:val="auto"/>
                <w:szCs w:val="21"/>
              </w:rPr>
            </w:pPr>
            <w:r>
              <w:rPr>
                <w:rFonts w:hint="eastAsia"/>
                <w:color w:val="auto"/>
                <w:szCs w:val="21"/>
              </w:rPr>
              <w:t>投标人应详尽阐述所提供项目的售后服务方案、售后服务承</w:t>
            </w:r>
            <w:r>
              <w:rPr>
                <w:rFonts w:hint="eastAsia" w:ascii="宋体" w:hAnsi="宋体" w:eastAsia="宋体" w:cs="宋体"/>
                <w:color w:val="auto"/>
                <w:szCs w:val="21"/>
              </w:rPr>
              <w:t>诺、保障措施、故障排除速度及维护期内外的后续技术支持和维护能力。</w:t>
            </w:r>
          </w:p>
          <w:p>
            <w:pPr>
              <w:jc w:val="left"/>
              <w:rPr>
                <w:rFonts w:hint="eastAsia" w:ascii="宋体" w:hAnsi="宋体" w:eastAsia="宋体" w:cs="宋体"/>
                <w:color w:val="auto"/>
                <w:szCs w:val="21"/>
              </w:rPr>
            </w:pPr>
            <w:r>
              <w:rPr>
                <w:rFonts w:hint="eastAsia" w:ascii="宋体" w:hAnsi="宋体" w:eastAsia="宋体" w:cs="宋体"/>
                <w:color w:val="auto"/>
                <w:szCs w:val="21"/>
              </w:rPr>
              <w:t>（1）售后服务方案、售后服务承诺、保障措施完善，故障排除速度快及维护期内外的后续技术支持和维护能力强,得</w:t>
            </w:r>
            <w:r>
              <w:rPr>
                <w:rFonts w:hint="eastAsia" w:ascii="宋体" w:hAnsi="宋体" w:cs="宋体"/>
                <w:color w:val="auto"/>
                <w:szCs w:val="21"/>
                <w:lang w:val="en-US" w:eastAsia="zh-CN"/>
              </w:rPr>
              <w:t>10</w:t>
            </w:r>
            <w:r>
              <w:rPr>
                <w:rFonts w:hint="eastAsia" w:ascii="宋体" w:hAnsi="宋体" w:eastAsia="宋体" w:cs="宋体"/>
                <w:color w:val="auto"/>
                <w:szCs w:val="21"/>
              </w:rPr>
              <w:t xml:space="preserve">分； </w:t>
            </w:r>
          </w:p>
          <w:p>
            <w:pPr>
              <w:jc w:val="left"/>
              <w:rPr>
                <w:rFonts w:hint="eastAsia" w:ascii="宋体" w:hAnsi="宋体" w:eastAsia="宋体" w:cs="宋体"/>
                <w:color w:val="auto"/>
                <w:szCs w:val="21"/>
              </w:rPr>
            </w:pPr>
            <w:r>
              <w:rPr>
                <w:rFonts w:hint="eastAsia" w:ascii="宋体" w:hAnsi="宋体" w:eastAsia="宋体" w:cs="宋体"/>
                <w:color w:val="auto"/>
                <w:szCs w:val="21"/>
              </w:rPr>
              <w:t>（2）售后服务承诺、保障措施完较善，故障排除速度较快及维护期内外的后续技术支持和维护能力较强，得</w:t>
            </w:r>
            <w:r>
              <w:rPr>
                <w:rFonts w:hint="eastAsia" w:ascii="宋体" w:hAnsi="宋体" w:cs="宋体"/>
                <w:color w:val="auto"/>
                <w:szCs w:val="21"/>
                <w:lang w:val="en-US" w:eastAsia="zh-CN"/>
              </w:rPr>
              <w:t>7</w:t>
            </w:r>
            <w:r>
              <w:rPr>
                <w:rFonts w:hint="eastAsia" w:ascii="宋体" w:hAnsi="宋体" w:eastAsia="宋体" w:cs="宋体"/>
                <w:color w:val="auto"/>
                <w:szCs w:val="21"/>
              </w:rPr>
              <w:t>分；</w:t>
            </w:r>
          </w:p>
          <w:p>
            <w:pPr>
              <w:jc w:val="left"/>
              <w:rPr>
                <w:rFonts w:hint="eastAsia" w:ascii="宋体" w:hAnsi="宋体" w:eastAsia="宋体" w:cs="宋体"/>
                <w:color w:val="auto"/>
                <w:szCs w:val="21"/>
              </w:rPr>
            </w:pPr>
            <w:r>
              <w:rPr>
                <w:rFonts w:hint="eastAsia" w:ascii="宋体" w:hAnsi="宋体" w:eastAsia="宋体" w:cs="宋体"/>
                <w:color w:val="auto"/>
                <w:szCs w:val="21"/>
              </w:rPr>
              <w:t>（3）售后服务保障体系及措施基本符合招标要求，服务响应一般，得</w:t>
            </w:r>
            <w:r>
              <w:rPr>
                <w:rFonts w:hint="eastAsia" w:ascii="宋体" w:hAnsi="宋体" w:cs="宋体"/>
                <w:color w:val="auto"/>
                <w:szCs w:val="21"/>
                <w:lang w:val="en-US" w:eastAsia="zh-CN"/>
              </w:rPr>
              <w:t>4</w:t>
            </w:r>
            <w:r>
              <w:rPr>
                <w:rFonts w:hint="eastAsia" w:ascii="宋体" w:hAnsi="宋体" w:eastAsia="宋体" w:cs="宋体"/>
                <w:color w:val="auto"/>
                <w:szCs w:val="21"/>
              </w:rPr>
              <w:t>分；</w:t>
            </w:r>
          </w:p>
          <w:p>
            <w:pPr>
              <w:spacing w:line="300" w:lineRule="exact"/>
              <w:jc w:val="both"/>
              <w:rPr>
                <w:rFonts w:hint="eastAsia" w:ascii="宋体" w:hAnsi="宋体" w:eastAsia="宋体" w:cs="宋体"/>
                <w:color w:val="auto"/>
                <w:szCs w:val="21"/>
                <w:lang w:val="en-US" w:eastAsia="zh-CN"/>
              </w:rPr>
            </w:pPr>
            <w:r>
              <w:rPr>
                <w:rFonts w:hint="eastAsia" w:ascii="宋体" w:hAnsi="宋体" w:eastAsia="宋体" w:cs="宋体"/>
                <w:color w:val="auto"/>
                <w:szCs w:val="21"/>
              </w:rPr>
              <w:t>（4）不提供或提供的售后服务方案不合理的，不得分。</w:t>
            </w:r>
          </w:p>
        </w:tc>
        <w:tc>
          <w:tcPr>
            <w:tcW w:w="384" w:type="pct"/>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FF0000"/>
                <w:sz w:val="24"/>
                <w:szCs w:val="24"/>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296" w:type="pct"/>
            <w:vMerge w:val="continue"/>
            <w:vAlign w:val="center"/>
          </w:tcPr>
          <w:p>
            <w:pPr>
              <w:spacing w:line="360" w:lineRule="auto"/>
              <w:jc w:val="center"/>
              <w:rPr>
                <w:rFonts w:hint="eastAsia" w:ascii="宋体" w:hAnsi="宋体" w:eastAsia="宋体" w:cs="宋体"/>
                <w:color w:val="auto"/>
                <w:sz w:val="24"/>
                <w:szCs w:val="24"/>
              </w:rPr>
            </w:pPr>
          </w:p>
        </w:tc>
        <w:tc>
          <w:tcPr>
            <w:tcW w:w="502" w:type="pct"/>
            <w:vMerge w:val="continue"/>
            <w:vAlign w:val="center"/>
          </w:tcPr>
          <w:p>
            <w:pPr>
              <w:spacing w:line="360" w:lineRule="auto"/>
              <w:jc w:val="center"/>
              <w:rPr>
                <w:rFonts w:hint="eastAsia" w:ascii="宋体" w:hAnsi="宋体" w:eastAsia="宋体" w:cs="宋体"/>
                <w:color w:val="auto"/>
                <w:sz w:val="24"/>
                <w:szCs w:val="24"/>
              </w:rPr>
            </w:pPr>
          </w:p>
        </w:tc>
        <w:tc>
          <w:tcPr>
            <w:tcW w:w="77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培训方案</w:t>
            </w:r>
          </w:p>
        </w:tc>
        <w:tc>
          <w:tcPr>
            <w:tcW w:w="3042" w:type="pct"/>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培训方案应包括培训内容、培训计划等内容，方案应尽可能全面、详尽、合理、科学，并有相应的考核办法。</w:t>
            </w:r>
          </w:p>
          <w:p>
            <w:pPr>
              <w:jc w:val="left"/>
              <w:rPr>
                <w:rFonts w:hint="eastAsia" w:ascii="宋体" w:hAnsi="宋体" w:eastAsia="宋体" w:cs="宋体"/>
                <w:color w:val="auto"/>
                <w:szCs w:val="21"/>
              </w:rPr>
            </w:pPr>
            <w:r>
              <w:rPr>
                <w:rFonts w:hint="eastAsia" w:ascii="宋体" w:hAnsi="宋体" w:eastAsia="宋体" w:cs="宋体"/>
                <w:color w:val="auto"/>
                <w:szCs w:val="21"/>
              </w:rPr>
              <w:t>（1）培训计划科学合理，培训内容全面，培训时间可行，培训重点突出，得</w:t>
            </w:r>
            <w:r>
              <w:rPr>
                <w:rFonts w:hint="eastAsia" w:ascii="宋体" w:hAnsi="宋体" w:cs="宋体"/>
                <w:color w:val="auto"/>
                <w:szCs w:val="21"/>
                <w:lang w:val="en-US" w:eastAsia="zh-CN"/>
              </w:rPr>
              <w:t>10</w:t>
            </w:r>
            <w:r>
              <w:rPr>
                <w:rFonts w:hint="eastAsia" w:ascii="宋体" w:hAnsi="宋体" w:eastAsia="宋体" w:cs="宋体"/>
                <w:color w:val="auto"/>
                <w:szCs w:val="21"/>
              </w:rPr>
              <w:t xml:space="preserve">分； </w:t>
            </w:r>
          </w:p>
          <w:p>
            <w:pPr>
              <w:jc w:val="left"/>
              <w:rPr>
                <w:rFonts w:hint="eastAsia" w:ascii="宋体" w:hAnsi="宋体" w:eastAsia="宋体" w:cs="宋体"/>
                <w:color w:val="auto"/>
                <w:szCs w:val="21"/>
              </w:rPr>
            </w:pPr>
            <w:r>
              <w:rPr>
                <w:rFonts w:hint="eastAsia" w:ascii="宋体" w:hAnsi="宋体" w:eastAsia="宋体" w:cs="宋体"/>
                <w:color w:val="auto"/>
                <w:szCs w:val="21"/>
              </w:rPr>
              <w:t>（2）培训计划较科学合理，培训内容较全面，培训时间可行，培训重点较突出，得</w:t>
            </w:r>
            <w:r>
              <w:rPr>
                <w:rFonts w:hint="eastAsia" w:ascii="宋体" w:hAnsi="宋体" w:cs="宋体"/>
                <w:color w:val="auto"/>
                <w:szCs w:val="21"/>
                <w:lang w:val="en-US" w:eastAsia="zh-CN"/>
              </w:rPr>
              <w:t>7</w:t>
            </w:r>
            <w:r>
              <w:rPr>
                <w:rFonts w:hint="eastAsia" w:ascii="宋体" w:hAnsi="宋体" w:eastAsia="宋体" w:cs="宋体"/>
                <w:color w:val="auto"/>
                <w:szCs w:val="21"/>
              </w:rPr>
              <w:t xml:space="preserve">分； </w:t>
            </w:r>
          </w:p>
          <w:p>
            <w:pPr>
              <w:jc w:val="left"/>
              <w:rPr>
                <w:rFonts w:hint="eastAsia" w:ascii="宋体" w:hAnsi="宋体" w:eastAsia="宋体" w:cs="宋体"/>
                <w:color w:val="auto"/>
                <w:szCs w:val="21"/>
              </w:rPr>
            </w:pPr>
            <w:r>
              <w:rPr>
                <w:rFonts w:hint="eastAsia" w:ascii="宋体" w:hAnsi="宋体" w:eastAsia="宋体" w:cs="宋体"/>
                <w:color w:val="auto"/>
                <w:szCs w:val="21"/>
              </w:rPr>
              <w:t>（3）培训计划及培训内容一般，有不足之处，得</w:t>
            </w:r>
            <w:r>
              <w:rPr>
                <w:rFonts w:hint="eastAsia" w:ascii="宋体" w:hAnsi="宋体" w:cs="宋体"/>
                <w:color w:val="auto"/>
                <w:szCs w:val="21"/>
                <w:lang w:val="en-US" w:eastAsia="zh-CN"/>
              </w:rPr>
              <w:t>4</w:t>
            </w:r>
            <w:r>
              <w:rPr>
                <w:rFonts w:hint="eastAsia" w:ascii="宋体" w:hAnsi="宋体" w:eastAsia="宋体" w:cs="宋体"/>
                <w:color w:val="auto"/>
                <w:szCs w:val="21"/>
              </w:rPr>
              <w:t>分；</w:t>
            </w:r>
          </w:p>
          <w:p>
            <w:pPr>
              <w:spacing w:line="300" w:lineRule="exact"/>
              <w:jc w:val="both"/>
              <w:rPr>
                <w:rFonts w:hint="default" w:ascii="宋体" w:hAnsi="宋体" w:eastAsia="宋体" w:cs="宋体"/>
                <w:color w:val="auto"/>
                <w:szCs w:val="21"/>
                <w:lang w:val="en-US" w:eastAsia="zh-CN"/>
              </w:rPr>
            </w:pPr>
            <w:r>
              <w:rPr>
                <w:rFonts w:hint="eastAsia" w:ascii="宋体" w:hAnsi="宋体" w:eastAsia="宋体" w:cs="宋体"/>
                <w:color w:val="auto"/>
                <w:szCs w:val="21"/>
              </w:rPr>
              <w:t>（4）不提供或提供的培训方案不合理的，不得分。</w:t>
            </w:r>
          </w:p>
        </w:tc>
        <w:tc>
          <w:tcPr>
            <w:tcW w:w="384" w:type="pc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FF0000"/>
                <w:sz w:val="24"/>
                <w:szCs w:val="24"/>
                <w:lang w:val="en-US" w:eastAsia="zh-CN"/>
              </w:rPr>
              <w:t>10</w:t>
            </w:r>
          </w:p>
        </w:tc>
      </w:tr>
    </w:tbl>
    <w:p>
      <w:pPr>
        <w:pStyle w:val="15"/>
        <w:rPr>
          <w:rFonts w:hint="eastAsia" w:ascii="宋体" w:hAnsi="宋体" w:cs="宋体"/>
          <w:color w:val="auto"/>
          <w:szCs w:val="21"/>
        </w:rPr>
      </w:pPr>
    </w:p>
    <w:p>
      <w:pPr>
        <w:spacing w:line="360" w:lineRule="auto"/>
        <w:jc w:val="lef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rPr>
        <w:t>注：全体评审委员会对供应商评分的算数平均值即为该供应商的最终评</w:t>
      </w:r>
      <w:r>
        <w:rPr>
          <w:rFonts w:hint="eastAsia" w:ascii="宋体" w:hAnsi="宋体" w:eastAsia="宋体" w:cs="宋体"/>
          <w:color w:val="auto"/>
          <w:sz w:val="24"/>
          <w:szCs w:val="24"/>
          <w:lang w:val="en-US" w:eastAsia="zh-CN"/>
        </w:rPr>
        <w:t>标</w:t>
      </w:r>
      <w:r>
        <w:rPr>
          <w:rFonts w:hint="default" w:ascii="宋体" w:hAnsi="宋体" w:eastAsia="宋体" w:cs="宋体"/>
          <w:color w:val="auto"/>
          <w:sz w:val="24"/>
          <w:szCs w:val="24"/>
        </w:rPr>
        <w:t>得分（不得去评分项目的最高得分和最低得分），评分分值计算保留小数点后两位，小数点后第三位“四舍五入</w:t>
      </w:r>
      <w:r>
        <w:rPr>
          <w:rFonts w:hint="default" w:ascii="宋体" w:hAnsi="宋体" w:eastAsia="宋体" w:cs="宋体"/>
          <w:color w:val="auto"/>
          <w:sz w:val="24"/>
          <w:szCs w:val="24"/>
          <w:lang w:val="en-US" w:eastAsia="zh-CN"/>
        </w:rPr>
        <w:t>’。</w:t>
      </w:r>
    </w:p>
    <w:p>
      <w:pPr>
        <w:spacing w:line="240" w:lineRule="auto"/>
        <w:jc w:val="lef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pStyle w:val="3"/>
        <w:numPr>
          <w:ilvl w:val="0"/>
          <w:numId w:val="1"/>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snapToGrid/>
        <w:spacing w:line="240" w:lineRule="auto"/>
        <w:jc w:val="left"/>
        <w:rPr>
          <w:rFonts w:hint="eastAsia" w:ascii="宋体" w:hAnsi="宋体" w:cs="宋体"/>
          <w:b/>
          <w:color w:val="auto"/>
          <w:sz w:val="28"/>
          <w:szCs w:val="28"/>
        </w:rPr>
      </w:pPr>
      <w:r>
        <w:rPr>
          <w:rFonts w:hint="eastAsia" w:ascii="宋体" w:hAnsi="宋体" w:cs="宋体"/>
          <w:b/>
          <w:color w:val="auto"/>
          <w:sz w:val="28"/>
          <w:szCs w:val="28"/>
        </w:rPr>
        <w:br w:type="page"/>
      </w: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color w:val="auto"/>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一、法定代表人或非独立法人投标人的负责人的授权委托书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w:t>
      </w:r>
      <w:r>
        <w:rPr>
          <w:rFonts w:hint="eastAsia" w:ascii="宋体" w:hAnsi="宋体" w:cs="宋体"/>
          <w:color w:val="auto"/>
          <w:kern w:val="0"/>
          <w:sz w:val="24"/>
          <w:lang w:val="en-US" w:eastAsia="zh-CN"/>
        </w:rPr>
        <w:t>或负责人</w:t>
      </w:r>
      <w:r>
        <w:rPr>
          <w:rFonts w:hint="eastAsia" w:ascii="宋体" w:hAnsi="宋体" w:cs="宋体"/>
          <w:color w:val="auto"/>
          <w:kern w:val="0"/>
          <w:sz w:val="24"/>
        </w:rPr>
        <w:t>，现授权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法定代表人或非独立法人投标人的负责人身份证（正面、反面）复印件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法定代表人或非独立法人投标人的负责人（签字）：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snapToGrid/>
        <w:spacing w:line="240" w:lineRule="auto"/>
        <w:rPr>
          <w:rFonts w:hint="eastAsia" w:ascii="宋体" w:hAnsi="宋体" w:cs="宋体"/>
          <w:b/>
          <w:color w:val="auto"/>
          <w:sz w:val="28"/>
          <w:szCs w:val="28"/>
        </w:rPr>
      </w:pPr>
      <w:r>
        <w:rPr>
          <w:rFonts w:hint="eastAsia" w:ascii="宋体" w:hAnsi="宋体" w:cs="宋体"/>
          <w:b/>
          <w:color w:val="auto"/>
          <w:sz w:val="28"/>
          <w:szCs w:val="28"/>
        </w:rPr>
        <w:br w:type="page"/>
      </w: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val="en-US" w:eastAsia="zh-CN"/>
        </w:rPr>
        <w:t>法定代表人或非独立法人投标人的负责人</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w:t>
      </w:r>
      <w:r>
        <w:rPr>
          <w:rFonts w:hint="eastAsia" w:ascii="宋体" w:hAnsi="宋体" w:eastAsia="宋体" w:cs="Times New Roman"/>
          <w:b w:val="0"/>
          <w:bCs w:val="0"/>
          <w:color w:val="auto"/>
          <w:kern w:val="2"/>
          <w:sz w:val="24"/>
          <w:szCs w:val="24"/>
          <w:lang w:val="en-US" w:eastAsia="zh-CN" w:bidi="ar-SA"/>
        </w:rPr>
        <w:sym w:font="Wingdings" w:char="00A8"/>
      </w:r>
      <w:r>
        <w:rPr>
          <w:rFonts w:hint="eastAsia" w:ascii="宋体" w:hAnsi="宋体" w:eastAsia="宋体" w:cs="Times New Roman"/>
          <w:b w:val="0"/>
          <w:bCs w:val="0"/>
          <w:color w:val="auto"/>
          <w:kern w:val="2"/>
          <w:sz w:val="24"/>
          <w:szCs w:val="24"/>
          <w:lang w:val="en-US" w:eastAsia="zh-CN" w:bidi="ar-SA"/>
        </w:rPr>
        <w:t>大型、</w:t>
      </w:r>
      <w:r>
        <w:rPr>
          <w:rFonts w:hint="eastAsia" w:ascii="宋体" w:hAnsi="宋体" w:eastAsia="宋体" w:cs="Times New Roman"/>
          <w:b w:val="0"/>
          <w:bCs w:val="0"/>
          <w:color w:val="auto"/>
          <w:kern w:val="2"/>
          <w:sz w:val="24"/>
          <w:szCs w:val="24"/>
          <w:lang w:val="en-US" w:eastAsia="zh-CN" w:bidi="ar-SA"/>
        </w:rPr>
        <w:sym w:font="Wingdings" w:char="00A8"/>
      </w:r>
      <w:r>
        <w:rPr>
          <w:rFonts w:hint="eastAsia" w:ascii="宋体" w:hAnsi="宋体" w:eastAsia="宋体" w:cs="Times New Roman"/>
          <w:b w:val="0"/>
          <w:bCs w:val="0"/>
          <w:color w:val="auto"/>
          <w:kern w:val="2"/>
          <w:sz w:val="24"/>
          <w:szCs w:val="24"/>
          <w:lang w:val="en-US" w:eastAsia="zh-CN" w:bidi="ar-SA"/>
        </w:rPr>
        <w:t>中型、</w:t>
      </w:r>
      <w:r>
        <w:rPr>
          <w:rFonts w:hint="eastAsia" w:ascii="宋体" w:hAnsi="宋体" w:eastAsia="宋体" w:cs="Times New Roman"/>
          <w:b w:val="0"/>
          <w:bCs w:val="0"/>
          <w:color w:val="auto"/>
          <w:kern w:val="2"/>
          <w:sz w:val="24"/>
          <w:szCs w:val="24"/>
          <w:lang w:val="en-US" w:eastAsia="zh-CN" w:bidi="ar-SA"/>
        </w:rPr>
        <w:sym w:font="Wingdings" w:char="00A8"/>
      </w:r>
      <w:r>
        <w:rPr>
          <w:rFonts w:hint="eastAsia" w:ascii="宋体" w:hAnsi="宋体" w:eastAsia="宋体" w:cs="Times New Roman"/>
          <w:b w:val="0"/>
          <w:bCs w:val="0"/>
          <w:color w:val="auto"/>
          <w:kern w:val="2"/>
          <w:sz w:val="24"/>
          <w:szCs w:val="24"/>
          <w:lang w:val="en-US" w:eastAsia="zh-CN" w:bidi="ar-SA"/>
        </w:rPr>
        <w:t>小型、</w:t>
      </w:r>
      <w:r>
        <w:rPr>
          <w:rFonts w:hint="eastAsia" w:ascii="宋体" w:hAnsi="宋体" w:eastAsia="宋体" w:cs="Times New Roman"/>
          <w:b w:val="0"/>
          <w:bCs w:val="0"/>
          <w:color w:val="auto"/>
          <w:kern w:val="2"/>
          <w:sz w:val="24"/>
          <w:szCs w:val="24"/>
          <w:lang w:val="en-US" w:eastAsia="zh-CN" w:bidi="ar-SA"/>
        </w:rPr>
        <w:sym w:font="Wingdings" w:char="00A8"/>
      </w:r>
      <w:r>
        <w:rPr>
          <w:rFonts w:hint="eastAsia" w:ascii="宋体" w:hAnsi="宋体" w:eastAsia="宋体" w:cs="Times New Roman"/>
          <w:b w:val="0"/>
          <w:bCs w:val="0"/>
          <w:color w:val="auto"/>
          <w:kern w:val="2"/>
          <w:sz w:val="24"/>
          <w:szCs w:val="24"/>
          <w:lang w:val="en-US" w:eastAsia="zh-CN" w:bidi="ar-SA"/>
        </w:rPr>
        <w:t>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w:t>
      </w:r>
      <w:r>
        <w:rPr>
          <w:rFonts w:hint="eastAsia" w:ascii="宋体" w:hAnsi="宋体" w:cs="Times New Roman"/>
          <w:b w:val="0"/>
          <w:bCs w:val="0"/>
          <w:color w:val="auto"/>
          <w:kern w:val="2"/>
          <w:sz w:val="24"/>
          <w:szCs w:val="24"/>
          <w:lang w:val="en-US" w:eastAsia="zh-CN" w:bidi="ar-SA"/>
        </w:rPr>
        <w:t>（单位负责人）</w:t>
      </w:r>
      <w:r>
        <w:rPr>
          <w:rFonts w:hint="eastAsia" w:ascii="宋体" w:hAnsi="宋体" w:eastAsia="宋体" w:cs="Times New Roman"/>
          <w:b w:val="0"/>
          <w:bCs w:val="0"/>
          <w:color w:val="auto"/>
          <w:kern w:val="2"/>
          <w:sz w:val="24"/>
          <w:szCs w:val="24"/>
          <w:lang w:val="en-US" w:eastAsia="zh-CN" w:bidi="ar-SA"/>
        </w:rPr>
        <w:t>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w:t>
      </w:r>
      <w:r>
        <w:rPr>
          <w:rFonts w:hint="eastAsia" w:ascii="宋体" w:hAnsi="宋体" w:cs="Times New Roman"/>
          <w:b w:val="0"/>
          <w:bCs w:val="0"/>
          <w:color w:val="auto"/>
          <w:kern w:val="2"/>
          <w:sz w:val="24"/>
          <w:szCs w:val="24"/>
          <w:lang w:val="en-US" w:eastAsia="zh-CN" w:bidi="ar-SA"/>
        </w:rPr>
        <w:t>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6" w:type="default"/>
          <w:pgSz w:w="11906" w:h="16838"/>
          <w:pgMar w:top="1191" w:right="1587" w:bottom="1020" w:left="1587" w:header="567" w:footer="283" w:gutter="0"/>
          <w:pgNumType w:fmt="decimal"/>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5"/>
        <w:rPr>
          <w:rFonts w:hint="eastAsia"/>
          <w:color w:val="auto"/>
          <w:lang w:eastAsia="zh-CN"/>
        </w:rPr>
      </w:pPr>
    </w:p>
    <w:p>
      <w:pPr>
        <w:spacing w:before="120" w:beforeLines="50" w:after="120" w:afterLines="50" w:line="276" w:lineRule="auto"/>
        <w:jc w:val="center"/>
        <w:rPr>
          <w:b/>
          <w:color w:val="auto"/>
          <w:sz w:val="24"/>
        </w:rPr>
      </w:pPr>
      <w:r>
        <w:rPr>
          <w:b/>
          <w:color w:val="auto"/>
          <w:sz w:val="24"/>
        </w:rPr>
        <w:t>采购需求响应</w:t>
      </w:r>
    </w:p>
    <w:p>
      <w:pPr>
        <w:adjustRightInd w:val="0"/>
        <w:snapToGrid w:val="0"/>
        <w:spacing w:line="360" w:lineRule="auto"/>
        <w:rPr>
          <w:color w:val="auto"/>
          <w:szCs w:val="21"/>
        </w:rPr>
      </w:pPr>
      <w:r>
        <w:rPr>
          <w:rFonts w:hint="eastAsia"/>
          <w:color w:val="auto"/>
          <w:sz w:val="24"/>
        </w:rPr>
        <w:t>项目</w:t>
      </w:r>
      <w:r>
        <w:rPr>
          <w:color w:val="auto"/>
          <w:sz w:val="24"/>
        </w:rPr>
        <w:t xml:space="preserve">编号：                    项目名称：                     </w:t>
      </w:r>
    </w:p>
    <w:tbl>
      <w:tblPr>
        <w:tblStyle w:val="1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tcPr>
          <w:p>
            <w:pPr>
              <w:adjustRightInd w:val="0"/>
              <w:snapToGrid w:val="0"/>
              <w:spacing w:before="50" w:line="360" w:lineRule="auto"/>
              <w:jc w:val="center"/>
              <w:rPr>
                <w:color w:val="auto"/>
              </w:rPr>
            </w:pPr>
            <w:r>
              <w:rPr>
                <w:color w:val="auto"/>
              </w:rPr>
              <w:t>招标文件要求</w:t>
            </w:r>
          </w:p>
        </w:tc>
        <w:tc>
          <w:tcPr>
            <w:tcW w:w="962" w:type="pct"/>
          </w:tcPr>
          <w:p>
            <w:pPr>
              <w:adjustRightInd w:val="0"/>
              <w:snapToGrid w:val="0"/>
              <w:spacing w:before="50" w:line="360" w:lineRule="auto"/>
              <w:jc w:val="center"/>
              <w:rPr>
                <w:color w:val="auto"/>
              </w:rPr>
            </w:pPr>
            <w:r>
              <w:rPr>
                <w:color w:val="auto"/>
              </w:rPr>
              <w:t>投标文件应答</w:t>
            </w:r>
          </w:p>
        </w:tc>
        <w:tc>
          <w:tcPr>
            <w:tcW w:w="905" w:type="pct"/>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vAlign w:val="center"/>
          </w:tcPr>
          <w:p>
            <w:pPr>
              <w:adjustRightInd w:val="0"/>
              <w:snapToGrid w:val="0"/>
              <w:spacing w:before="50" w:line="360" w:lineRule="auto"/>
              <w:ind w:left="-88" w:leftChars="-42"/>
              <w:jc w:val="center"/>
              <w:rPr>
                <w:color w:val="auto"/>
                <w:szCs w:val="21"/>
              </w:rPr>
            </w:pPr>
          </w:p>
        </w:tc>
        <w:tc>
          <w:tcPr>
            <w:tcW w:w="1123" w:type="pct"/>
            <w:vAlign w:val="center"/>
          </w:tcPr>
          <w:p>
            <w:pPr>
              <w:adjustRightInd w:val="0"/>
              <w:snapToGrid w:val="0"/>
              <w:spacing w:before="50" w:line="360" w:lineRule="auto"/>
              <w:ind w:left="-88" w:leftChars="-42"/>
              <w:jc w:val="center"/>
              <w:rPr>
                <w:color w:val="auto"/>
                <w:szCs w:val="21"/>
              </w:rPr>
            </w:pPr>
          </w:p>
        </w:tc>
        <w:tc>
          <w:tcPr>
            <w:tcW w:w="1000" w:type="pct"/>
            <w:vAlign w:val="center"/>
          </w:tcPr>
          <w:p>
            <w:pPr>
              <w:adjustRightInd w:val="0"/>
              <w:snapToGrid w:val="0"/>
              <w:spacing w:before="50" w:line="360" w:lineRule="auto"/>
              <w:ind w:left="-88" w:leftChars="-42"/>
              <w:jc w:val="center"/>
              <w:rPr>
                <w:color w:val="auto"/>
                <w:szCs w:val="21"/>
              </w:rPr>
            </w:pPr>
          </w:p>
        </w:tc>
        <w:tc>
          <w:tcPr>
            <w:tcW w:w="962" w:type="pct"/>
            <w:vAlign w:val="center"/>
          </w:tcPr>
          <w:p>
            <w:pPr>
              <w:adjustRightInd w:val="0"/>
              <w:snapToGrid w:val="0"/>
              <w:spacing w:before="50" w:line="360" w:lineRule="auto"/>
              <w:ind w:left="-88" w:leftChars="-42"/>
              <w:jc w:val="center"/>
              <w:rPr>
                <w:color w:val="auto"/>
                <w:szCs w:val="21"/>
              </w:rPr>
            </w:pPr>
          </w:p>
        </w:tc>
        <w:tc>
          <w:tcPr>
            <w:tcW w:w="905" w:type="pct"/>
            <w:vAlign w:val="center"/>
          </w:tcPr>
          <w:p>
            <w:pPr>
              <w:adjustRightInd w:val="0"/>
              <w:snapToGrid w:val="0"/>
              <w:spacing w:before="50" w:line="360" w:lineRule="auto"/>
              <w:ind w:left="-88" w:leftChars="-42"/>
              <w:jc w:val="center"/>
              <w:rPr>
                <w:color w:val="auto"/>
                <w:szCs w:val="21"/>
              </w:rPr>
            </w:pPr>
          </w:p>
        </w:tc>
        <w:tc>
          <w:tcPr>
            <w:tcW w:w="634" w:type="pct"/>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vAlign w:val="center"/>
          </w:tcPr>
          <w:p>
            <w:pPr>
              <w:adjustRightInd w:val="0"/>
              <w:snapToGrid w:val="0"/>
              <w:spacing w:before="50" w:line="360" w:lineRule="auto"/>
              <w:ind w:left="-88" w:leftChars="-42"/>
              <w:jc w:val="center"/>
              <w:rPr>
                <w:color w:val="auto"/>
                <w:szCs w:val="21"/>
              </w:rPr>
            </w:pPr>
          </w:p>
        </w:tc>
        <w:tc>
          <w:tcPr>
            <w:tcW w:w="1123" w:type="pct"/>
            <w:vAlign w:val="center"/>
          </w:tcPr>
          <w:p>
            <w:pPr>
              <w:adjustRightInd w:val="0"/>
              <w:snapToGrid w:val="0"/>
              <w:spacing w:before="50" w:line="360" w:lineRule="auto"/>
              <w:ind w:left="-88" w:leftChars="-42"/>
              <w:jc w:val="center"/>
              <w:rPr>
                <w:color w:val="auto"/>
                <w:szCs w:val="21"/>
              </w:rPr>
            </w:pPr>
          </w:p>
        </w:tc>
        <w:tc>
          <w:tcPr>
            <w:tcW w:w="1000" w:type="pct"/>
            <w:vAlign w:val="center"/>
          </w:tcPr>
          <w:p>
            <w:pPr>
              <w:adjustRightInd w:val="0"/>
              <w:snapToGrid w:val="0"/>
              <w:spacing w:before="50" w:line="360" w:lineRule="auto"/>
              <w:ind w:left="-88" w:leftChars="-42"/>
              <w:jc w:val="center"/>
              <w:rPr>
                <w:color w:val="auto"/>
                <w:szCs w:val="21"/>
              </w:rPr>
            </w:pPr>
          </w:p>
        </w:tc>
        <w:tc>
          <w:tcPr>
            <w:tcW w:w="962" w:type="pct"/>
            <w:vAlign w:val="center"/>
          </w:tcPr>
          <w:p>
            <w:pPr>
              <w:adjustRightInd w:val="0"/>
              <w:snapToGrid w:val="0"/>
              <w:spacing w:before="50" w:line="360" w:lineRule="auto"/>
              <w:ind w:left="-88" w:leftChars="-42"/>
              <w:jc w:val="center"/>
              <w:rPr>
                <w:color w:val="auto"/>
                <w:szCs w:val="21"/>
              </w:rPr>
            </w:pPr>
          </w:p>
        </w:tc>
        <w:tc>
          <w:tcPr>
            <w:tcW w:w="905" w:type="pct"/>
            <w:vAlign w:val="center"/>
          </w:tcPr>
          <w:p>
            <w:pPr>
              <w:adjustRightInd w:val="0"/>
              <w:snapToGrid w:val="0"/>
              <w:spacing w:before="50" w:line="360" w:lineRule="auto"/>
              <w:ind w:left="-88" w:leftChars="-42"/>
              <w:jc w:val="center"/>
              <w:rPr>
                <w:color w:val="auto"/>
                <w:szCs w:val="21"/>
              </w:rPr>
            </w:pPr>
          </w:p>
        </w:tc>
        <w:tc>
          <w:tcPr>
            <w:tcW w:w="634" w:type="pct"/>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vAlign w:val="center"/>
          </w:tcPr>
          <w:p>
            <w:pPr>
              <w:adjustRightInd w:val="0"/>
              <w:snapToGrid w:val="0"/>
              <w:spacing w:before="50" w:line="360" w:lineRule="auto"/>
              <w:ind w:left="-88" w:leftChars="-42"/>
              <w:jc w:val="center"/>
              <w:rPr>
                <w:color w:val="auto"/>
                <w:szCs w:val="21"/>
              </w:rPr>
            </w:pPr>
          </w:p>
        </w:tc>
        <w:tc>
          <w:tcPr>
            <w:tcW w:w="1123" w:type="pct"/>
            <w:vAlign w:val="center"/>
          </w:tcPr>
          <w:p>
            <w:pPr>
              <w:adjustRightInd w:val="0"/>
              <w:snapToGrid w:val="0"/>
              <w:spacing w:before="50" w:line="360" w:lineRule="auto"/>
              <w:ind w:left="-88" w:leftChars="-42"/>
              <w:jc w:val="center"/>
              <w:rPr>
                <w:color w:val="auto"/>
                <w:szCs w:val="21"/>
              </w:rPr>
            </w:pPr>
          </w:p>
        </w:tc>
        <w:tc>
          <w:tcPr>
            <w:tcW w:w="1000" w:type="pct"/>
            <w:vAlign w:val="center"/>
          </w:tcPr>
          <w:p>
            <w:pPr>
              <w:adjustRightInd w:val="0"/>
              <w:snapToGrid w:val="0"/>
              <w:spacing w:before="50" w:line="360" w:lineRule="auto"/>
              <w:ind w:left="-88" w:leftChars="-42"/>
              <w:jc w:val="center"/>
              <w:rPr>
                <w:color w:val="auto"/>
                <w:szCs w:val="21"/>
              </w:rPr>
            </w:pPr>
          </w:p>
        </w:tc>
        <w:tc>
          <w:tcPr>
            <w:tcW w:w="962" w:type="pct"/>
            <w:vAlign w:val="center"/>
          </w:tcPr>
          <w:p>
            <w:pPr>
              <w:adjustRightInd w:val="0"/>
              <w:snapToGrid w:val="0"/>
              <w:spacing w:before="50" w:line="360" w:lineRule="auto"/>
              <w:ind w:left="-88" w:leftChars="-42"/>
              <w:jc w:val="center"/>
              <w:rPr>
                <w:color w:val="auto"/>
                <w:szCs w:val="21"/>
              </w:rPr>
            </w:pPr>
          </w:p>
        </w:tc>
        <w:tc>
          <w:tcPr>
            <w:tcW w:w="905" w:type="pct"/>
            <w:vAlign w:val="center"/>
          </w:tcPr>
          <w:p>
            <w:pPr>
              <w:adjustRightInd w:val="0"/>
              <w:snapToGrid w:val="0"/>
              <w:spacing w:before="50" w:line="360" w:lineRule="auto"/>
              <w:ind w:left="-88" w:leftChars="-42"/>
              <w:jc w:val="center"/>
              <w:rPr>
                <w:color w:val="auto"/>
                <w:szCs w:val="21"/>
              </w:rPr>
            </w:pPr>
          </w:p>
        </w:tc>
        <w:tc>
          <w:tcPr>
            <w:tcW w:w="634" w:type="pct"/>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w:t>
      </w:r>
      <w:r>
        <w:rPr>
          <w:rFonts w:eastAsia="宋体"/>
          <w:color w:val="auto"/>
          <w:sz w:val="24"/>
        </w:rPr>
        <w:t>投标人应根据招标文件第</w:t>
      </w:r>
      <w:r>
        <w:rPr>
          <w:rFonts w:hint="default" w:eastAsia="宋体"/>
          <w:color w:val="auto"/>
          <w:sz w:val="24"/>
          <w:lang w:val="en-US" w:eastAsia="zh-CN"/>
        </w:rPr>
        <w:t>二</w:t>
      </w:r>
      <w:r>
        <w:rPr>
          <w:rFonts w:eastAsia="宋体"/>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default" w:ascii="Times New Roman" w:hAnsi="Times New Roman" w:eastAsia="宋体" w:cs="Times New Roman"/>
          <w:color w:val="auto"/>
          <w:sz w:val="24"/>
          <w:shd w:val="clear" w:color="auto" w:fill="auto"/>
        </w:rPr>
        <w:t>采购需求必须全部满足，不得有偏离，否则投标无效</w:t>
      </w:r>
      <w:r>
        <w:rPr>
          <w:rFonts w:eastAsia="宋体"/>
          <w:color w:val="auto"/>
          <w:sz w:val="24"/>
        </w:rPr>
        <w:t>；</w:t>
      </w:r>
    </w:p>
    <w:p>
      <w:pPr>
        <w:adjustRightInd w:val="0"/>
        <w:snapToGrid w:val="0"/>
        <w:spacing w:before="50" w:line="360" w:lineRule="auto"/>
        <w:ind w:left="-88" w:leftChars="-42"/>
        <w:rPr>
          <w:rFonts w:hint="eastAsia"/>
          <w:color w:val="auto"/>
          <w:sz w:val="24"/>
        </w:rPr>
      </w:pPr>
      <w:r>
        <w:rPr>
          <w:color w:val="auto"/>
          <w:sz w:val="24"/>
        </w:rPr>
        <w:t>（3）如不提供此表，则视为投标人不满足招标文件第三章的所有条款要求，其投标无效；</w:t>
      </w:r>
    </w:p>
    <w:bookmarkEnd w:id="3"/>
    <w:bookmarkEnd w:id="4"/>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before="120" w:beforeLines="50" w:line="360" w:lineRule="auto"/>
        <w:rPr>
          <w:color w:val="auto"/>
          <w:sz w:val="24"/>
        </w:rPr>
      </w:pPr>
    </w:p>
    <w:p>
      <w:pPr>
        <w:spacing w:before="120" w:beforeLines="50" w:after="120" w:afterLines="50" w:line="276" w:lineRule="auto"/>
        <w:rPr>
          <w:rFonts w:hint="eastAsia" w:eastAsia="宋体"/>
          <w:b/>
          <w:bCs/>
          <w:color w:val="auto"/>
          <w:sz w:val="28"/>
          <w:szCs w:val="28"/>
          <w:lang w:eastAsia="zh-CN"/>
        </w:rPr>
      </w:pPr>
    </w:p>
    <w:p>
      <w:pPr>
        <w:pStyle w:val="15"/>
        <w:rPr>
          <w:rFonts w:hint="eastAsia"/>
          <w:color w:val="auto"/>
          <w:lang w:eastAsia="zh-CN"/>
        </w:rPr>
      </w:pPr>
    </w:p>
    <w:p>
      <w:pPr>
        <w:spacing w:before="120" w:beforeLines="50" w:after="120" w:afterLines="50" w:line="276" w:lineRule="auto"/>
        <w:jc w:val="center"/>
        <w:rPr>
          <w:rFonts w:hint="eastAsia" w:ascii="宋体" w:hAnsi="宋体" w:cs="宋体"/>
          <w:color w:val="auto"/>
          <w:sz w:val="24"/>
        </w:rPr>
      </w:pPr>
    </w:p>
    <w:p>
      <w:pPr>
        <w:adjustRightInd w:val="0"/>
        <w:snapToGrid w:val="0"/>
        <w:spacing w:before="120" w:beforeLines="50" w:line="360" w:lineRule="auto"/>
        <w:rPr>
          <w:rFonts w:ascii="宋体" w:hAnsi="宋体" w:cs="宋体"/>
          <w:b/>
          <w:color w:val="auto"/>
          <w:sz w:val="24"/>
        </w:rPr>
      </w:pPr>
    </w:p>
    <w:p>
      <w:pPr>
        <w:pStyle w:val="16"/>
        <w:rPr>
          <w:color w:val="auto"/>
        </w:rPr>
      </w:pPr>
    </w:p>
    <w:p>
      <w:pPr>
        <w:pStyle w:val="16"/>
        <w:rPr>
          <w:color w:val="auto"/>
        </w:rPr>
      </w:pPr>
    </w:p>
    <w:p>
      <w:pPr>
        <w:pStyle w:val="16"/>
        <w:rPr>
          <w:color w:val="auto"/>
        </w:rPr>
      </w:pPr>
    </w:p>
    <w:p>
      <w:pPr>
        <w:rPr>
          <w:color w:val="auto"/>
        </w:rPr>
      </w:pPr>
      <w:r>
        <w:rPr>
          <w:color w:val="auto"/>
        </w:rPr>
        <w:br w:type="page"/>
      </w:r>
    </w:p>
    <w:p>
      <w:pPr>
        <w:pStyle w:val="17"/>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6"/>
        <w:rPr>
          <w:color w:val="auto"/>
        </w:rPr>
      </w:pPr>
    </w:p>
    <w:p>
      <w:pPr>
        <w:pStyle w:val="16"/>
        <w:rPr>
          <w:rFonts w:hint="eastAsia"/>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rFonts w:hint="eastAsia"/>
          <w:color w:val="auto"/>
        </w:rPr>
      </w:pPr>
    </w:p>
    <w:p>
      <w:pPr>
        <w:pStyle w:val="17"/>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7"/>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7"/>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rFonts w:hint="eastAsia"/>
          <w:color w:val="auto"/>
          <w:lang w:eastAsia="zh-CN"/>
        </w:rPr>
      </w:pPr>
    </w:p>
    <w:p>
      <w:pPr>
        <w:pStyle w:val="17"/>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7"/>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7"/>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7"/>
        <w:tabs>
          <w:tab w:val="left" w:pos="2312"/>
          <w:tab w:val="left" w:pos="2313"/>
        </w:tabs>
        <w:autoSpaceDE w:val="0"/>
        <w:autoSpaceDN w:val="0"/>
        <w:spacing w:before="43"/>
        <w:ind w:left="2312" w:firstLine="0" w:firstLineChars="0"/>
        <w:rPr>
          <w:rFonts w:ascii="Times New Roman" w:hAnsi="Times New Roman"/>
          <w:b/>
          <w:bCs/>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p>
    <w:p>
      <w:pPr>
        <w:rPr>
          <w:color w:val="auto"/>
        </w:rPr>
      </w:pPr>
    </w:p>
    <w:p>
      <w:pPr>
        <w:rPr>
          <w:color w:val="auto"/>
        </w:rPr>
      </w:pPr>
    </w:p>
    <w:p/>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78301C8-20D7-40D0-BBF0-7E6A377DD58A}"/>
  </w:font>
  <w:font w:name="Arial">
    <w:panose1 w:val="020B0604020202020204"/>
    <w:charset w:val="01"/>
    <w:family w:val="swiss"/>
    <w:pitch w:val="default"/>
    <w:sig w:usb0="E0002EFF" w:usb1="C000785B" w:usb2="00000009" w:usb3="00000000" w:csb0="400001FF" w:csb1="FFFF0000"/>
    <w:embedRegular r:id="rId2" w:fontKey="{C4A610C5-7F43-4452-BD4E-F5B28A163DD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embedRegular r:id="rId3" w:fontKey="{4E4B2786-CA4E-42FB-B15B-E8ABF34030C7}"/>
  </w:font>
  <w:font w:name="方正小标宋简体">
    <w:panose1 w:val="02000000000000000000"/>
    <w:charset w:val="86"/>
    <w:family w:val="auto"/>
    <w:pitch w:val="default"/>
    <w:sig w:usb0="00000001" w:usb1="08000000" w:usb2="00000000" w:usb3="00000000" w:csb0="00040000" w:csb1="00000000"/>
    <w:embedRegular r:id="rId4" w:fontKey="{9606C3FC-4315-496C-B350-6DEB639C3DF9}"/>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bCs/>
        <w:u w:val="single"/>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bCs/>
        <w:u w:val="single"/>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12</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rect>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bCs/>
        <w:u w:val="single"/>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12</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unTAQAAng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V15dceaEpTc//fxx+vXn&#10;9Ps7e5s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3PunTAQAAngMAAA4AAAAAAAAAAQAgAAAAHwEA&#10;AGRycy9lMm9Eb2MueG1sUEsFBgAAAAAGAAYAWQEAAGQ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rect>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8280" w:hanging="8280" w:hangingChars="4600"/>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ODFiNGY4MTQ0YTBkYmU0NWFkZTJkNmNiMDk4MmMifQ=="/>
  </w:docVars>
  <w:rsids>
    <w:rsidRoot w:val="00000000"/>
    <w:rsid w:val="075449B1"/>
    <w:rsid w:val="088E5CA1"/>
    <w:rsid w:val="1B217891"/>
    <w:rsid w:val="2983695B"/>
    <w:rsid w:val="3FDF0E81"/>
    <w:rsid w:val="4BE87E6C"/>
    <w:rsid w:val="4EA336E6"/>
    <w:rsid w:val="571701DC"/>
    <w:rsid w:val="5773063E"/>
    <w:rsid w:val="59EA29D4"/>
    <w:rsid w:val="59FF51D0"/>
    <w:rsid w:val="5B765E19"/>
    <w:rsid w:val="63F41FD1"/>
    <w:rsid w:val="6F593630"/>
    <w:rsid w:val="719C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annotation text"/>
    <w:basedOn w:val="1"/>
    <w:qFormat/>
    <w:uiPriority w:val="0"/>
    <w:pPr>
      <w:jc w:val="left"/>
    </w:pPr>
  </w:style>
  <w:style w:type="paragraph" w:styleId="6">
    <w:name w:val="Body Text Indent"/>
    <w:basedOn w:val="1"/>
    <w:next w:val="7"/>
    <w:qFormat/>
    <w:uiPriority w:val="99"/>
    <w:pPr>
      <w:spacing w:line="400" w:lineRule="exact"/>
      <w:ind w:left="630"/>
    </w:pPr>
    <w:rPr>
      <w:rFonts w:ascii="楷体_GB2312"/>
      <w:sz w:val="30"/>
      <w:szCs w:val="30"/>
    </w:rPr>
  </w:style>
  <w:style w:type="paragraph" w:styleId="7">
    <w:name w:val="Body Text First Indent 2"/>
    <w:basedOn w:val="6"/>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8">
    <w:name w:val="footer"/>
    <w:basedOn w:val="1"/>
    <w:qFormat/>
    <w:uiPriority w:val="0"/>
    <w:pPr>
      <w:tabs>
        <w:tab w:val="center" w:pos="4153"/>
        <w:tab w:val="right" w:pos="8306"/>
      </w:tabs>
      <w:snapToGrid w:val="0"/>
      <w:jc w:val="left"/>
    </w:pPr>
    <w:rPr>
      <w:kern w:val="0"/>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7"/>
    <w:qFormat/>
    <w:uiPriority w:val="0"/>
    <w:pPr>
      <w:jc w:val="center"/>
    </w:pPr>
    <w:rPr>
      <w:rFonts w:ascii="Arial" w:hAnsi="Arial" w:eastAsia="宋体"/>
      <w:b/>
      <w:sz w:val="28"/>
      <w:szCs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5180</Words>
  <Characters>5318</Characters>
  <Paragraphs>368</Paragraphs>
  <TotalTime>0</TotalTime>
  <ScaleCrop>false</ScaleCrop>
  <LinksUpToDate>false</LinksUpToDate>
  <CharactersWithSpaces>6320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2023-12-04T16:42:00Z</dcterms:created>
  <dc:creator>ASUS</dc:creator>
  <cp:lastModifiedBy>极光欣</cp:lastModifiedBy>
  <dcterms:modified xsi:type="dcterms:W3CDTF">2023-12-07T04:04:29Z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D184827CA8D44BB5B55A71C060BE4FFE_13</vt:lpwstr>
  </property>
</Properties>
</file>