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hint="eastAsia" w:ascii="Times New Roman" w:hAnsi="Times New Roman" w:eastAsia="宋体" w:cs="Times New Roman"/>
          <w:b/>
          <w:bCs/>
          <w:color w:val="auto"/>
          <w:kern w:val="44"/>
          <w:sz w:val="72"/>
          <w:szCs w:val="72"/>
          <w:lang w:val="en-US" w:eastAsia="zh-CN" w:bidi="ar-SA"/>
        </w:rPr>
      </w:pPr>
      <w:r>
        <w:rPr>
          <w:rFonts w:hint="eastAsia" w:ascii="Times New Roman" w:hAnsi="Times New Roman" w:eastAsia="宋体" w:cs="Times New Roman"/>
          <w:b/>
          <w:bCs/>
          <w:color w:val="auto"/>
          <w:kern w:val="44"/>
          <w:sz w:val="72"/>
          <w:szCs w:val="72"/>
          <w:lang w:val="en-US" w:eastAsia="zh-CN" w:bidi="ar-SA"/>
        </w:rPr>
        <w:t>娄底市中心医院院内</w:t>
      </w:r>
    </w:p>
    <w:p>
      <w:pPr>
        <w:pStyle w:val="12"/>
        <w:snapToGrid w:val="0"/>
        <w:jc w:val="center"/>
        <w:rPr>
          <w:rFonts w:hint="eastAsia" w:ascii="Times New Roman" w:hAnsi="Times New Roman" w:eastAsia="宋体" w:cs="Times New Roman"/>
          <w:b/>
          <w:bCs/>
          <w:color w:val="auto"/>
          <w:kern w:val="44"/>
          <w:sz w:val="72"/>
          <w:szCs w:val="72"/>
          <w:lang w:val="en-US" w:eastAsia="zh-CN" w:bidi="ar-SA"/>
        </w:rPr>
      </w:pPr>
    </w:p>
    <w:p>
      <w:pPr>
        <w:pStyle w:val="12"/>
        <w:snapToGrid w:val="0"/>
        <w:jc w:val="center"/>
        <w:rPr>
          <w:rFonts w:hint="eastAsia" w:ascii="Times New Roman" w:hAnsi="Times New Roman" w:eastAsia="宋体" w:cs="Times New Roman"/>
          <w:b/>
          <w:bCs/>
          <w:color w:val="auto"/>
          <w:kern w:val="44"/>
          <w:sz w:val="72"/>
          <w:szCs w:val="72"/>
          <w:lang w:val="en-US" w:eastAsia="zh-CN" w:bidi="ar-SA"/>
        </w:rPr>
      </w:pPr>
      <w:r>
        <w:rPr>
          <w:rFonts w:hint="eastAsia" w:ascii="Times New Roman" w:hAnsi="Times New Roman" w:eastAsia="宋体" w:cs="Times New Roman"/>
          <w:b/>
          <w:bCs/>
          <w:color w:val="auto"/>
          <w:kern w:val="44"/>
          <w:sz w:val="72"/>
          <w:szCs w:val="72"/>
          <w:lang w:val="en-US" w:eastAsia="zh-CN" w:bidi="ar-SA"/>
        </w:rPr>
        <w:t>招</w:t>
      </w:r>
    </w:p>
    <w:p>
      <w:pPr>
        <w:pStyle w:val="12"/>
        <w:snapToGrid w:val="0"/>
        <w:jc w:val="center"/>
        <w:rPr>
          <w:rFonts w:hint="eastAsia" w:ascii="Times New Roman" w:hAnsi="Times New Roman" w:eastAsia="宋体" w:cs="Times New Roman"/>
          <w:b/>
          <w:bCs/>
          <w:color w:val="auto"/>
          <w:kern w:val="44"/>
          <w:sz w:val="72"/>
          <w:szCs w:val="72"/>
          <w:lang w:val="en-US" w:eastAsia="zh-CN" w:bidi="ar-SA"/>
        </w:rPr>
      </w:pPr>
    </w:p>
    <w:p>
      <w:pPr>
        <w:pStyle w:val="12"/>
        <w:snapToGrid w:val="0"/>
        <w:jc w:val="center"/>
        <w:rPr>
          <w:rFonts w:hint="eastAsia" w:ascii="Times New Roman" w:hAnsi="Times New Roman" w:eastAsia="宋体" w:cs="Times New Roman"/>
          <w:b/>
          <w:bCs/>
          <w:color w:val="auto"/>
          <w:kern w:val="44"/>
          <w:sz w:val="72"/>
          <w:szCs w:val="72"/>
          <w:lang w:val="en-US" w:eastAsia="zh-CN" w:bidi="ar-SA"/>
        </w:rPr>
      </w:pPr>
      <w:r>
        <w:rPr>
          <w:rFonts w:hint="eastAsia" w:ascii="Times New Roman" w:hAnsi="Times New Roman" w:eastAsia="宋体" w:cs="Times New Roman"/>
          <w:b/>
          <w:bCs/>
          <w:color w:val="auto"/>
          <w:kern w:val="44"/>
          <w:sz w:val="72"/>
          <w:szCs w:val="72"/>
          <w:lang w:val="en-US" w:eastAsia="zh-CN" w:bidi="ar-SA"/>
        </w:rPr>
        <w:t>标</w:t>
      </w:r>
    </w:p>
    <w:p>
      <w:pPr>
        <w:pStyle w:val="12"/>
        <w:snapToGrid w:val="0"/>
        <w:jc w:val="center"/>
        <w:rPr>
          <w:rFonts w:hint="eastAsia" w:ascii="Times New Roman" w:hAnsi="Times New Roman" w:eastAsia="宋体" w:cs="Times New Roman"/>
          <w:b/>
          <w:bCs/>
          <w:color w:val="auto"/>
          <w:kern w:val="44"/>
          <w:sz w:val="72"/>
          <w:szCs w:val="72"/>
          <w:lang w:val="en-US" w:eastAsia="zh-CN" w:bidi="ar-SA"/>
        </w:rPr>
      </w:pPr>
    </w:p>
    <w:p>
      <w:pPr>
        <w:pStyle w:val="12"/>
        <w:snapToGrid w:val="0"/>
        <w:jc w:val="center"/>
        <w:rPr>
          <w:rFonts w:hint="eastAsia" w:ascii="Times New Roman" w:hAnsi="Times New Roman" w:eastAsia="宋体" w:cs="Times New Roman"/>
          <w:b/>
          <w:bCs/>
          <w:color w:val="auto"/>
          <w:kern w:val="44"/>
          <w:sz w:val="72"/>
          <w:szCs w:val="72"/>
          <w:lang w:val="en-US" w:eastAsia="zh-CN" w:bidi="ar-SA"/>
        </w:rPr>
      </w:pPr>
      <w:r>
        <w:rPr>
          <w:rFonts w:hint="eastAsia" w:ascii="Times New Roman" w:hAnsi="Times New Roman" w:eastAsia="宋体" w:cs="Times New Roman"/>
          <w:b/>
          <w:bCs/>
          <w:color w:val="auto"/>
          <w:kern w:val="44"/>
          <w:sz w:val="72"/>
          <w:szCs w:val="72"/>
          <w:lang w:val="en-US" w:eastAsia="zh-CN" w:bidi="ar-SA"/>
        </w:rPr>
        <w:t>文</w:t>
      </w:r>
    </w:p>
    <w:p>
      <w:pPr>
        <w:pStyle w:val="12"/>
        <w:snapToGrid w:val="0"/>
        <w:jc w:val="center"/>
        <w:rPr>
          <w:rFonts w:hint="eastAsia" w:ascii="Times New Roman" w:hAnsi="Times New Roman" w:eastAsia="宋体" w:cs="Times New Roman"/>
          <w:b/>
          <w:bCs/>
          <w:color w:val="auto"/>
          <w:kern w:val="44"/>
          <w:sz w:val="72"/>
          <w:szCs w:val="72"/>
          <w:lang w:val="en-US" w:eastAsia="zh-CN" w:bidi="ar-SA"/>
        </w:rPr>
      </w:pPr>
    </w:p>
    <w:p>
      <w:pPr>
        <w:pStyle w:val="12"/>
        <w:snapToGrid w:val="0"/>
        <w:jc w:val="center"/>
        <w:rPr>
          <w:rFonts w:hint="eastAsia" w:ascii="Times New Roman" w:hAnsi="Times New Roman" w:eastAsia="宋体" w:cs="Times New Roman"/>
          <w:b/>
          <w:bCs/>
          <w:color w:val="auto"/>
          <w:kern w:val="44"/>
          <w:sz w:val="72"/>
          <w:szCs w:val="72"/>
          <w:lang w:val="en-US" w:eastAsia="zh-CN" w:bidi="ar-SA"/>
        </w:rPr>
      </w:pPr>
      <w:r>
        <w:rPr>
          <w:rFonts w:hint="eastAsia" w:ascii="Times New Roman" w:hAnsi="Times New Roman" w:eastAsia="宋体" w:cs="Times New Roman"/>
          <w:b/>
          <w:bCs/>
          <w:color w:val="auto"/>
          <w:kern w:val="44"/>
          <w:sz w:val="72"/>
          <w:szCs w:val="72"/>
          <w:lang w:val="en-US" w:eastAsia="zh-CN" w:bidi="ar-SA"/>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3"/>
        <w:rPr>
          <w:rFonts w:ascii="Arial" w:hAnsi="Arial" w:cs="Arial"/>
          <w:sz w:val="32"/>
          <w:szCs w:val="32"/>
        </w:rPr>
      </w:pPr>
    </w:p>
    <w:p>
      <w:pPr>
        <w:pStyle w:val="5"/>
        <w:rPr>
          <w:rFonts w:ascii="Arial" w:hAnsi="Arial" w:cs="Arial"/>
          <w:sz w:val="32"/>
          <w:szCs w:val="32"/>
        </w:rPr>
      </w:pPr>
    </w:p>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（病人监护仪</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公开挂网</w:t>
      </w:r>
      <w:r>
        <w:rPr>
          <w:rFonts w:hint="eastAsia" w:ascii="Times New Roman" w:hAnsi="Times New Roman" w:eastAsia="宋体" w:cs="Times New Roman"/>
          <w:b/>
          <w:bCs/>
          <w:kern w:val="44"/>
          <w:sz w:val="32"/>
          <w:szCs w:val="32"/>
          <w:lang w:val="en-US" w:eastAsia="zh-CN" w:bidi="ar-SA"/>
        </w:rPr>
        <w:t>）</w:t>
      </w: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十二</w:t>
      </w:r>
      <w:r>
        <w:rPr>
          <w:rFonts w:hint="eastAsia" w:ascii="宋体" w:hAnsi="宋体" w:cs="宋体"/>
          <w:bCs/>
          <w:sz w:val="32"/>
          <w:szCs w:val="32"/>
        </w:rPr>
        <w:t>月</w:t>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病人监护仪</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病人监护仪</w:t>
      </w:r>
      <w:r>
        <w:rPr>
          <w:rFonts w:hint="eastAsia" w:asciiTheme="minorEastAsia" w:hAnsiTheme="minorEastAsia" w:eastAsiaTheme="minorEastAsia" w:cstheme="minorEastAsia"/>
          <w:b w:val="0"/>
          <w:bCs/>
          <w:color w:val="auto"/>
          <w:sz w:val="24"/>
          <w:szCs w:val="24"/>
          <w:lang w:val="en-US" w:eastAsia="zh-CN"/>
        </w:rPr>
        <w:t>采购项目</w:t>
      </w:r>
    </w:p>
    <w:p>
      <w:pPr>
        <w:pStyle w:val="12"/>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2"/>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院内公开挂网，最低价评分，在满足所有参数的条件下，报价最低者中标，如有多个并列最低价，则由并列最低价投标人再次报价，直至出现最低报价为止。</w:t>
      </w:r>
    </w:p>
    <w:bookmarkEnd w:id="0"/>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3"/>
        <w:ind w:firstLine="480" w:firstLineChars="200"/>
        <w:jc w:val="both"/>
        <w:rPr>
          <w:rFonts w:hint="eastAsia" w:asciiTheme="minorEastAsia" w:hAnsiTheme="minorEastAsia" w:eastAsiaTheme="minorEastAsia" w:cstheme="minorEastAsia"/>
          <w:b w:val="0"/>
          <w:bCs/>
          <w:color w:val="auto"/>
          <w:sz w:val="24"/>
          <w:szCs w:val="24"/>
          <w:lang w:val="en-US" w:eastAsia="zh-CN" w:bidi="ar-SA"/>
        </w:rPr>
      </w:pPr>
      <w:r>
        <w:rPr>
          <w:rFonts w:hint="eastAsia" w:asciiTheme="minorEastAsia" w:hAnsiTheme="minorEastAsia" w:eastAsiaTheme="minorEastAsia" w:cstheme="minorEastAsia"/>
          <w:b w:val="0"/>
          <w:bCs/>
          <w:color w:val="auto"/>
          <w:sz w:val="24"/>
          <w:szCs w:val="24"/>
          <w:lang w:val="en-US" w:eastAsia="zh-CN" w:bidi="ar-SA"/>
        </w:rPr>
        <w:t>3、投标文件的投标报价出现前后不一致的，按照下列规定修正：</w:t>
      </w:r>
    </w:p>
    <w:p>
      <w:pPr>
        <w:pStyle w:val="5"/>
        <w:keepNext w:val="0"/>
        <w:keepLines w:val="0"/>
        <w:pageBreakBefore w:val="0"/>
        <w:widowControl w:val="0"/>
        <w:kinsoku/>
        <w:wordWrap/>
        <w:overflowPunct w:val="0"/>
        <w:topLinePunct w:val="0"/>
        <w:autoSpaceDE/>
        <w:autoSpaceDN/>
        <w:bidi w:val="0"/>
        <w:adjustRightInd w:val="0"/>
        <w:snapToGrid/>
        <w:ind w:left="0" w:leftChars="0" w:firstLine="480" w:firstLineChars="200"/>
        <w:textAlignment w:val="baseline"/>
        <w:rPr>
          <w:rFonts w:hint="eastAsia" w:asciiTheme="minorEastAsia" w:hAnsiTheme="minorEastAsia" w:eastAsiaTheme="minorEastAsia" w:cstheme="minorEastAsia"/>
          <w:b w:val="0"/>
          <w:bCs/>
          <w:color w:val="auto"/>
          <w:sz w:val="24"/>
          <w:szCs w:val="24"/>
          <w:lang w:val="en-US" w:eastAsia="zh-CN" w:bidi="ar-SA"/>
        </w:rPr>
      </w:pPr>
      <w:r>
        <w:rPr>
          <w:rFonts w:hint="eastAsia" w:asciiTheme="minorEastAsia" w:hAnsiTheme="minorEastAsia" w:eastAsiaTheme="minorEastAsia" w:cstheme="minorEastAsia"/>
          <w:b w:val="0"/>
          <w:bCs/>
          <w:color w:val="auto"/>
          <w:sz w:val="24"/>
          <w:szCs w:val="24"/>
          <w:lang w:val="en-US" w:eastAsia="zh-CN" w:bidi="ar-SA"/>
        </w:rPr>
        <w:t>3.1投标文件中开标一览表内容与投标文件中相应内容不一致的，以开标一览表为准；</w:t>
      </w:r>
    </w:p>
    <w:p>
      <w:pPr>
        <w:pStyle w:val="5"/>
        <w:keepNext w:val="0"/>
        <w:keepLines w:val="0"/>
        <w:pageBreakBefore w:val="0"/>
        <w:widowControl w:val="0"/>
        <w:kinsoku/>
        <w:wordWrap/>
        <w:overflowPunct w:val="0"/>
        <w:topLinePunct w:val="0"/>
        <w:autoSpaceDE/>
        <w:autoSpaceDN/>
        <w:bidi w:val="0"/>
        <w:adjustRightInd w:val="0"/>
        <w:snapToGrid/>
        <w:ind w:left="0" w:leftChars="0" w:firstLine="480" w:firstLineChars="200"/>
        <w:textAlignment w:val="baseline"/>
        <w:rPr>
          <w:rFonts w:hint="eastAsia" w:asciiTheme="minorEastAsia" w:hAnsiTheme="minorEastAsia" w:eastAsiaTheme="minorEastAsia" w:cstheme="minorEastAsia"/>
          <w:b w:val="0"/>
          <w:bCs/>
          <w:color w:val="auto"/>
          <w:sz w:val="24"/>
          <w:szCs w:val="24"/>
          <w:lang w:val="en-US" w:eastAsia="zh-CN" w:bidi="ar-SA"/>
        </w:rPr>
      </w:pPr>
      <w:r>
        <w:rPr>
          <w:rFonts w:hint="eastAsia" w:asciiTheme="minorEastAsia" w:hAnsiTheme="minorEastAsia" w:eastAsiaTheme="minorEastAsia" w:cstheme="minorEastAsia"/>
          <w:b w:val="0"/>
          <w:bCs/>
          <w:color w:val="auto"/>
          <w:sz w:val="24"/>
          <w:szCs w:val="24"/>
          <w:lang w:val="en-US" w:eastAsia="zh-CN" w:bidi="ar-SA"/>
        </w:rPr>
        <w:t>3.2大写金额和小写金额不一致的，以大写金额为准；</w:t>
      </w:r>
    </w:p>
    <w:p>
      <w:pPr>
        <w:pStyle w:val="5"/>
        <w:keepNext w:val="0"/>
        <w:keepLines w:val="0"/>
        <w:pageBreakBefore w:val="0"/>
        <w:widowControl w:val="0"/>
        <w:kinsoku/>
        <w:wordWrap/>
        <w:overflowPunct w:val="0"/>
        <w:topLinePunct w:val="0"/>
        <w:autoSpaceDE/>
        <w:autoSpaceDN/>
        <w:bidi w:val="0"/>
        <w:adjustRightInd w:val="0"/>
        <w:snapToGrid/>
        <w:ind w:left="0" w:leftChars="0" w:firstLine="480" w:firstLineChars="200"/>
        <w:textAlignment w:val="baseline"/>
        <w:rPr>
          <w:rFonts w:hint="eastAsia" w:asciiTheme="minorEastAsia" w:hAnsiTheme="minorEastAsia" w:eastAsiaTheme="minorEastAsia" w:cstheme="minorEastAsia"/>
          <w:b w:val="0"/>
          <w:bCs/>
          <w:color w:val="auto"/>
          <w:sz w:val="24"/>
          <w:szCs w:val="24"/>
          <w:lang w:val="en-US" w:eastAsia="zh-CN" w:bidi="ar-SA"/>
        </w:rPr>
      </w:pPr>
      <w:r>
        <w:rPr>
          <w:rFonts w:hint="eastAsia" w:asciiTheme="minorEastAsia" w:hAnsiTheme="minorEastAsia" w:eastAsiaTheme="minorEastAsia" w:cstheme="minorEastAsia"/>
          <w:b w:val="0"/>
          <w:bCs/>
          <w:color w:val="auto"/>
          <w:sz w:val="24"/>
          <w:szCs w:val="24"/>
          <w:lang w:val="en-US" w:eastAsia="zh-CN" w:bidi="ar-SA"/>
        </w:rPr>
        <w:t>3.3总价金额与按单价汇总金额不一致的，以单价金额计算结果为准。</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500" w:lineRule="exact"/>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3.4投标文件报价按照前款规定的顺序修正。修正后的报价由投标人代表签字或者加盖单位章确认后产生约束力，投标人不确认的，其投标无效。</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4、对于投标文件中含义不明确、同类问题表述不一致或者有明显文字和计算错误的内容，评标委员会应当以书面形式要求投标人作出必要的澄清、说明或者补正。</w:t>
      </w:r>
    </w:p>
    <w:p>
      <w:pPr>
        <w:pStyle w:val="13"/>
        <w:rPr>
          <w:rFonts w:hint="eastAsia"/>
          <w:lang w:val="en-US" w:eastAsia="zh-CN"/>
        </w:rPr>
      </w:pPr>
    </w:p>
    <w:p>
      <w:pPr>
        <w:pStyle w:val="13"/>
        <w:jc w:val="both"/>
        <w:rPr>
          <w:rFonts w:hint="default"/>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rPr>
          <w:rFonts w:hint="eastAsia" w:ascii="宋体" w:hAnsi="宋体" w:cs="宋体"/>
          <w:b/>
          <w:bCs/>
          <w:color w:val="auto"/>
          <w:sz w:val="44"/>
          <w:szCs w:val="44"/>
          <w:lang w:val="en-US" w:eastAsia="zh-CN"/>
        </w:rPr>
      </w:pPr>
    </w:p>
    <w:p>
      <w:pPr>
        <w:pStyle w:val="5"/>
        <w:rPr>
          <w:rFonts w:hint="eastAsia" w:ascii="宋体" w:hAnsi="宋体" w:cs="宋体"/>
          <w:b/>
          <w:bCs/>
          <w:color w:val="auto"/>
          <w:sz w:val="44"/>
          <w:szCs w:val="44"/>
          <w:lang w:val="en-US" w:eastAsia="zh-CN"/>
        </w:rPr>
      </w:pPr>
    </w:p>
    <w:p>
      <w:pPr>
        <w:rPr>
          <w:rFonts w:hint="eastAsia"/>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9"/>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病人监护仪（成人）</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20</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36</w:t>
            </w:r>
          </w:p>
        </w:tc>
        <w:tc>
          <w:tcPr>
            <w:tcW w:w="2786" w:type="dxa"/>
            <w:vMerge w:val="restart"/>
            <w:tcBorders>
              <w:top w:val="single" w:color="000000" w:sz="6" w:space="0"/>
              <w:left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2</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病人监护仪（儿童）</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5</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9</w:t>
            </w:r>
          </w:p>
        </w:tc>
        <w:tc>
          <w:tcPr>
            <w:tcW w:w="2786" w:type="dxa"/>
            <w:vMerge w:val="continue"/>
            <w:tcBorders>
              <w:left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合计</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45</w:t>
            </w:r>
          </w:p>
        </w:tc>
        <w:tc>
          <w:tcPr>
            <w:tcW w:w="2786" w:type="dxa"/>
            <w:tcBorders>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技术参数：</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1：整机要求：</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1.1、通过国家III类注册认证，一体化便携监护仪，整机无风扇设计。</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1.2、≥10.1英寸彩色液晶电容触摸屏（不支持电阻屏），分辨率高达1280*800像素或更高，≥8通道波形显示，显示屏采用宽视角技术，支持170度可视范围，提供彩页证明材料。</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1.3、安全规格：ECG, TEMP, IBP, SpO2 , NIBP监测参数抗电击程度为防除颤CF型。</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1.4、监护仪清洁消毒维护支持的消毒剂≥40种，在厂家手册中清晰列举消毒剂的种类。</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2：监测参数：</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2.1、配置3/5导心电，呼吸，无创血压，血氧饱和度，脉搏和双通道体温参数监测。</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2.2、心电监护支持心率，ST段测量，心律失常分析，QT/QTc连续实时测量和对应报警功能，心电波形扫描速度支持6.25mm/s、12.5 mm/s、25 mm/s和50 mm/s</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2.3、心电算法通过AHA/MIT-BIH数据库验证，提供彩页证明材料。</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2.4、提供窗口支持心脏下壁，侧壁和前壁对应多个ST片段的同屏实时显示，提供参考片段和实时片段的对比查看。</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2.5、支持≥23种心律失常分析,包括房颤分析，支持升级提供过去24小时心电概览报告查看与打印，包括心率统计结果，心律失常统计结果，ST统计和QT/QTc统计结果，QT和QTc实时监测参数测量范围：200～800 ms。</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2.6、提供SpO2,PR和PI指数数的实时监测，适用于成人，小儿和新生儿。</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2.7、支持指套式血氧探头，IPX7防水等级，支持液体浸泡消毒和清洁。</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2.8、无创血压提供手动，自动，连续和序列4种测量模式，并提供24小时血压统计结果，满足临床应用。</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2.9、无创血压成人测量范围：收缩压25~290mmHg，舒张压10~250mmHg，平均压15~260mmHg。</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2.10、支持升级IBP、主流CO2、旁流CO2及心排量监测功能。</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2.11、支持PPV脉压变异及IBP波形叠加显示。</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2.12、支持PAWP肺动脉契压监测功能，并支持PA-D数值代替PAWP数值进行血流动力学计算。</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3：系统功能：</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3.1、具有图形化技术报警指示功能，支持所有监测参数报警限一键自动设置功能，满足医护团队快速管理患者报警需求，产品用户手册提供报警限自动设置规则。</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3.2、支持≥120小时趋势图和趋势表回顾，支持选择不同趋势组回顾，≥1000条事件回顾，每条报警事件至少能够存储32秒三道相关波形，以及报警触发时所有测量参数值，≥1000组NIBP测量结果，≥120小时（分辨率1分钟）ST模板存储与回顾，支持48小时全息波形的存储与回顾功能。</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3.3、支持监护仪历史病人数据的存储和回顾，并支持通过USB接口将历史病人数据导出到U盘。</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3.4、支持RJ45接口进行有线网络通信，和除颤监护仪、输注泵工作站一起联网通信到中心监护系统。</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3.5、提供计时器功能，界面区提供设置≥4个计时器，每个计时器支持独立设置和计时功能，计时方向包括正计时和倒计时两种选择。</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3.6、支持格拉斯哥昏迷评分（GCS）功能，支持升级MEWS（改良早期预警评分）、NEWS（英国早期预警评分）和NEWS2（英国早期预警评分2）的动态评分。</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3.7、动态趋势界面可支持统计1-24小时心律失常报警、参数超限报警信息，并对超限报警区间的波形进行高亮显示，帮助医护人员快速识别异常趋势信息。</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3.8、支持与护士站中心监护系统联网，并与呼吸机、麻醉机、输注泵工作站、除颤仪等床旁设备同屏</w:t>
      </w:r>
    </w:p>
    <w:p>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4、儿童专用监护仪配置小儿专用附件，包含三导联心电，袖带，血氧探头。（本条款为病人监护仪儿童款参数）</w:t>
      </w:r>
    </w:p>
    <w:p>
      <w:pPr>
        <w:spacing w:line="360" w:lineRule="auto"/>
        <w:ind w:firstLine="480" w:firstLineChars="200"/>
        <w:rPr>
          <w:rFonts w:hint="eastAsia" w:asciiTheme="minorEastAsia" w:hAnsiTheme="minorEastAsia" w:eastAsiaTheme="minorEastAsia" w:cstheme="minorEastAsia"/>
          <w:b w:val="0"/>
          <w:bCs/>
          <w:color w:val="FF0000"/>
          <w:kern w:val="0"/>
          <w:sz w:val="24"/>
          <w:szCs w:val="24"/>
          <w:lang w:val="en-US" w:eastAsia="zh-CN" w:bidi="ar-SA"/>
        </w:rPr>
      </w:pPr>
      <w:r>
        <w:rPr>
          <w:rFonts w:hint="eastAsia" w:asciiTheme="minorEastAsia" w:hAnsiTheme="minorEastAsia" w:eastAsiaTheme="minorEastAsia" w:cstheme="minorEastAsia"/>
          <w:b w:val="0"/>
          <w:bCs/>
          <w:color w:val="FF0000"/>
          <w:kern w:val="0"/>
          <w:sz w:val="24"/>
          <w:szCs w:val="24"/>
          <w:lang w:val="en-US" w:eastAsia="zh-CN" w:bidi="ar-SA"/>
        </w:rPr>
        <w:t>5、配备同品牌中心监护系统，系统连接床位数：≥64，中心监护系统具备连接医院信息系统，实现临床数据信息化管理需求，与我院信息化系统对接的接口费由投标人提供。</w:t>
      </w:r>
    </w:p>
    <w:p>
      <w:pPr>
        <w:pStyle w:val="2"/>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firstLine="482" w:firstLineChars="200"/>
        <w:textAlignment w:val="baseline"/>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6、在投标文件中必须提供相关佐证资料（加盖投标人公章的技术参数、技术白皮书、说明书、彩页），并在响应表中备注该条参数响应或正偏离的佐证资料所在页码。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黑体" w:hAnsi="黑体" w:eastAsia="黑体" w:cs="黑体"/>
          <w:color w:val="000000" w:themeColor="text1"/>
          <w:sz w:val="44"/>
          <w:szCs w:val="44"/>
          <w:lang w:val="en-US" w:eastAsia="zh-CN"/>
          <w14:textFill>
            <w14:solidFill>
              <w14:schemeClr w14:val="tx1"/>
            </w14:solidFill>
          </w14:textFill>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甲方（采购方）：</w:t>
      </w:r>
      <w:r>
        <w:rPr>
          <w:rFonts w:hint="eastAsia" w:ascii="宋体" w:hAnsi="宋体" w:eastAsia="宋体" w:cs="宋体"/>
          <w:color w:val="000000" w:themeColor="text1"/>
          <w:sz w:val="24"/>
          <w:szCs w:val="24"/>
          <w:lang w:val="en-US" w:eastAsia="zh-CN"/>
          <w14:textFill>
            <w14:solidFill>
              <w14:schemeClr w14:val="tx1"/>
            </w14:solidFill>
          </w14:textFill>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甲方通过</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医院公开挂网</w:t>
      </w:r>
      <w:r>
        <w:rPr>
          <w:rFonts w:hint="eastAsia" w:ascii="宋体" w:hAnsi="宋体" w:eastAsia="宋体" w:cs="宋体"/>
          <w:color w:val="000000" w:themeColor="text1"/>
          <w:sz w:val="24"/>
          <w:szCs w:val="24"/>
          <w:lang w:val="en-US" w:eastAsia="zh-CN"/>
          <w14:textFill>
            <w14:solidFill>
              <w14:schemeClr w14:val="tx1"/>
            </w14:solidFill>
          </w14:textFill>
        </w:rPr>
        <w:t>采购</w:t>
      </w:r>
      <w:r>
        <w:rPr>
          <w:rFonts w:hint="eastAsia" w:ascii="宋体" w:hAnsi="宋体" w:cs="宋体"/>
          <w:color w:val="000000" w:themeColor="text1"/>
          <w:sz w:val="24"/>
          <w:szCs w:val="24"/>
          <w:u w:val="single"/>
          <w:lang w:val="en-US" w:eastAsia="zh-CN"/>
          <w14:textFill>
            <w14:solidFill>
              <w14:schemeClr w14:val="tx1"/>
            </w14:solidFill>
          </w14:textFill>
        </w:rPr>
        <w:t>病人监护仪</w:t>
      </w:r>
      <w:r>
        <w:rPr>
          <w:rFonts w:hint="eastAsia" w:ascii="宋体" w:hAnsi="宋体" w:eastAsia="宋体" w:cs="宋体"/>
          <w:color w:val="000000" w:themeColor="text1"/>
          <w:sz w:val="24"/>
          <w:szCs w:val="24"/>
          <w:lang w:val="en-US" w:eastAsia="zh-CN"/>
          <w14:textFill>
            <w14:solidFill>
              <w14:schemeClr w14:val="tx1"/>
            </w14:solidFill>
          </w14:textFill>
        </w:rPr>
        <w:t>，乙方为成交供应商。根据《中华人民共和国民法典》《中华人民共和国政府采购法》等相关法律规定，甲乙双方在采购项目确定的基础上，就采购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s="宋体"/>
          <w:color w:val="000000" w:themeColor="text1"/>
          <w:sz w:val="24"/>
          <w:szCs w:val="24"/>
          <w:u w:val="single"/>
          <w:lang w:val="en-US" w:eastAsia="zh-CN"/>
          <w14:textFill>
            <w14:solidFill>
              <w14:schemeClr w14:val="tx1"/>
            </w14:solidFill>
          </w14:textFill>
        </w:rPr>
        <w:t>病人监护仪</w:t>
      </w:r>
      <w:r>
        <w:rPr>
          <w:rFonts w:hint="eastAsia" w:ascii="宋体" w:hAnsi="宋体" w:eastAsia="宋体" w:cs="宋体"/>
          <w:color w:val="000000" w:themeColor="text1"/>
          <w:sz w:val="24"/>
          <w:szCs w:val="24"/>
          <w:lang w:val="en-US" w:eastAsia="zh-CN"/>
          <w14:textFill>
            <w14:solidFill>
              <w14:schemeClr w14:val="tx1"/>
            </w14:solidFill>
          </w14:textFill>
        </w:rPr>
        <w:t>事宜平等、自愿、公平、诚信协商，达成一致，特订立本合同，以资共同遵守。</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病人监护仪（成人）</w:t>
            </w:r>
          </w:p>
        </w:tc>
        <w:tc>
          <w:tcPr>
            <w:tcW w:w="1220" w:type="dxa"/>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20</w:t>
            </w:r>
            <w:r>
              <w:rPr>
                <w:rFonts w:hint="eastAsia" w:ascii="宋体" w:hAnsi="宋体" w:eastAsia="宋体" w:cs="宋体"/>
                <w:color w:val="000000" w:themeColor="text1"/>
                <w:kern w:val="0"/>
                <w:sz w:val="24"/>
                <w:szCs w:val="24"/>
                <w:lang w:val="en-US" w:eastAsia="zh-CN"/>
                <w14:textFill>
                  <w14:solidFill>
                    <w14:schemeClr w14:val="tx1"/>
                  </w14:solidFill>
                </w14:textFill>
              </w:rPr>
              <w:t>台</w:t>
            </w:r>
          </w:p>
        </w:tc>
        <w:tc>
          <w:tcPr>
            <w:tcW w:w="1654"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病人监护仪（儿童）</w:t>
            </w:r>
          </w:p>
        </w:tc>
        <w:tc>
          <w:tcPr>
            <w:tcW w:w="1220" w:type="dxa"/>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p>
        </w:tc>
        <w:tc>
          <w:tcPr>
            <w:tcW w:w="176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p>
        </w:tc>
        <w:tc>
          <w:tcPr>
            <w:tcW w:w="94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5台</w:t>
            </w:r>
          </w:p>
        </w:tc>
        <w:tc>
          <w:tcPr>
            <w:tcW w:w="1654"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 本合同约定价格为固定价格，在本合同履行期间，不因市场价格波动作任何调整。</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FF0000"/>
          <w:sz w:val="24"/>
          <w:szCs w:val="24"/>
          <w:lang w:val="en-US" w:eastAsia="zh-CN"/>
        </w:rPr>
      </w:pPr>
      <w:r>
        <w:rPr>
          <w:rFonts w:hint="eastAsia" w:ascii="宋体" w:hAnsi="宋体" w:cs="宋体"/>
          <w:color w:val="FF0000"/>
          <w:sz w:val="24"/>
          <w:szCs w:val="24"/>
          <w:lang w:val="en-US" w:eastAsia="zh-CN"/>
        </w:rPr>
        <w:t>1.4 乙方免费赠送本合同设备的同品牌中心监护系统软件终身使用权及项目所需硬件设备设施给甲方，负责免费实施该系统的安装、调试，承诺该系统连接床位数：≥64台，能够连接甲方信息系统、实现临床数据信息化管理需求，且乙方自愿承担甲方使用该系统产生的全部接口费用。</w:t>
      </w:r>
    </w:p>
    <w:p>
      <w:pPr>
        <w:keepNext w:val="0"/>
        <w:keepLines w:val="0"/>
        <w:pageBreakBefore w:val="0"/>
        <w:widowControl w:val="0"/>
        <w:numPr>
          <w:ilvl w:val="0"/>
          <w:numId w:val="3"/>
        </w:numPr>
        <w:kinsoku/>
        <w:wordWrap/>
        <w:overflowPunct/>
        <w:topLinePunct w:val="0"/>
        <w:autoSpaceDE/>
        <w:autoSpaceDN/>
        <w:bidi w:val="0"/>
        <w:adjustRightInd/>
        <w:snapToGrid/>
        <w:spacing w:line="460" w:lineRule="exact"/>
        <w:ind w:left="0" w:leftChars="0" w:firstLine="482" w:firstLineChars="200"/>
        <w:jc w:val="both"/>
        <w:textAlignment w:val="auto"/>
        <w:rPr>
          <w:rFonts w:hint="default" w:ascii="宋体" w:hAnsi="宋体" w:eastAsia="宋体" w:cs="宋体"/>
          <w:b/>
          <w:bCs/>
          <w:color w:val="000000" w:themeColor="text1"/>
          <w:sz w:val="24"/>
          <w:szCs w:val="24"/>
          <w:lang w:val="en-US" w:eastAsia="zh-CN"/>
          <w14:textFill>
            <w14:solidFill>
              <w14:schemeClr w14:val="tx1"/>
            </w14:solidFill>
          </w14:textFill>
        </w:rPr>
      </w:pPr>
      <w:r>
        <w:rPr>
          <w:rFonts w:hint="default" w:ascii="宋体" w:hAnsi="宋体" w:eastAsia="宋体" w:cs="宋体"/>
          <w:b/>
          <w:bCs/>
          <w:color w:val="000000" w:themeColor="text1"/>
          <w:sz w:val="24"/>
          <w:szCs w:val="24"/>
          <w:lang w:val="en-US" w:eastAsia="zh-CN"/>
          <w14:textFill>
            <w14:solidFill>
              <w14:schemeClr w14:val="tx1"/>
            </w14:solidFill>
          </w14:textFill>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2.1 </w:t>
      </w:r>
      <w:r>
        <w:rPr>
          <w:rFonts w:hint="default" w:ascii="宋体" w:hAnsi="宋体" w:eastAsia="宋体" w:cs="宋体"/>
          <w:color w:val="000000" w:themeColor="text1"/>
          <w:sz w:val="24"/>
          <w:szCs w:val="24"/>
          <w:lang w:val="en-US" w:eastAsia="zh-CN"/>
          <w14:textFill>
            <w14:solidFill>
              <w14:schemeClr w14:val="tx1"/>
            </w14:solidFill>
          </w14:textFill>
        </w:rPr>
        <w:t>交货时间：乙方应在</w:t>
      </w:r>
      <w:r>
        <w:rPr>
          <w:rFonts w:hint="eastAsia" w:ascii="宋体" w:hAnsi="宋体" w:eastAsia="宋体" w:cs="宋体"/>
          <w:color w:val="000000" w:themeColor="text1"/>
          <w:sz w:val="24"/>
          <w:szCs w:val="24"/>
          <w:lang w:val="en-US" w:eastAsia="zh-CN"/>
          <w14:textFill>
            <w14:solidFill>
              <w14:schemeClr w14:val="tx1"/>
            </w14:solidFill>
          </w14:textFill>
        </w:rPr>
        <w:t>接到甲方通知15个自然日内</w:t>
      </w:r>
      <w:r>
        <w:rPr>
          <w:rFonts w:hint="default" w:ascii="宋体" w:hAnsi="宋体" w:eastAsia="宋体" w:cs="宋体"/>
          <w:color w:val="000000" w:themeColor="text1"/>
          <w:sz w:val="24"/>
          <w:szCs w:val="24"/>
          <w:lang w:val="en-US" w:eastAsia="zh-CN"/>
          <w14:textFill>
            <w14:solidFill>
              <w14:schemeClr w14:val="tx1"/>
            </w14:solidFill>
          </w14:textFill>
        </w:rPr>
        <w:t>将设备运至</w:t>
      </w:r>
      <w:r>
        <w:rPr>
          <w:rFonts w:hint="eastAsia" w:ascii="宋体" w:hAnsi="宋体" w:eastAsia="宋体" w:cs="宋体"/>
          <w:color w:val="000000" w:themeColor="text1"/>
          <w:sz w:val="24"/>
          <w:szCs w:val="24"/>
          <w:lang w:val="en-US" w:eastAsia="zh-CN"/>
          <w14:textFill>
            <w14:solidFill>
              <w14:schemeClr w14:val="tx1"/>
            </w14:solidFill>
          </w14:textFill>
        </w:rPr>
        <w:t>甲方指定交货</w:t>
      </w:r>
      <w:r>
        <w:rPr>
          <w:rFonts w:hint="default" w:ascii="宋体" w:hAnsi="宋体" w:eastAsia="宋体" w:cs="宋体"/>
          <w:color w:val="000000" w:themeColor="text1"/>
          <w:sz w:val="24"/>
          <w:szCs w:val="24"/>
          <w:lang w:val="en-US" w:eastAsia="zh-CN"/>
          <w14:textFill>
            <w14:solidFill>
              <w14:schemeClr w14:val="tx1"/>
            </w14:solidFill>
          </w14:textFill>
        </w:rPr>
        <w:t>地点，并</w:t>
      </w:r>
      <w:r>
        <w:rPr>
          <w:rFonts w:hint="eastAsia" w:ascii="宋体" w:hAnsi="宋体" w:eastAsia="宋体" w:cs="宋体"/>
          <w:color w:val="000000" w:themeColor="text1"/>
          <w:sz w:val="24"/>
          <w:szCs w:val="24"/>
          <w:lang w:val="en-US" w:eastAsia="zh-CN"/>
          <w14:textFill>
            <w14:solidFill>
              <w14:schemeClr w14:val="tx1"/>
            </w14:solidFill>
          </w14:textFill>
        </w:rPr>
        <w:t>在到货后1日内</w:t>
      </w:r>
      <w:r>
        <w:rPr>
          <w:rFonts w:hint="default" w:ascii="宋体" w:hAnsi="宋体" w:eastAsia="宋体" w:cs="宋体"/>
          <w:color w:val="000000" w:themeColor="text1"/>
          <w:sz w:val="24"/>
          <w:szCs w:val="24"/>
          <w:lang w:val="en-US" w:eastAsia="zh-CN"/>
          <w14:textFill>
            <w14:solidFill>
              <w14:schemeClr w14:val="tx1"/>
            </w14:solidFill>
          </w14:textFill>
        </w:rPr>
        <w:t>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.2 甲方指定</w:t>
      </w:r>
      <w:r>
        <w:rPr>
          <w:rFonts w:hint="default" w:ascii="宋体" w:hAnsi="宋体" w:eastAsia="宋体" w:cs="宋体"/>
          <w:color w:val="000000" w:themeColor="text1"/>
          <w:sz w:val="24"/>
          <w:szCs w:val="24"/>
          <w:lang w:val="en-US" w:eastAsia="zh-CN"/>
          <w14:textFill>
            <w14:solidFill>
              <w14:schemeClr w14:val="tx1"/>
            </w14:solidFill>
          </w14:textFill>
        </w:rPr>
        <w:t>交货地点：娄底市中心医院</w:t>
      </w:r>
      <w:r>
        <w:rPr>
          <w:rFonts w:hint="eastAsia" w:ascii="宋体" w:hAnsi="宋体" w:eastAsia="宋体" w:cs="宋体"/>
          <w:color w:val="000000" w:themeColor="text1"/>
          <w:sz w:val="24"/>
          <w:szCs w:val="24"/>
          <w:lang w:val="en-US" w:eastAsia="zh-CN"/>
          <w14:textFill>
            <w14:solidFill>
              <w14:schemeClr w14:val="tx1"/>
            </w14:solidFill>
          </w14:textFill>
        </w:rPr>
        <w:t>设备科</w:t>
      </w:r>
      <w:r>
        <w:rPr>
          <w:rFonts w:hint="default" w:ascii="宋体" w:hAnsi="宋体" w:eastAsia="宋体" w:cs="宋体"/>
          <w:color w:val="000000" w:themeColor="text1"/>
          <w:sz w:val="24"/>
          <w:szCs w:val="24"/>
          <w:lang w:val="en-US" w:eastAsia="zh-CN"/>
          <w14:textFill>
            <w14:solidFill>
              <w14:schemeClr w14:val="tx1"/>
            </w14:solidFill>
          </w14:textFill>
        </w:rPr>
        <w:t>（湖南省娄底市</w:t>
      </w:r>
      <w:r>
        <w:rPr>
          <w:rFonts w:hint="eastAsia" w:ascii="宋体" w:hAnsi="宋体" w:eastAsia="宋体" w:cs="宋体"/>
          <w:color w:val="000000" w:themeColor="text1"/>
          <w:sz w:val="24"/>
          <w:szCs w:val="24"/>
          <w:lang w:val="en-US" w:eastAsia="zh-CN"/>
          <w14:textFill>
            <w14:solidFill>
              <w14:schemeClr w14:val="tx1"/>
            </w14:solidFill>
          </w14:textFill>
        </w:rPr>
        <w:t>娄星区</w:t>
      </w:r>
      <w:r>
        <w:rPr>
          <w:rFonts w:hint="default" w:ascii="宋体" w:hAnsi="宋体" w:eastAsia="宋体" w:cs="宋体"/>
          <w:color w:val="000000" w:themeColor="text1"/>
          <w:sz w:val="24"/>
          <w:szCs w:val="24"/>
          <w:lang w:val="en-US" w:eastAsia="zh-CN"/>
          <w14:textFill>
            <w14:solidFill>
              <w14:schemeClr w14:val="tx1"/>
            </w14:solidFill>
          </w14:textFill>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default"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运输及装卸：由乙方自备交通运输工具将设备运至合同约定地点，并负责设备装卸</w:t>
      </w:r>
      <w:r>
        <w:rPr>
          <w:rFonts w:hint="eastAsia" w:ascii="宋体" w:hAnsi="宋体" w:eastAsia="宋体" w:cs="宋体"/>
          <w:color w:val="000000" w:themeColor="text1"/>
          <w:sz w:val="24"/>
          <w:szCs w:val="24"/>
          <w:lang w:val="en-US" w:eastAsia="zh-CN"/>
          <w14:textFill>
            <w14:solidFill>
              <w14:schemeClr w14:val="tx1"/>
            </w14:solidFill>
          </w14:textFill>
        </w:rPr>
        <w:t>的人工及费用</w:t>
      </w:r>
      <w:r>
        <w:rPr>
          <w:rFonts w:hint="default"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3.1 质量标准：乙方提供设备的质量、安装应符合或优于国家标准；如响应文件中的技术参数和质量标准高于国家标准，则设备的技术参数和质量标准以响应文件为准。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到货验收：乙方将设备运至指定交货地点后，应通知甲方，并向甲方提供厂家标准资料文件（进口设备需提供真实有效的海关报关单，其他设备需提供产品合格证）、纸质厂家工程师维修手册和原厂售后质保承诺书。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3.2.3 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4.2 甲方委派</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杨娟  </w:t>
      </w:r>
      <w:r>
        <w:rPr>
          <w:rFonts w:hint="eastAsia" w:ascii="宋体" w:hAnsi="宋体" w:eastAsia="宋体" w:cs="宋体"/>
          <w:color w:val="000000" w:themeColor="text1"/>
          <w:sz w:val="24"/>
          <w:szCs w:val="24"/>
          <w:lang w:val="en-US" w:eastAsia="zh-CN"/>
          <w14:textFill>
            <w14:solidFill>
              <w14:schemeClr w14:val="tx1"/>
            </w14:solidFill>
          </w14:textFill>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4.4 乙方在安装、调试过程中应加强操作人员的安全教育，杜绝安全事故的发生。 </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.5 甲乙双方同意，与本合同有关的任何文书，应以书面方式送达本合同约定的联系方式。书面形式包括手机短信、微信、书面函件、电子邮件等形式。</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4.6双方确认的文书（包括未来可能发生的诉讼或仲裁活动中法院或仲裁机构的送达法律文书）送达地址：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4.6.1甲方的文书送达地址：</w:t>
      </w:r>
      <w:r>
        <w:rPr>
          <w:rFonts w:hint="eastAsia" w:ascii="宋体" w:hAnsi="宋体" w:eastAsia="宋体" w:cs="宋体"/>
          <w:color w:val="000000" w:themeColor="text1"/>
          <w:sz w:val="24"/>
          <w:szCs w:val="24"/>
          <w:u w:val="single"/>
          <w:lang w:val="en-US" w:eastAsia="zh-CN"/>
          <w14:textFill>
            <w14:solidFill>
              <w14:schemeClr w14:val="tx1"/>
            </w14:solidFill>
          </w14:textFill>
        </w:rPr>
        <w:t>湖南省娄底市娄星区长青中街51号娄底市中心医院</w:t>
      </w:r>
      <w:r>
        <w:rPr>
          <w:rFonts w:hint="eastAsia" w:ascii="宋体" w:hAnsi="宋体" w:eastAsia="宋体" w:cs="宋体"/>
          <w:color w:val="000000" w:themeColor="text1"/>
          <w:sz w:val="24"/>
          <w:szCs w:val="24"/>
          <w:lang w:val="en-US" w:eastAsia="zh-CN"/>
          <w14:textFill>
            <w14:solidFill>
              <w14:schemeClr w14:val="tx1"/>
            </w14:solidFill>
          </w14:textFill>
        </w:rPr>
        <w:t>；收件人：</w:t>
      </w:r>
      <w:r>
        <w:rPr>
          <w:rFonts w:hint="eastAsia" w:ascii="宋体" w:hAnsi="宋体" w:eastAsia="宋体" w:cs="宋体"/>
          <w:color w:val="000000" w:themeColor="text1"/>
          <w:sz w:val="24"/>
          <w:szCs w:val="24"/>
          <w:u w:val="single"/>
          <w:lang w:val="en-US" w:eastAsia="zh-CN"/>
          <w14:textFill>
            <w14:solidFill>
              <w14:schemeClr w14:val="tx1"/>
            </w14:solidFill>
          </w14:textFill>
        </w:rPr>
        <w:t>朱振宇</w:t>
      </w:r>
      <w:r>
        <w:rPr>
          <w:rFonts w:hint="eastAsia" w:ascii="宋体" w:hAnsi="宋体" w:eastAsia="宋体" w:cs="宋体"/>
          <w:color w:val="000000" w:themeColor="text1"/>
          <w:sz w:val="24"/>
          <w:szCs w:val="24"/>
          <w:lang w:val="en-US" w:eastAsia="zh-CN"/>
          <w14:textFill>
            <w14:solidFill>
              <w14:schemeClr w14:val="tx1"/>
            </w14:solidFill>
          </w14:textFill>
        </w:rPr>
        <w:t>，联系电话：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15673845559 </w:t>
      </w:r>
      <w:r>
        <w:rPr>
          <w:rFonts w:hint="eastAsia"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4.6.2 乙方的文书送达地址</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；联系人：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联系电话：</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none"/>
          <w:lang w:val="en-US" w:eastAsia="zh-CN"/>
          <w14:textFill>
            <w14:solidFill>
              <w14:schemeClr w14:val="tx1"/>
            </w14:solidFill>
          </w14:textFill>
        </w:rPr>
        <w:t xml:space="preserve">。 </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4.7上述通知应被视为在下列时间送达：以快递或专人发送的，在收件人签收之日或拒收之日；以挂号邮件发出的，在发出之日起7个工作日；以电子邮件发出的，在电子邮件进入收件方电子邮箱服务器之日。</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4.8以上地址和联系方式，任何一方发生变更应在变更之日起三日内通知对方。如未通知，一方按原地址送达的书面资料被退回的，退回之日视为送达之日。任何一方按照确认地址送到另一方的书面资料被拒绝签收导致邮件被退回的，退回之日视为送达之日。</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5.1 本合同设备质保期为</w:t>
      </w:r>
      <w:r>
        <w:rPr>
          <w:rFonts w:hint="eastAsia" w:ascii="宋体" w:hAnsi="宋体" w:eastAsia="宋体" w:cs="宋体"/>
          <w:color w:val="000000" w:themeColor="text1"/>
          <w:sz w:val="24"/>
          <w:szCs w:val="24"/>
          <w:u w:val="single"/>
          <w:lang w:val="en-US" w:eastAsia="zh-CN"/>
          <w14:textFill>
            <w14:solidFill>
              <w14:schemeClr w14:val="tx1"/>
            </w14:solidFill>
          </w14:textFill>
        </w:rPr>
        <w:t>3</w:t>
      </w:r>
      <w:r>
        <w:rPr>
          <w:rFonts w:hint="eastAsia" w:ascii="宋体" w:hAnsi="宋体" w:eastAsia="宋体" w:cs="宋体"/>
          <w:color w:val="000000" w:themeColor="text1"/>
          <w:sz w:val="24"/>
          <w:szCs w:val="24"/>
          <w:lang w:val="en-US" w:eastAsia="zh-CN"/>
          <w14:textFill>
            <w14:solidFill>
              <w14:schemeClr w14:val="tx1"/>
            </w14:solidFill>
          </w14:textFill>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5.2 </w:t>
      </w:r>
      <w:r>
        <w:rPr>
          <w:rFonts w:hint="eastAsia" w:ascii="宋体" w:hAnsi="宋体" w:eastAsia="宋体" w:cs="宋体"/>
          <w:color w:val="000000" w:themeColor="text1"/>
          <w:sz w:val="24"/>
          <w14:textFill>
            <w14:solidFill>
              <w14:schemeClr w14:val="tx1"/>
            </w14:solidFill>
          </w14:textFill>
        </w:rPr>
        <w:t>乙方在质保期内免费提供维修、更换、保养、咨询等服务。</w:t>
      </w:r>
      <w:r>
        <w:rPr>
          <w:rFonts w:hint="eastAsia" w:ascii="宋体" w:hAnsi="宋体" w:eastAsia="宋体" w:cs="宋体"/>
          <w:color w:val="000000" w:themeColor="text1"/>
          <w:sz w:val="24"/>
          <w:szCs w:val="24"/>
          <w:lang w:val="en-US" w:eastAsia="zh-CN"/>
          <w14:textFill>
            <w14:solidFill>
              <w14:schemeClr w14:val="tx1"/>
            </w14:solidFill>
          </w14:textFill>
        </w:rPr>
        <w:t>如设备在</w:t>
      </w:r>
      <w:r>
        <w:rPr>
          <w:rFonts w:hint="eastAsia" w:ascii="宋体" w:hAnsi="宋体" w:eastAsia="宋体" w:cs="宋体"/>
          <w:color w:val="000000" w:themeColor="text1"/>
          <w:sz w:val="24"/>
          <w14:textFill>
            <w14:solidFill>
              <w14:schemeClr w14:val="tx1"/>
            </w14:solidFill>
          </w14:textFill>
        </w:rPr>
        <w:t>质</w:t>
      </w:r>
      <w:r>
        <w:rPr>
          <w:rFonts w:hint="eastAsia" w:ascii="宋体" w:hAnsi="宋体" w:eastAsia="宋体" w:cs="宋体"/>
          <w:color w:val="000000" w:themeColor="text1"/>
          <w:sz w:val="24"/>
          <w:szCs w:val="24"/>
          <w:lang w:val="en-US" w:eastAsia="zh-CN"/>
          <w14:textFill>
            <w14:solidFill>
              <w14:schemeClr w14:val="tx1"/>
            </w14:solidFill>
          </w14:textFill>
        </w:rPr>
        <w:t>保期内出现质量问题，乙方应在接到甲方通知（包括电话通知）后24小时内响应，响应后4小时上门服务，相关费用由乙方承担。如乙方不及时履行保修义务，甲方有权委托第三方进行维修，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479" w:leftChars="228" w:firstLine="0" w:firstLineChars="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5.3 质保期内，乙方每年至少对设备进行一次巡检并向甲方提交巡检记录。</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5.4 质保期届满后，如设备出现问题，乙方应在接到甲方通知（包括电话通知）后24小时内响应，响应后4小时上门服务，相关费用由甲方承担。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val="0"/>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 xml:space="preserve">5 </w:t>
      </w:r>
      <w:r>
        <w:rPr>
          <w:rFonts w:hint="eastAsia" w:ascii="宋体" w:hAnsi="宋体" w:eastAsia="宋体" w:cs="宋体"/>
          <w:color w:val="000000" w:themeColor="text1"/>
          <w:sz w:val="24"/>
          <w:szCs w:val="24"/>
          <w14:textFill>
            <w14:solidFill>
              <w14:schemeClr w14:val="tx1"/>
            </w14:solidFill>
          </w14:textFill>
        </w:rPr>
        <w:t>乙方须指派</w:t>
      </w:r>
      <w:r>
        <w:rPr>
          <w:rFonts w:hint="eastAsia" w:ascii="宋体" w:hAnsi="宋体" w:eastAsia="宋体" w:cs="宋体"/>
          <w:color w:val="000000" w:themeColor="text1"/>
          <w:sz w:val="24"/>
          <w:szCs w:val="24"/>
          <w:u w:val="none"/>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000000" w:themeColor="text1"/>
          <w:sz w:val="24"/>
          <w:szCs w:val="24"/>
          <w:u w:val="single"/>
          <w:lang w:val="en-US" w:eastAsia="zh-CN"/>
          <w14:textFill>
            <w14:solidFill>
              <w14:schemeClr w14:val="tx1"/>
            </w14:solidFill>
          </w14:textFill>
        </w:rPr>
        <w:t>3</w:t>
      </w:r>
      <w:r>
        <w:rPr>
          <w:rFonts w:hint="eastAsia" w:ascii="宋体" w:hAnsi="宋体" w:eastAsia="宋体" w:cs="宋体"/>
          <w:color w:val="000000" w:themeColor="text1"/>
          <w:sz w:val="24"/>
          <w:szCs w:val="24"/>
          <w:lang w:val="en-US" w:eastAsia="zh-CN"/>
          <w14:textFill>
            <w14:solidFill>
              <w14:schemeClr w14:val="tx1"/>
            </w14:solidFill>
          </w14:textFill>
        </w:rPr>
        <w:t>年的10个工作日内，向乙方免息支付结算总价款的10%。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6.2 乙方应在甲方首次付款前，向甲方提供以自己名义开具的与结算总价款对应的增值税普通发票，如因乙方未及时提供发票，甲方有权顺延付款期限。</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开户名：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开户银行：</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olor w:val="000000" w:themeColor="text1"/>
          <w:sz w:val="24"/>
          <w:szCs w:val="24"/>
          <w:u w:val="non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color w:val="000000" w:themeColor="text1"/>
          <w:sz w:val="28"/>
          <w:szCs w:val="28"/>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账号：</w:t>
      </w:r>
      <w:r>
        <w:rPr>
          <w:rFonts w:hint="eastAsia" w:ascii="宋体" w:hAnsi="宋体"/>
          <w:color w:val="000000" w:themeColor="text1"/>
          <w:sz w:val="28"/>
          <w:szCs w:val="28"/>
          <w:u w:val="none"/>
          <w:lang w:val="en-US" w:eastAsia="zh-CN"/>
          <w14:textFill>
            <w14:solidFill>
              <w14:schemeClr w14:val="tx1"/>
            </w14:solidFill>
          </w14:textFill>
        </w:rPr>
        <w:t xml:space="preserve"> </w:t>
      </w:r>
      <w:r>
        <w:rPr>
          <w:rFonts w:hint="eastAsia" w:ascii="宋体" w:hAnsi="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olor w:val="000000" w:themeColor="text1"/>
          <w:sz w:val="28"/>
          <w:szCs w:val="28"/>
          <w:u w:val="non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乙方履行本合同过程中发生事故，包括但不限于在运输、装卸、安装及调试过程中发生事故，给甲方、乙方或第三方人身、财产造成的所有损失，均由乙方负责处理和承担全部法律责任、经济赔偿责任。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 乙方出现以下违约情形之一的，甲方有权拒绝支付任何价款并解除合同</w:t>
      </w:r>
      <w:r>
        <w:rPr>
          <w:rFonts w:hint="eastAsia" w:ascii="宋体" w:hAnsi="宋体" w:eastAsia="宋体" w:cs="宋体"/>
          <w:color w:val="000000" w:themeColor="text1"/>
          <w:sz w:val="24"/>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8.2.1 乙方逾期</w:t>
      </w:r>
      <w:r>
        <w:rPr>
          <w:rFonts w:hint="eastAsia" w:ascii="宋体" w:hAnsi="宋体" w:eastAsia="宋体" w:cs="宋体"/>
          <w:color w:val="000000" w:themeColor="text1"/>
          <w:sz w:val="24"/>
          <w:szCs w:val="24"/>
          <w:u w:val="single"/>
          <w:lang w:val="en-US" w:eastAsia="zh-CN"/>
          <w14:textFill>
            <w14:solidFill>
              <w14:schemeClr w14:val="tx1"/>
            </w14:solidFill>
          </w14:textFill>
        </w:rPr>
        <w:t>30</w:t>
      </w:r>
      <w:r>
        <w:rPr>
          <w:rFonts w:hint="eastAsia" w:ascii="宋体" w:hAnsi="宋体" w:eastAsia="宋体" w:cs="宋体"/>
          <w:color w:val="000000" w:themeColor="text1"/>
          <w:sz w:val="24"/>
          <w:szCs w:val="24"/>
          <w:lang w:val="en-US" w:eastAsia="zh-CN"/>
          <w14:textFill>
            <w14:solidFill>
              <w14:schemeClr w14:val="tx1"/>
            </w14:solidFill>
          </w14:textFill>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8.2.2 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8.2.3 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8.2.4 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如双方在本合同履行中发生争议，双方应先协商解决，协商解决不成的，任何一方可向甲方所在地有管辖权的人民法院提起诉讼解决。</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default"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10.3 本合同一式伍份，甲方执肆份、乙方执壹份，自双方签字并盖章之日起生效。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甲方（盖章）：</w:t>
      </w:r>
      <w:r>
        <w:rPr>
          <w:rFonts w:hint="eastAsia" w:ascii="宋体" w:hAnsi="宋体" w:eastAsia="宋体" w:cs="宋体"/>
          <w:color w:val="000000" w:themeColor="text1"/>
          <w:sz w:val="24"/>
          <w:szCs w:val="24"/>
          <w:lang w:val="en-US" w:eastAsia="zh-CN"/>
          <w14:textFill>
            <w14:solidFill>
              <w14:schemeClr w14:val="tx1"/>
            </w14:solidFill>
          </w14:textFill>
        </w:rPr>
        <w:t>娄底市中心医院</w:t>
      </w:r>
      <w:r>
        <w:rPr>
          <w:rFonts w:hint="default"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乙方（盖章）</w:t>
      </w:r>
      <w:r>
        <w:rPr>
          <w:rFonts w:hint="eastAsia"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 xml:space="preserve">法定代表人（签字）：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或</w:t>
      </w:r>
      <w:r>
        <w:rPr>
          <w:rFonts w:hint="default" w:ascii="宋体" w:hAnsi="宋体" w:eastAsia="宋体" w:cs="宋体"/>
          <w:color w:val="000000" w:themeColor="text1"/>
          <w:sz w:val="24"/>
          <w:szCs w:val="24"/>
          <w:lang w:val="en-US" w:eastAsia="zh-CN"/>
          <w14:textFill>
            <w14:solidFill>
              <w14:schemeClr w14:val="tx1"/>
            </w14:solidFill>
          </w14:textFill>
        </w:rPr>
        <w:t xml:space="preserve">委托代理人（签字）：        </w:t>
      </w:r>
      <w:r>
        <w:rPr>
          <w:rFonts w:hint="eastAsia" w:ascii="宋体" w:hAnsi="宋体" w:eastAsia="宋体" w:cs="宋体"/>
          <w:color w:val="000000" w:themeColor="text1"/>
          <w:sz w:val="24"/>
          <w:szCs w:val="24"/>
          <w:lang w:val="en-US" w:eastAsia="zh-CN"/>
          <w14:textFill>
            <w14:solidFill>
              <w14:schemeClr w14:val="tx1"/>
            </w14:solidFill>
          </w14:textFill>
        </w:rPr>
        <w:t xml:space="preserve">      或</w:t>
      </w:r>
      <w:r>
        <w:rPr>
          <w:rFonts w:hint="default" w:ascii="宋体" w:hAnsi="宋体" w:eastAsia="宋体" w:cs="宋体"/>
          <w:color w:val="000000" w:themeColor="text1"/>
          <w:sz w:val="24"/>
          <w:szCs w:val="24"/>
          <w:lang w:val="en-US" w:eastAsia="zh-CN"/>
          <w14:textFill>
            <w14:solidFill>
              <w14:schemeClr w14:val="tx1"/>
            </w14:solidFill>
          </w14:textFill>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合同签订地</w:t>
      </w:r>
      <w:r>
        <w:rPr>
          <w:rFonts w:hint="eastAsia" w:ascii="宋体" w:hAnsi="宋体" w:eastAsia="宋体" w:cs="宋体"/>
          <w:color w:val="000000" w:themeColor="text1"/>
          <w:sz w:val="24"/>
          <w:szCs w:val="24"/>
          <w:lang w:val="en-US" w:eastAsia="zh-CN"/>
          <w14:textFill>
            <w14:solidFill>
              <w14:schemeClr w14:val="tx1"/>
            </w14:solidFill>
          </w14:textFill>
        </w:rPr>
        <w:t>履行地</w:t>
      </w:r>
      <w:r>
        <w:rPr>
          <w:rFonts w:hint="default" w:ascii="宋体" w:hAnsi="宋体" w:eastAsia="宋体" w:cs="宋体"/>
          <w:color w:val="000000" w:themeColor="text1"/>
          <w:sz w:val="24"/>
          <w:szCs w:val="24"/>
          <w:lang w:val="en-US" w:eastAsia="zh-CN"/>
          <w14:textFill>
            <w14:solidFill>
              <w14:schemeClr w14:val="tx1"/>
            </w14:solidFill>
          </w14:textFill>
        </w:rPr>
        <w:t xml:space="preserve">：娄底市娄星区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签订时间：</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日</w:t>
      </w:r>
    </w:p>
    <w:p>
      <w:pPr>
        <w:pStyle w:val="14"/>
        <w:widowControl w:val="0"/>
        <w:numPr>
          <w:ilvl w:val="0"/>
          <w:numId w:val="0"/>
        </w:numPr>
        <w:jc w:val="both"/>
        <w:rPr>
          <w:color w:val="auto"/>
          <w:sz w:val="28"/>
          <w:szCs w:val="28"/>
        </w:rPr>
      </w:pPr>
    </w:p>
    <w:p>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的法定代表人（单位负责人），现授权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w:t>
      </w:r>
      <w:r>
        <w:rPr>
          <w:rFonts w:hint="eastAsia" w:ascii="宋体" w:hAnsi="宋体" w:cs="宋体"/>
          <w:color w:val="auto"/>
          <w:kern w:val="0"/>
          <w:sz w:val="24"/>
        </w:rPr>
        <w:t>（单位负责人）</w:t>
      </w:r>
      <w:bookmarkStart w:id="4" w:name="_GoBack"/>
      <w:bookmarkEnd w:id="4"/>
      <w:r>
        <w:rPr>
          <w:rFonts w:hint="eastAsia" w:ascii="宋体" w:hAnsi="宋体" w:cs="宋体"/>
          <w:color w:val="auto"/>
          <w:sz w:val="24"/>
        </w:rPr>
        <w:t>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pPr>
        <w:pStyle w:val="15"/>
        <w:rPr>
          <w:color w:val="auto"/>
        </w:rPr>
      </w:pPr>
    </w:p>
    <w:p>
      <w:pPr>
        <w:pStyle w:val="14"/>
        <w:rPr>
          <w:rFonts w:hint="eastAsia"/>
          <w:lang w:eastAsia="zh-CN"/>
        </w:rPr>
      </w:pPr>
    </w:p>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方正舒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F22833F1"/>
    <w:multiLevelType w:val="singleLevel"/>
    <w:tmpl w:val="F22833F1"/>
    <w:lvl w:ilvl="0" w:tentative="0">
      <w:start w:val="1"/>
      <w:numFmt w:val="decimal"/>
      <w:suff w:val="nothing"/>
      <w:lvlText w:val="%1、"/>
      <w:lvlJc w:val="left"/>
    </w:lvl>
  </w:abstractNum>
  <w:abstractNum w:abstractNumId="2">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4653F41"/>
    <w:rsid w:val="06E91EC4"/>
    <w:rsid w:val="09A130A0"/>
    <w:rsid w:val="0A3F4F3C"/>
    <w:rsid w:val="0E331420"/>
    <w:rsid w:val="0EDD1643"/>
    <w:rsid w:val="10914EF9"/>
    <w:rsid w:val="12080B62"/>
    <w:rsid w:val="12994AC5"/>
    <w:rsid w:val="129F447F"/>
    <w:rsid w:val="15060AC8"/>
    <w:rsid w:val="15675A4C"/>
    <w:rsid w:val="1A1316B3"/>
    <w:rsid w:val="1ABE2043"/>
    <w:rsid w:val="1AF56B46"/>
    <w:rsid w:val="1BC75749"/>
    <w:rsid w:val="1F334F58"/>
    <w:rsid w:val="1F796B24"/>
    <w:rsid w:val="1FE73549"/>
    <w:rsid w:val="2038045E"/>
    <w:rsid w:val="20B41DA7"/>
    <w:rsid w:val="2326721B"/>
    <w:rsid w:val="28E81B29"/>
    <w:rsid w:val="298E7257"/>
    <w:rsid w:val="29B45A41"/>
    <w:rsid w:val="2BA34860"/>
    <w:rsid w:val="2C7642D0"/>
    <w:rsid w:val="2DD77C64"/>
    <w:rsid w:val="2DDA1E78"/>
    <w:rsid w:val="2EAC037F"/>
    <w:rsid w:val="2EB67A5C"/>
    <w:rsid w:val="302741D2"/>
    <w:rsid w:val="308B184D"/>
    <w:rsid w:val="31C35264"/>
    <w:rsid w:val="340F06E9"/>
    <w:rsid w:val="372F7378"/>
    <w:rsid w:val="375140B6"/>
    <w:rsid w:val="397348CD"/>
    <w:rsid w:val="3B3B544D"/>
    <w:rsid w:val="3B654F2B"/>
    <w:rsid w:val="3BB72BAE"/>
    <w:rsid w:val="3D5E17FF"/>
    <w:rsid w:val="3E1F0DA4"/>
    <w:rsid w:val="3E584E51"/>
    <w:rsid w:val="429A4992"/>
    <w:rsid w:val="435B161D"/>
    <w:rsid w:val="43B25DAC"/>
    <w:rsid w:val="45D569C3"/>
    <w:rsid w:val="479B7598"/>
    <w:rsid w:val="4B7F39F4"/>
    <w:rsid w:val="4BAE646F"/>
    <w:rsid w:val="4CAC1559"/>
    <w:rsid w:val="4DCD6AB3"/>
    <w:rsid w:val="50540C20"/>
    <w:rsid w:val="51AC28BD"/>
    <w:rsid w:val="611B6B1B"/>
    <w:rsid w:val="627F34E8"/>
    <w:rsid w:val="64133D6A"/>
    <w:rsid w:val="678E4F5D"/>
    <w:rsid w:val="680E122C"/>
    <w:rsid w:val="6B476A09"/>
    <w:rsid w:val="6DE375E4"/>
    <w:rsid w:val="6E8E5287"/>
    <w:rsid w:val="6FBE332C"/>
    <w:rsid w:val="71584067"/>
    <w:rsid w:val="74566F5C"/>
    <w:rsid w:val="750117A8"/>
    <w:rsid w:val="77423DFF"/>
    <w:rsid w:val="7B0620DE"/>
    <w:rsid w:val="7BBF44BB"/>
    <w:rsid w:val="7BF15CE4"/>
    <w:rsid w:val="7C3A27E5"/>
    <w:rsid w:val="7D972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next w:val="5"/>
    <w:qFormat/>
    <w:uiPriority w:val="99"/>
    <w:pPr>
      <w:spacing w:line="400" w:lineRule="exact"/>
      <w:ind w:left="630"/>
    </w:pPr>
    <w:rPr>
      <w:rFonts w:ascii="楷体_GB2312"/>
      <w:sz w:val="30"/>
      <w:szCs w:val="30"/>
    </w:rPr>
  </w:style>
  <w:style w:type="paragraph" w:styleId="5">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customStyle="1" w:styleId="1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5"/>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7686</Words>
  <Characters>8040</Characters>
  <Lines>0</Lines>
  <Paragraphs>0</Paragraphs>
  <TotalTime>0</TotalTime>
  <ScaleCrop>false</ScaleCrop>
  <LinksUpToDate>false</LinksUpToDate>
  <CharactersWithSpaces>8973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2023-12-08T00:41:26Z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3505A2AB25E048A4A9B0E6A6741CA1BA_11</vt:lpwstr>
  </property>
</Properties>
</file>