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napToGrid w:val="0"/>
        <w:jc w:val="center"/>
        <w:rPr>
          <w:rFonts w:ascii="Arial" w:hAnsi="Arial" w:eastAsia="方正小标宋简体" w:cs="Arial"/>
          <w:color w:val="auto"/>
          <w:sz w:val="72"/>
          <w:szCs w:val="72"/>
        </w:rPr>
      </w:pPr>
      <w:bookmarkStart w:id="0" w:name="_Toc16523570"/>
    </w:p>
    <w:p>
      <w:pPr>
        <w:pStyle w:val="12"/>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（超低温冷冻箱等设备</w:t>
      </w:r>
      <w:r>
        <w:rPr>
          <w:rFonts w:hint="eastAsia" w:ascii="Times New Roman" w:hAnsi="Times New Roman" w:eastAsia="宋体" w:cs="Times New Roman"/>
          <w:b/>
          <w:bCs/>
          <w:kern w:val="44"/>
          <w:sz w:val="32"/>
          <w:szCs w:val="32"/>
          <w:lang w:val="en-US" w:eastAsia="zh-CN" w:bidi="ar-SA"/>
        </w:rPr>
        <w:t>院内</w:t>
      </w:r>
      <w:r>
        <w:rPr>
          <w:rFonts w:hint="eastAsia" w:cs="Times New Roman"/>
          <w:b/>
          <w:bCs/>
          <w:kern w:val="44"/>
          <w:sz w:val="32"/>
          <w:szCs w:val="32"/>
          <w:lang w:val="en-US" w:eastAsia="zh-CN" w:bidi="ar-SA"/>
        </w:rPr>
        <w:t>公开挂网</w:t>
      </w:r>
      <w:r>
        <w:rPr>
          <w:rFonts w:hint="eastAsia" w:ascii="Times New Roman" w:hAnsi="Times New Roman" w:eastAsia="宋体" w:cs="Times New Roman"/>
          <w:b/>
          <w:bCs/>
          <w:kern w:val="44"/>
          <w:sz w:val="32"/>
          <w:szCs w:val="32"/>
          <w:lang w:val="en-US" w:eastAsia="zh-CN" w:bidi="ar-SA"/>
        </w:rPr>
        <w:t>）</w:t>
      </w: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十二</w:t>
      </w:r>
      <w:r>
        <w:rPr>
          <w:rFonts w:hint="eastAsia" w:ascii="宋体" w:hAnsi="宋体" w:cs="宋体"/>
          <w:bCs/>
          <w:sz w:val="32"/>
          <w:szCs w:val="32"/>
        </w:rPr>
        <w:t>月</w:t>
      </w: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超低温冷冻箱等设备</w:t>
      </w:r>
      <w:r>
        <w:rPr>
          <w:rFonts w:hint="eastAsia" w:asciiTheme="minorEastAsia" w:hAnsiTheme="minorEastAsia" w:eastAsiaTheme="minorEastAsia" w:cstheme="minorEastAsia"/>
          <w:bCs/>
          <w:color w:val="auto"/>
          <w:sz w:val="24"/>
          <w:szCs w:val="24"/>
          <w:lang w:val="en-US" w:eastAsia="zh-CN"/>
        </w:rPr>
        <w:t>项目进行院内挂网招标，将招标事项公告如下：</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超低温冷冻箱等设备</w:t>
      </w:r>
      <w:r>
        <w:rPr>
          <w:rFonts w:hint="eastAsia" w:asciiTheme="minorEastAsia" w:hAnsiTheme="minorEastAsia" w:eastAsiaTheme="minorEastAsia" w:cstheme="minorEastAsia"/>
          <w:b w:val="0"/>
          <w:bCs/>
          <w:color w:val="auto"/>
          <w:sz w:val="24"/>
          <w:szCs w:val="24"/>
          <w:lang w:val="en-US" w:eastAsia="zh-CN"/>
        </w:rPr>
        <w:t>采购项目</w:t>
      </w:r>
    </w:p>
    <w:p>
      <w:pPr>
        <w:pStyle w:val="12"/>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pPr>
        <w:pStyle w:val="12"/>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院内公开挂网，最低价评分，在满足所有参数的条件下，报价最低者中标，如有多个并列最低价，则由并列最低价投标人再次报价，直至出现最低报价为止。</w:t>
      </w:r>
    </w:p>
    <w:bookmarkEnd w:id="0"/>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五、招标人地址和联系方法：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1、招标人名称：娄底市中心医院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3、招标人地址：娄底市长青中街51号</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2、有下列情形之一的，招标人将重新招标：</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2.2、经评标委员会评审后，符合资格审查的投标人少于3家的。</w:t>
      </w:r>
    </w:p>
    <w:p>
      <w:pPr>
        <w:pStyle w:val="13"/>
        <w:ind w:firstLine="480" w:firstLineChars="200"/>
        <w:jc w:val="both"/>
        <w:rPr>
          <w:rFonts w:hint="eastAsia" w:asciiTheme="minorEastAsia" w:hAnsiTheme="minorEastAsia" w:eastAsiaTheme="minorEastAsia" w:cstheme="minorEastAsia"/>
          <w:b w:val="0"/>
          <w:bCs/>
          <w:color w:val="auto"/>
          <w:sz w:val="24"/>
          <w:szCs w:val="24"/>
          <w:lang w:val="en-US" w:eastAsia="zh-CN" w:bidi="ar-SA"/>
        </w:rPr>
      </w:pPr>
      <w:r>
        <w:rPr>
          <w:rFonts w:hint="eastAsia" w:asciiTheme="minorEastAsia" w:hAnsiTheme="minorEastAsia" w:eastAsiaTheme="minorEastAsia" w:cstheme="minorEastAsia"/>
          <w:b w:val="0"/>
          <w:bCs/>
          <w:color w:val="auto"/>
          <w:sz w:val="24"/>
          <w:szCs w:val="24"/>
          <w:lang w:val="en-US" w:eastAsia="zh-CN" w:bidi="ar-SA"/>
        </w:rPr>
        <w:t>3、投标文件的投标报价出现前后不一致的，按照下列规定修正：</w:t>
      </w:r>
    </w:p>
    <w:p>
      <w:pPr>
        <w:pStyle w:val="5"/>
        <w:keepNext w:val="0"/>
        <w:keepLines w:val="0"/>
        <w:pageBreakBefore w:val="0"/>
        <w:widowControl w:val="0"/>
        <w:kinsoku/>
        <w:wordWrap/>
        <w:overflowPunct w:val="0"/>
        <w:topLinePunct w:val="0"/>
        <w:autoSpaceDE/>
        <w:autoSpaceDN/>
        <w:bidi w:val="0"/>
        <w:adjustRightInd w:val="0"/>
        <w:snapToGrid/>
        <w:ind w:left="0" w:leftChars="0" w:firstLine="480" w:firstLineChars="200"/>
        <w:textAlignment w:val="baseline"/>
        <w:rPr>
          <w:rFonts w:hint="eastAsia" w:asciiTheme="minorEastAsia" w:hAnsiTheme="minorEastAsia" w:eastAsiaTheme="minorEastAsia" w:cstheme="minorEastAsia"/>
          <w:b w:val="0"/>
          <w:bCs/>
          <w:color w:val="auto"/>
          <w:sz w:val="24"/>
          <w:szCs w:val="24"/>
          <w:lang w:val="en-US" w:eastAsia="zh-CN" w:bidi="ar-SA"/>
        </w:rPr>
      </w:pPr>
      <w:r>
        <w:rPr>
          <w:rFonts w:hint="eastAsia" w:asciiTheme="minorEastAsia" w:hAnsiTheme="minorEastAsia" w:eastAsiaTheme="minorEastAsia" w:cstheme="minorEastAsia"/>
          <w:b w:val="0"/>
          <w:bCs/>
          <w:color w:val="auto"/>
          <w:sz w:val="24"/>
          <w:szCs w:val="24"/>
          <w:lang w:val="en-US" w:eastAsia="zh-CN" w:bidi="ar-SA"/>
        </w:rPr>
        <w:t>3.1投标文件中开标一览表内容与投标文件中相应内容不一致的，以开标一览表为准；</w:t>
      </w:r>
    </w:p>
    <w:p>
      <w:pPr>
        <w:pStyle w:val="5"/>
        <w:keepNext w:val="0"/>
        <w:keepLines w:val="0"/>
        <w:pageBreakBefore w:val="0"/>
        <w:widowControl w:val="0"/>
        <w:kinsoku/>
        <w:wordWrap/>
        <w:overflowPunct w:val="0"/>
        <w:topLinePunct w:val="0"/>
        <w:autoSpaceDE/>
        <w:autoSpaceDN/>
        <w:bidi w:val="0"/>
        <w:adjustRightInd w:val="0"/>
        <w:snapToGrid/>
        <w:ind w:left="0" w:leftChars="0" w:firstLine="480" w:firstLineChars="200"/>
        <w:textAlignment w:val="baseline"/>
        <w:rPr>
          <w:rFonts w:hint="eastAsia" w:asciiTheme="minorEastAsia" w:hAnsiTheme="minorEastAsia" w:eastAsiaTheme="minorEastAsia" w:cstheme="minorEastAsia"/>
          <w:b w:val="0"/>
          <w:bCs/>
          <w:color w:val="auto"/>
          <w:sz w:val="24"/>
          <w:szCs w:val="24"/>
          <w:lang w:val="en-US" w:eastAsia="zh-CN" w:bidi="ar-SA"/>
        </w:rPr>
      </w:pPr>
      <w:r>
        <w:rPr>
          <w:rFonts w:hint="eastAsia" w:asciiTheme="minorEastAsia" w:hAnsiTheme="minorEastAsia" w:eastAsiaTheme="minorEastAsia" w:cstheme="minorEastAsia"/>
          <w:b w:val="0"/>
          <w:bCs/>
          <w:color w:val="auto"/>
          <w:sz w:val="24"/>
          <w:szCs w:val="24"/>
          <w:lang w:val="en-US" w:eastAsia="zh-CN" w:bidi="ar-SA"/>
        </w:rPr>
        <w:t>3.2大写金额和小写金额不一致的，以大写金额为准；</w:t>
      </w:r>
    </w:p>
    <w:p>
      <w:pPr>
        <w:pStyle w:val="5"/>
        <w:keepNext w:val="0"/>
        <w:keepLines w:val="0"/>
        <w:pageBreakBefore w:val="0"/>
        <w:widowControl w:val="0"/>
        <w:kinsoku/>
        <w:wordWrap/>
        <w:overflowPunct w:val="0"/>
        <w:topLinePunct w:val="0"/>
        <w:autoSpaceDE/>
        <w:autoSpaceDN/>
        <w:bidi w:val="0"/>
        <w:adjustRightInd w:val="0"/>
        <w:snapToGrid/>
        <w:ind w:left="0" w:leftChars="0" w:firstLine="480" w:firstLineChars="200"/>
        <w:textAlignment w:val="baseline"/>
        <w:rPr>
          <w:rFonts w:hint="eastAsia" w:asciiTheme="minorEastAsia" w:hAnsiTheme="minorEastAsia" w:eastAsiaTheme="minorEastAsia" w:cstheme="minorEastAsia"/>
          <w:b w:val="0"/>
          <w:bCs/>
          <w:color w:val="auto"/>
          <w:sz w:val="24"/>
          <w:szCs w:val="24"/>
          <w:lang w:val="en-US" w:eastAsia="zh-CN" w:bidi="ar-SA"/>
        </w:rPr>
      </w:pPr>
      <w:r>
        <w:rPr>
          <w:rFonts w:hint="eastAsia" w:asciiTheme="minorEastAsia" w:hAnsiTheme="minorEastAsia" w:eastAsiaTheme="minorEastAsia" w:cstheme="minorEastAsia"/>
          <w:b w:val="0"/>
          <w:bCs/>
          <w:color w:val="auto"/>
          <w:sz w:val="24"/>
          <w:szCs w:val="24"/>
          <w:lang w:val="en-US" w:eastAsia="zh-CN" w:bidi="ar-SA"/>
        </w:rPr>
        <w:t>3.3总价金额与按单价汇总金额不一致的，以单价金额计算结果为准。</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500" w:lineRule="exact"/>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3.4投标文件报价按照前款规定的顺序修正。修正后的报价由投标人代表签字或者加盖单位章确认后产生约束力，投标人不确认的，其投标无效。</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4、对于投标文件中含义不明确、同类问题表述不一致或者有明显文字和计算错误的内容，评标委员会应当以书面形式要求投标人作出必要的澄清、说明或者补正。</w:t>
      </w:r>
    </w:p>
    <w:p>
      <w:pPr>
        <w:pStyle w:val="13"/>
        <w:rPr>
          <w:rFonts w:hint="eastAsia"/>
          <w:lang w:val="en-US" w:eastAsia="zh-CN"/>
        </w:rPr>
      </w:pPr>
    </w:p>
    <w:p>
      <w:pPr>
        <w:pStyle w:val="13"/>
        <w:jc w:val="both"/>
        <w:rPr>
          <w:rFonts w:hint="default"/>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3"/>
        <w:rPr>
          <w:rFonts w:hint="eastAsia" w:ascii="宋体" w:hAnsi="宋体" w:cs="宋体"/>
          <w:b/>
          <w:bCs/>
          <w:color w:val="auto"/>
          <w:sz w:val="44"/>
          <w:szCs w:val="44"/>
          <w:lang w:val="en-US" w:eastAsia="zh-CN"/>
        </w:rPr>
      </w:pPr>
    </w:p>
    <w:p>
      <w:pPr>
        <w:pStyle w:val="5"/>
        <w:rPr>
          <w:rFonts w:hint="eastAsia" w:ascii="宋体" w:hAnsi="宋体" w:cs="宋体"/>
          <w:b/>
          <w:bCs/>
          <w:color w:val="auto"/>
          <w:sz w:val="44"/>
          <w:szCs w:val="44"/>
          <w:lang w:val="en-US" w:eastAsia="zh-CN"/>
        </w:rPr>
      </w:pPr>
    </w:p>
    <w:p>
      <w:pPr>
        <w:rPr>
          <w:rFonts w:hint="eastAsia"/>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9"/>
        <w:tblW w:w="930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958"/>
        <w:gridCol w:w="1721"/>
        <w:gridCol w:w="1710"/>
        <w:gridCol w:w="2134"/>
        <w:gridCol w:w="278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设备名称</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数量</w:t>
            </w:r>
            <w:r>
              <w:rPr>
                <w:rFonts w:hint="eastAsia" w:asciiTheme="minorEastAsia" w:hAnsiTheme="minorEastAsia" w:eastAsiaTheme="minorEastAsia" w:cstheme="minorEastAsia"/>
                <w:sz w:val="24"/>
                <w:szCs w:val="24"/>
              </w:rPr>
              <w:t>(台/套)</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c>
          <w:tcPr>
            <w:tcW w:w="2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是否允许进口设备投标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beforeLines="0" w:afterLines="0"/>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-70度冷冻箱</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beforeLines="0" w:afterLines="0"/>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jc w:val="center"/>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7.3</w:t>
            </w:r>
          </w:p>
        </w:tc>
        <w:tc>
          <w:tcPr>
            <w:tcW w:w="2786" w:type="dxa"/>
            <w:vMerge w:val="restart"/>
            <w:tcBorders>
              <w:top w:val="single" w:color="000000" w:sz="6" w:space="0"/>
              <w:left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2</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beforeLines="0" w:afterLines="0"/>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医用冷藏冰箱（≥350L）</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beforeLines="0" w:afterLines="0"/>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jc w:val="center"/>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0.505</w:t>
            </w:r>
          </w:p>
        </w:tc>
        <w:tc>
          <w:tcPr>
            <w:tcW w:w="2786" w:type="dxa"/>
            <w:vMerge w:val="continue"/>
            <w:tcBorders>
              <w:left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3</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beforeLines="0" w:afterLines="0"/>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医用冷藏展示冰箱（双开门）</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beforeLines="0" w:afterLines="0"/>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4</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jc w:val="center"/>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6.6</w:t>
            </w:r>
          </w:p>
        </w:tc>
        <w:tc>
          <w:tcPr>
            <w:tcW w:w="2786" w:type="dxa"/>
            <w:vMerge w:val="continue"/>
            <w:tcBorders>
              <w:left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4</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beforeLines="0" w:afterLines="0"/>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医用冷藏冷冻冰箱</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beforeLines="0" w:afterLines="0"/>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5</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1.185</w:t>
            </w:r>
          </w:p>
        </w:tc>
        <w:tc>
          <w:tcPr>
            <w:tcW w:w="2786" w:type="dxa"/>
            <w:vMerge w:val="continue"/>
            <w:tcBorders>
              <w:left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5</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beforeLines="0" w:afterLines="0"/>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-18度以下医用冷冻箱</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beforeLines="0" w:afterLines="0"/>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0.93</w:t>
            </w:r>
          </w:p>
        </w:tc>
        <w:tc>
          <w:tcPr>
            <w:tcW w:w="2786" w:type="dxa"/>
            <w:vMerge w:val="continue"/>
            <w:tcBorders>
              <w:left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6</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beforeLines="0" w:afterLines="0"/>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-30度以下冷冻保存箱</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beforeLines="0" w:afterLines="0"/>
              <w:jc w:val="center"/>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jc w:val="center"/>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0.48</w:t>
            </w:r>
          </w:p>
        </w:tc>
        <w:tc>
          <w:tcPr>
            <w:tcW w:w="2786" w:type="dxa"/>
            <w:vMerge w:val="continue"/>
            <w:tcBorders>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7</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beforeLines="0" w:afterLines="0"/>
              <w:jc w:val="center"/>
              <w:rPr>
                <w:rFonts w:hint="eastAsia" w:asciiTheme="minorEastAsia" w:hAnsiTheme="minorEastAsia" w:eastAsiaTheme="minorEastAsia" w:cstheme="minorEastAsia"/>
                <w:kern w:val="2"/>
                <w:sz w:val="24"/>
                <w:szCs w:val="24"/>
                <w:lang w:val="en-US" w:eastAsia="zh-CN" w:bidi="ar-SA"/>
              </w:rPr>
            </w:pPr>
            <w:r>
              <w:rPr>
                <w:rFonts w:hint="eastAsia" w:ascii="宋体" w:hAnsi="宋体" w:eastAsia="宋体" w:cs="宋体"/>
                <w:color w:val="000000"/>
                <w:kern w:val="0"/>
                <w:sz w:val="24"/>
                <w:szCs w:val="24"/>
                <w:lang w:val="en-US" w:eastAsia="zh-CN"/>
              </w:rPr>
              <w:t>4G采集器</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beforeLines="0" w:afterLines="0"/>
              <w:jc w:val="center"/>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6</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jc w:val="center"/>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1.5</w:t>
            </w:r>
          </w:p>
        </w:tc>
        <w:tc>
          <w:tcPr>
            <w:tcW w:w="2786" w:type="dxa"/>
            <w:tcBorders>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2679" w:type="dxa"/>
            <w:gridSpan w:val="2"/>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beforeLines="0" w:afterLines="0"/>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合计</w:t>
            </w:r>
          </w:p>
        </w:tc>
        <w:tc>
          <w:tcPr>
            <w:tcW w:w="171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bidi="ar-SA"/>
              </w:rPr>
            </w:pPr>
          </w:p>
        </w:tc>
        <w:tc>
          <w:tcPr>
            <w:tcW w:w="213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18.5</w:t>
            </w:r>
          </w:p>
        </w:tc>
        <w:tc>
          <w:tcPr>
            <w:tcW w:w="2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p>
        </w:tc>
      </w:tr>
    </w:tbl>
    <w:p>
      <w:pPr>
        <w:spacing w:line="360" w:lineRule="auto"/>
        <w:rPr>
          <w:rFonts w:hint="eastAsia" w:asciiTheme="minorEastAsia" w:hAnsiTheme="minorEastAsia" w:eastAsiaTheme="minorEastAsia" w:cstheme="minorEastAsia"/>
          <w:bCs/>
          <w:color w:val="auto"/>
          <w:kern w:val="0"/>
          <w:sz w:val="24"/>
          <w:szCs w:val="24"/>
          <w:lang w:val="en-US" w:eastAsia="zh-CN" w:bidi="ar-SA"/>
        </w:rPr>
      </w:pP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二、项目内容及要求（以下内容必须全部响应，否则视为无效投标）</w:t>
      </w:r>
    </w:p>
    <w:p>
      <w:pPr>
        <w:spacing w:line="360" w:lineRule="auto"/>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技术参数：</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bCs/>
          <w:color w:val="000000"/>
          <w:kern w:val="0"/>
          <w:sz w:val="24"/>
          <w:szCs w:val="18"/>
          <w:lang w:val="en-US" w:eastAsia="zh-CN"/>
        </w:rPr>
      </w:pPr>
      <w:r>
        <w:rPr>
          <w:rFonts w:hint="eastAsia" w:ascii="宋体" w:hAnsi="宋体" w:cs="宋体"/>
          <w:b/>
          <w:bCs/>
          <w:color w:val="000000"/>
          <w:kern w:val="0"/>
          <w:sz w:val="24"/>
          <w:szCs w:val="18"/>
          <w:lang w:val="en-US" w:eastAsia="zh-CN"/>
        </w:rPr>
        <w:t>（一）-70度以下冷冻箱（1台）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1、有效容积≥550L，可分层≥4层；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2、可调温度至少包括 -45℃~-</w:t>
      </w:r>
      <w:r>
        <w:rPr>
          <w:rFonts w:hint="eastAsia" w:ascii="宋体" w:hAnsi="宋体" w:cs="宋体"/>
          <w:b w:val="0"/>
          <w:bCs w:val="0"/>
          <w:color w:val="000000"/>
          <w:kern w:val="0"/>
          <w:sz w:val="24"/>
          <w:szCs w:val="18"/>
          <w:lang w:val="en-US" w:eastAsia="zh-CN"/>
        </w:rPr>
        <w:tab/>
      </w:r>
      <w:r>
        <w:rPr>
          <w:rFonts w:hint="eastAsia" w:ascii="宋体" w:hAnsi="宋体" w:cs="宋体"/>
          <w:b w:val="0"/>
          <w:bCs w:val="0"/>
          <w:color w:val="000000"/>
          <w:kern w:val="0"/>
          <w:sz w:val="24"/>
          <w:szCs w:val="18"/>
          <w:lang w:val="en-US" w:eastAsia="zh-CN"/>
        </w:rPr>
        <w:t>70℃范围；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3、配备两台变频压缩机，配备两套独立的制冷系统，当一套制冷系统故障时另一套制冷系统可保持箱内温度超低温；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4、具有运行指示灯，正常运行显示绿色，出现报警或故障显示红色或黄色；</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5、可采用声音和灯光的方式分别进行多种故障报警，至少包括：高低温超限、传感器故障、断电、开门时间过长、电池未连接、A/B系统故障；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6、多重保护功能，开机延时保护、过电流保护、显示屏密码保护、断电记忆数据保护；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7、微电脑控制，LCD电容显示屏，可直观显示箱内温度、环境温度、输入电压和温度曲线等数据，可连接wifi网络；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8、采用HC环保制冷剂，在25℃环温下运行时，耗电量≤8Kw.h/24h；</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9、箱内温度均匀性要求：四角及中心温度均匀度≤±3℃；</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10、在25℃环温下运行时，降温至-80℃，所需时间≤4小时；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11、一体式手把门锁，可同时使用暗锁（四把钥匙）及双挂锁；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12、内胆为防腐蚀导热快的材料，配备四个发泡内门并带密封条，外门密封≥4层；使用航空真空隔热材料VIP+PU整体发泡，VIP厚度≥25mm；</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13、配备节能风机，具有可加热平衡孔模块，可短时间内连续开门；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14、具有≥3个测试孔，内置5V冷链供电系统；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15、配备大容量存储空间，实时保存箱内设定温度、实际温度、高低温报警温度、输入电压、环温等数据，且可通过USB数据接口导出全部数据，支持excel和PDF格式；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16、标配RS485数据接口，可同计算机网线连接；配物联模块，可用手机APP实时监控冰箱运行状态;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17、具有数据上传/下载功能，可以通过USB接口上传和下载箱内温度数据、报警记录以及事件记录等；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18、具有事件记录功能并能下载到电脑上，实现数据分析存档；配备文件夹和置笔盒；</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19、标配≥两块12V锂电池，保障冰箱断电后，温度显示及冰箱报警功能运行；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20、整机保修≥5年；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21、具有医疗器械注册证，有ISO9001证书；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22、配备1个同品牌智能4G温度采集器及温度监控云平台，支持24小时自动监控记录设备运行状态，发生异常情况可通过电话/短信/微信/APP等多种方式远程报警。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23.1、硬件设备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23.1.1、4G采集器标配屏幕及单路温度传感器，量程-200℃至150℃，标配一路门开关传感器，可检测冰箱、冷库等设备的温度数据及开关门状态。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23.2、管理软件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23.2.1、可在PC网页端、手机APP端和微信端查询所辖设备的汇总信息，包含总的设备数量、报警设备数量、离线的设备数量、正常运行设备数量以及对应设备列表。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23.2.2、支持APP和微信报警推送，能够在手机端实时收到设备的报警内容。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23.2.3、支持报警项：数据异常报警、采集设备异常报警、网络异常报警、服务器异常报警。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23.2.4、报警方式：支持报警策略定制，支持短信报警、电话报警、微信报警、系统弹出报警、系统声音报警等多种报警方式。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23.2.5、数据报告管理：可输出针对本部门设备运行情况生成报告，并通过邮件的方式发送订阅报告，也可以在系统中随时导出设备报告信息。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23.2.6、软件具备公安部监制的信息系统安全等级保护第三级备案。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23.2.7、软件免费提供三年服务，三年后服务如需延期，按上限服务金额不超过300元/年一个模块支付。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24、冷冻箱、4G采集器和管理软件为同一品牌。</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bCs/>
          <w:color w:val="000000"/>
          <w:kern w:val="0"/>
          <w:sz w:val="24"/>
          <w:szCs w:val="18"/>
          <w:lang w:val="en-US" w:eastAsia="zh-CN"/>
        </w:rPr>
      </w:pPr>
      <w:r>
        <w:rPr>
          <w:rFonts w:hint="eastAsia" w:ascii="宋体" w:hAnsi="宋体" w:cs="宋体"/>
          <w:b/>
          <w:bCs/>
          <w:color w:val="000000"/>
          <w:kern w:val="0"/>
          <w:sz w:val="24"/>
          <w:szCs w:val="18"/>
          <w:lang w:val="en-US" w:eastAsia="zh-CN"/>
        </w:rPr>
        <w:t>（二）医用冷藏冰箱（1台）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1、有效容积：有效容积≥350L，外部尺寸≤600*630*1980m；</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2、温度控制：微电脑控制，箱内温度范围2-8℃，LED数码管实时显示箱内温度，控温精度及显示精度均≤±0.1℃；</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3、整体结构：立式，单开真空玻璃门体，LBA无氟发泡，外壳和内胆采用喷涂钢板；</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4、核心组件：采用名牌压缩机及进口品牌风机，碳氢制冷剂，能提供组件铭牌证明；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5、制冷系统：翅片式蒸发器，丝管式冷凝器；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6、温度均匀性：箱体温度均匀度≤±2℃，波动度≤4.5℃；</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7、控温技术：≥3路传感器设计，包括显示传感器，控制传感器，环温传感器。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8、门体结构：门体双层钢化玻璃，电极式加热防凝露，32℃环温85%湿度下门体无凝露，箱内物品清晰可见；具有自关门设计；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9、安全系统：多重故障报警，具有蜂鸣报警、灯光闪烁、远程报警、云平台报警四种报警方式，可实现高低温报警、传感器故障报警、断电报警、电池电量低报警、开门报警、环温高报警；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10、物联通讯：具有Wifi接口，可连接网络；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11、温度监控：配备≥1个测试孔，方便对箱内温度进行监测；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 xml:space="preserve">12、箱内配置：多层搁架设计，搁架间距可调，出厂标配≥4个搁架；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13、节能降噪：运行噪音≤41分贝.</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14、柜内照明：内设LED照明灯；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15、固定移动：配备2个万向脚轮、2个定向脚轮、2个止动底脚；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16、冷凝蒸发：冷凝水汇集后自动蒸发；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17、断电报警：产品断电后继续显示箱内的实时温度，持续时间≥48小时；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18、安全保障：门体带暗锁；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19、宽电压带：配备宽电压带，能在200-240电压下使用，配置滤波器、可插拔电源线；</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20、资质认证：有医疗器械注册证，有ISO9001证书；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21、配备1个同品牌智能4G温度采集器及温度监控云平台，支持24小时自动监控记录设备运行状态，发生异常情况可通过电话/短信/微信/APP等多种方式远程报警。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21.1、硬件设备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4G采集器标配屏幕及单路温度传感器，量程-200℃至150℃，标配一路门开关传感器，可检测冰箱、冷库等设备的温度数据及开关门状态。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21.2、管理软件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21.2.1、能够在PC网页端、手机APP端和微信端查询所辖设备的汇总信息，包含总的设备数量、报警设备数量、离线的设备数量、正常运行设备数量以及对应设备列表。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21.2.2、支持APP和微信报警推送，能够在手机端实时收到设备的报警内容。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21.2.3、支持报警项：数据异常报警、采集设备异常报警、网络异常报警、服务器异常报警。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21.2.4、报警方式：支持报警策略定制，支持短信报警、电话报警、微信报警、邮件报警、系统弹出报警、系统声音报警等多种报警方式。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21.2.5、数据报告管理：可输出针对本部门设备运行情况生成报告，并通过邮件的方式发送订阅报告，也可以在系统中随时导出设备报告信息。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21.2.6、软件具备公安部监制的信息系统安全等级保护第三级备案。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21.2.7、软件免费提供三年服务，三年后服务如需延期，按上限服务金额不超过300元/年一个模块支付。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22、冷藏冰箱、4G采集器和管理软件为同一品牌。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bCs/>
          <w:color w:val="000000"/>
          <w:kern w:val="0"/>
          <w:sz w:val="24"/>
          <w:szCs w:val="18"/>
          <w:lang w:val="en-US" w:eastAsia="zh-CN"/>
        </w:rPr>
      </w:pPr>
      <w:r>
        <w:rPr>
          <w:rFonts w:hint="eastAsia" w:ascii="宋体" w:hAnsi="宋体" w:cs="宋体"/>
          <w:b/>
          <w:bCs/>
          <w:color w:val="000000"/>
          <w:kern w:val="0"/>
          <w:sz w:val="24"/>
          <w:szCs w:val="18"/>
          <w:lang w:val="en-US" w:eastAsia="zh-CN"/>
        </w:rPr>
        <w:t>（三）医用冷藏展示冰箱（双开门）（4台）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1、容积尺寸：有效容积≥1050L，外部尺寸≤1420*630*1980mm；</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2、温度控制：微电脑控制，箱内温度范围2-8℃，LED数码管实时显示箱内温度，控温精度及显示精度均≤±0.1℃；</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3、整体结构：立式，双开真空玻璃门体，LBA无氟发泡，外壳和内胆采用喷涂钢板；</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4、核心组件：采用名牌压缩机及进口品牌风机，碳氢制冷剂，能提供组件铭牌证明；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5、制冷系统：翅片式蒸发器，丝管式冷凝器；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6、温度均匀性：箱体温度均匀度≤±3℃；</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7、控温技术：≥3路传感器设计，包括显示传感器，控制传感器，环温传感器；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8、门体结构：门体双层钢化玻璃，电极式加热防凝露，32℃环温85%湿度下门体无凝露，箱内物品清晰可见；具有自关门设计；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9、安全系统：多重故障报警，具有蜂鸣报警、灯光闪烁、远程报警、云平台报警四种报警方式，可实现高低温报警、传感器故障报警、断电报警、电池电量低报警、开门报警、环温高报警；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10、物联通讯：具有Wifi接口，可连接网络；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11、数据监控：配≥2个测试孔，方便用户对箱内温度进行监测；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 xml:space="preserve">12、箱内配置：多层搁架设计，搁架间距可调，出厂标配≥12个搁架；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13、节能降噪：运行时噪音≤45分贝；</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14、柜内照明：内设LED照明灯；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15、固定移动：配备4个万向脚轮、2个止动底脚；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16、冷凝蒸发：冷凝水汇集后自动蒸发；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17、断电报警：产品断电后继续显示箱内的实时温度，持续时间≥48小时；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18、安全保障：门体带暗锁；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19、宽电压带：配备宽电压带，适合220-240电压下使用，配置滤波器、可插拔电源线；</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20、资质认证：有医疗器械注册证，有ISO9001证书；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21、温度监控：配备1个同品牌智能4G温度采集器及温度监控云平台，支持24小时自动监控记录设备运行状态，发生异常情况可通过电话/短信/微信/APP等多种方式远程报警。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21.1、硬件设备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21.1.1、4G采集器标配屏幕及单路温度传感器，量程-200℃至150℃，标配一路门开关传感器，可检测冰箱、冷库等设备的温度数据及开关门状态。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21.2、管理软件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21.2.1、能够在PC网页端、手机APP端和微信端查询所辖设备的汇总信息，包含总的设备数量、报警设备数量、离线的设备数量、正常运行设备数量以及对应设备列表。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21.2.2、支持APP和微信报警推送，能够在手机端实时收到设备的报警内容。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21.2.3、支持报警项：数据异常报警、采集设备异常报警、网络异常报警、服务器异常报警。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21.2.4、报警方式：支持报警策略定制，支持短信报警、电话报警、微信报警、邮件报警、系统弹出报警、系统声音报警等多种报警方式。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21.2.5、数据报告管理：可输出针对本部门设备运行情况生成报告，并通过邮件的方式发送订阅报告，也可以在系统中随时导出设备报告信息。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21.2.6、软件具备公安部监制的信息系统安全等级保护第三级备案。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21.2.7、软件免费提供三年服务，三年后服务如需延期，按上限服务金额不超过300元/年一个模块支付。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22、冷藏展示冰箱、4G采集器和管理软件为同一品牌。</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bCs/>
          <w:color w:val="000000"/>
          <w:kern w:val="0"/>
          <w:sz w:val="24"/>
          <w:szCs w:val="1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bCs/>
          <w:color w:val="000000"/>
          <w:kern w:val="0"/>
          <w:sz w:val="24"/>
          <w:szCs w:val="18"/>
          <w:lang w:val="en-US" w:eastAsia="zh-CN"/>
        </w:rPr>
      </w:pPr>
      <w:r>
        <w:rPr>
          <w:rFonts w:hint="eastAsia" w:ascii="宋体" w:hAnsi="宋体" w:cs="宋体"/>
          <w:b/>
          <w:bCs/>
          <w:color w:val="000000"/>
          <w:kern w:val="0"/>
          <w:sz w:val="24"/>
          <w:szCs w:val="18"/>
          <w:lang w:val="en-US" w:eastAsia="zh-CN"/>
        </w:rPr>
        <w:t>（四）医用冷藏冷冻冰箱（5台）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1、有效容积：有效容积≥205L；</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2、整体结构：立式，上下双发泡门，吸附内胆，冷藏室容积≥127L，冷冻室容积≥78L；</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3、温度控制: 微电脑控制,触摸按键，大屏幕LED显示，可同时显示冷藏、冷冻室温度，调节精度、显示精度≤±1℃，冷藏温度范围2～8℃，冷冻温度-10至-25℃ 温度可调节；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4、核心组件：采用品牌压缩机，品牌风机，碳氢制冷剂，采用板管式蒸发器，丝管式冷凝器，能提供铭牌证明；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5、资质认证：产品具有医疗器械注册证，制造商具有ISO9001证书、ISO14001证书、ISO13485证书、ISO45001证书、ISO27001证书；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6、门体结构：发泡门设计；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7、制冷系统：单压机复叠制冷系统，冷藏室可单独停用；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8、温度均匀性：风冷系统，冷藏室温度均匀性≤3℃、波动性≤2℃；</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9、安全系统：多重故障报警，具有蜂鸣报警和灯光闪烁两种报警方式，可实现高低温报警，传感器故障报警；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10、箱内配置：冷藏室内搁架间距可调节，配≥3个搁架；冷冻室配4个ABS塑料抽屉；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11、柜内照明：内设LED照明灯；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12、固定移动：配4个脚轮和2个平衡底脚；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bCs/>
          <w:color w:val="000000"/>
          <w:kern w:val="0"/>
          <w:sz w:val="24"/>
          <w:szCs w:val="18"/>
          <w:lang w:val="en-US" w:eastAsia="zh-CN"/>
        </w:rPr>
      </w:pPr>
      <w:r>
        <w:rPr>
          <w:rFonts w:hint="eastAsia" w:ascii="宋体" w:hAnsi="宋体" w:cs="宋体"/>
          <w:b/>
          <w:bCs/>
          <w:color w:val="000000"/>
          <w:kern w:val="0"/>
          <w:sz w:val="24"/>
          <w:szCs w:val="18"/>
          <w:lang w:val="en-US" w:eastAsia="zh-CN"/>
        </w:rPr>
        <w:t>（五）-18度以下医用冷冻箱（1台）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1、立式单开门，有效容积≥250L；外部尺寸≤700*705*1800mm；</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2、采用微电脑处理控制系统，数字显示箱内温度。速冻按键可实现快速降温；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3、额定功率≤165W；</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4、有压力平衡孔，可平衡内外压力，支持短时间内多次开关门；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6、产品具有测试孔，方便安装冷链温度监控系统；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7、温度范围-10℃～-25℃可调节，箱内温度均匀度误差≤±3℃；</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8、支持多种故障报警（高温报警、低温报警、传感器报警）两种报警方式（声音蜂鸣报警、灯光闪烁报警）；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9、配备脚轮可移动；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10、门体带锁扣设计，可加挂锁；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11、材料：机器箱壳采用冷轧钢板；内胆采用PS板吸附材质，外门采用双密封条；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13、抽屉：标配≥6个抽屉，抽屉带有标识卡槽；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bCs/>
          <w:color w:val="000000"/>
          <w:kern w:val="0"/>
          <w:sz w:val="24"/>
          <w:szCs w:val="18"/>
          <w:lang w:val="en-US" w:eastAsia="zh-CN"/>
        </w:rPr>
      </w:pPr>
      <w:r>
        <w:rPr>
          <w:rFonts w:hint="eastAsia" w:ascii="宋体" w:hAnsi="宋体" w:cs="宋体"/>
          <w:b/>
          <w:bCs/>
          <w:color w:val="000000"/>
          <w:kern w:val="0"/>
          <w:sz w:val="24"/>
          <w:szCs w:val="18"/>
          <w:lang w:val="en-US" w:eastAsia="zh-CN"/>
        </w:rPr>
        <w:t>（六）-30度以下冷冻保存箱（1台）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1、温度范围-20℃至-40℃可调节，控温精度0.1℃；</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2、箱内有效容积≥92L；</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3、微电脑控制，LCD数码显示箱内温度，显示精度0.1℃；</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4、具有多种故障报警：高温报警、低温报警、传感器故障报警、开门报警、断电报警、环温高报警；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5、具有多种报警方式：声音蜂鸣报警、数字闪烁报警、符号闪烁报警，远程报警接口；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 xml:space="preserve">6、多重保护功能：开机延时保护、停机间隔保护、显示面板保护、断电记忆数据保护、传感器故障保护运行；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7、具有断电报警功能，且在产品断电后能有数字温度显示≥24小时；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8、宽电压带，能在200~240V电压下使用；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9、采用HC环保制冷剂和制冷系统，LBA无氟发泡，搁架式蒸发器；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11、箱壳采用冷轧钢板喷粉；内胆采用PS板吸附材质，箱体背板采用镀锌钢板；</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13、门体嵌入式可拆卸密封条；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15、门体机械暗锁+锁扣；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16、标配≥3个抽屉，每个抽屉均带标示贴槽；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 xml:space="preserve">17、测试孔设计，方便用户测试使用；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b w:val="0"/>
          <w:bCs w:val="0"/>
          <w:color w:val="000000"/>
          <w:kern w:val="0"/>
          <w:sz w:val="24"/>
          <w:szCs w:val="18"/>
          <w:lang w:val="en-US" w:eastAsia="zh-CN"/>
        </w:rPr>
      </w:pPr>
      <w:r>
        <w:rPr>
          <w:rFonts w:hint="eastAsia" w:ascii="宋体" w:hAnsi="宋体" w:cs="宋体"/>
          <w:b w:val="0"/>
          <w:bCs w:val="0"/>
          <w:color w:val="000000"/>
          <w:kern w:val="0"/>
          <w:sz w:val="24"/>
          <w:szCs w:val="18"/>
          <w:lang w:val="en-US" w:eastAsia="zh-CN"/>
        </w:rPr>
        <w:t>18、脚轮+底脚设计，便于移动和锁定；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ascii="宋体" w:hAnsi="宋体" w:cs="宋体"/>
          <w:b w:val="0"/>
          <w:bCs w:val="0"/>
          <w:color w:val="000000"/>
          <w:kern w:val="0"/>
          <w:sz w:val="24"/>
          <w:szCs w:val="18"/>
          <w:lang w:val="en-US" w:eastAsia="zh-CN"/>
        </w:rPr>
        <w:t>19、运行噪音＜30dB；</w:t>
      </w:r>
    </w:p>
    <w:p>
      <w:pPr>
        <w:pStyle w:val="2"/>
        <w:keepNext/>
        <w:keepLines/>
        <w:pageBreakBefore w:val="0"/>
        <w:widowControl w:val="0"/>
        <w:numPr>
          <w:ilvl w:val="0"/>
          <w:numId w:val="0"/>
        </w:numPr>
        <w:kinsoku/>
        <w:wordWrap/>
        <w:overflowPunct/>
        <w:topLinePunct w:val="0"/>
        <w:autoSpaceDE/>
        <w:autoSpaceDN/>
        <w:bidi w:val="0"/>
        <w:adjustRightInd w:val="0"/>
        <w:snapToGrid/>
        <w:spacing w:before="0" w:after="0" w:line="360" w:lineRule="auto"/>
        <w:ind w:firstLine="482" w:firstLineChars="200"/>
        <w:textAlignment w:val="baseline"/>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商务参数：</w:t>
      </w:r>
    </w:p>
    <w:p>
      <w:pPr>
        <w:keepNext w:val="0"/>
        <w:keepLines w:val="0"/>
        <w:pageBreakBefore w:val="0"/>
        <w:kinsoku/>
        <w:wordWrap/>
        <w:overflowPunct/>
        <w:topLinePunct w:val="0"/>
        <w:autoSpaceDE/>
        <w:autoSpaceDN/>
        <w:bidi w:val="0"/>
        <w:adjustRightInd/>
        <w:snapToGrid/>
        <w:ind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2、交货时间：按</w:t>
      </w:r>
      <w:r>
        <w:rPr>
          <w:rFonts w:hint="eastAsia" w:ascii="宋体" w:hAnsi="宋体" w:cs="宋体"/>
          <w:color w:val="auto"/>
          <w:sz w:val="24"/>
          <w:szCs w:val="24"/>
          <w:lang w:val="en-US" w:eastAsia="zh-CN"/>
        </w:rPr>
        <w:t>合同约定的日期交货。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、交货地点：娄底市中心医院</w:t>
      </w:r>
      <w:r>
        <w:rPr>
          <w:rFonts w:hint="eastAsia" w:ascii="宋体" w:hAnsi="宋体" w:cs="宋体"/>
          <w:color w:val="auto"/>
          <w:sz w:val="24"/>
          <w:szCs w:val="24"/>
          <w:lang w:val="en-US" w:eastAsia="zh-CN"/>
        </w:rPr>
        <w:t>指定地点</w:t>
      </w:r>
      <w:r>
        <w:rPr>
          <w:rFonts w:hint="eastAsia" w:ascii="宋体" w:hAnsi="宋体" w:eastAsia="宋体" w:cs="宋体"/>
          <w:color w:val="auto"/>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3年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5、质保与售后：-70度以下冷冻箱整机质保5年，其他整机</w:t>
      </w:r>
      <w:r>
        <w:rPr>
          <w:rFonts w:hint="eastAsia" w:ascii="宋体" w:hAnsi="宋体" w:eastAsia="宋体" w:cs="宋体"/>
          <w:color w:val="auto"/>
          <w:sz w:val="24"/>
          <w:szCs w:val="24"/>
          <w:lang w:eastAsia="zh-CN"/>
        </w:rPr>
        <w:t>和</w:t>
      </w:r>
      <w:r>
        <w:rPr>
          <w:rFonts w:hint="eastAsia" w:ascii="宋体" w:hAnsi="宋体" w:eastAsia="宋体" w:cs="宋体"/>
          <w:color w:val="000000"/>
          <w:kern w:val="0"/>
          <w:sz w:val="24"/>
          <w:szCs w:val="24"/>
          <w:lang w:val="en-US" w:eastAsia="zh-CN"/>
        </w:rPr>
        <w:t>4G采集器</w:t>
      </w:r>
      <w:r>
        <w:rPr>
          <w:rFonts w:hint="eastAsia" w:ascii="宋体" w:hAnsi="宋体" w:eastAsia="宋体" w:cs="宋体"/>
          <w:color w:val="auto"/>
          <w:sz w:val="24"/>
          <w:szCs w:val="24"/>
        </w:rPr>
        <w:t>保修3年，终身维修。验收时出具原厂售后质保承诺书，质保期内每年巡检一次，并提交巡检记录。质保期内出现故障，24小时响应，响应后4小时上门服务。</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6、在投标文件中必须提供相关佐证资料（加盖投标人公章的技术参数、技术白皮书、说明书、彩页），并在响应表中备注该条参数响应或正偏离的佐证资料所在页码。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                                       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医院公开挂网 </w:t>
      </w:r>
      <w:r>
        <w:rPr>
          <w:rFonts w:hint="eastAsia" w:ascii="宋体" w:hAnsi="宋体" w:eastAsia="宋体" w:cs="宋体"/>
          <w:color w:val="auto"/>
          <w:sz w:val="24"/>
          <w:szCs w:val="24"/>
          <w:lang w:val="en-US" w:eastAsia="zh-CN"/>
        </w:rPr>
        <w:t>采购</w:t>
      </w:r>
      <w:r>
        <w:rPr>
          <w:rFonts w:hint="eastAsia" w:ascii="宋体" w:hAnsi="宋体" w:eastAsia="宋体" w:cs="宋体"/>
          <w:color w:val="FF0000"/>
          <w:sz w:val="24"/>
          <w:szCs w:val="24"/>
          <w:u w:val="single"/>
          <w:lang w:val="en-US" w:eastAsia="zh-CN"/>
        </w:rPr>
        <w:t>超低温冷冻箱等设备</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FF0000"/>
          <w:sz w:val="24"/>
          <w:szCs w:val="24"/>
          <w:u w:val="single"/>
          <w:lang w:val="en-US" w:eastAsia="zh-CN"/>
        </w:rPr>
        <w:t>超低温冷冻箱等设备</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kern w:val="2"/>
          <w:sz w:val="24"/>
          <w:szCs w:val="24"/>
          <w:lang w:val="en-US" w:eastAsia="zh-CN" w:bidi="ar-SA"/>
        </w:rPr>
        <w:t xml:space="preserve">第一条 </w:t>
      </w: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9"/>
        <w:tblpPr w:leftFromText="180" w:rightFromText="180" w:vertAnchor="text" w:horzAnchor="page" w:tblpX="1682" w:tblpY="148"/>
        <w:tblOverlap w:val="never"/>
        <w:tblW w:w="86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7"/>
        <w:gridCol w:w="1233"/>
        <w:gridCol w:w="950"/>
        <w:gridCol w:w="1150"/>
        <w:gridCol w:w="1417"/>
        <w:gridCol w:w="1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767" w:type="dxa"/>
            <w:noWrap w:val="0"/>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设备</w:t>
            </w:r>
            <w:r>
              <w:rPr>
                <w:rFonts w:hint="eastAsia" w:ascii="宋体" w:hAnsi="宋体" w:eastAsia="宋体" w:cs="宋体"/>
                <w:color w:val="000000" w:themeColor="text1"/>
                <w:kern w:val="0"/>
                <w:sz w:val="21"/>
                <w:szCs w:val="21"/>
                <w14:textFill>
                  <w14:solidFill>
                    <w14:schemeClr w14:val="tx1"/>
                  </w14:solidFill>
                </w14:textFill>
              </w:rPr>
              <w:t>名称</w:t>
            </w:r>
          </w:p>
        </w:tc>
        <w:tc>
          <w:tcPr>
            <w:tcW w:w="1233" w:type="dxa"/>
            <w:noWrap w:val="0"/>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eastAsia="zh-CN"/>
                <w14:textFill>
                  <w14:solidFill>
                    <w14:schemeClr w14:val="tx1"/>
                  </w14:solidFill>
                </w14:textFill>
              </w:rPr>
            </w:pPr>
            <w:r>
              <w:rPr>
                <w:rFonts w:hint="eastAsia" w:ascii="宋体" w:hAnsi="宋体" w:eastAsia="宋体" w:cs="宋体"/>
                <w:color w:val="000000" w:themeColor="text1"/>
                <w:kern w:val="0"/>
                <w:sz w:val="21"/>
                <w:szCs w:val="21"/>
                <w:lang w:eastAsia="zh-CN"/>
                <w14:textFill>
                  <w14:solidFill>
                    <w14:schemeClr w14:val="tx1"/>
                  </w14:solidFill>
                </w14:textFill>
              </w:rPr>
              <w:t>品牌</w:t>
            </w:r>
          </w:p>
        </w:tc>
        <w:tc>
          <w:tcPr>
            <w:tcW w:w="950" w:type="dxa"/>
            <w:noWrap w:val="0"/>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eastAsia="zh-CN"/>
                <w14:textFill>
                  <w14:solidFill>
                    <w14:schemeClr w14:val="tx1"/>
                  </w14:solidFill>
                </w14:textFill>
              </w:rPr>
            </w:pPr>
            <w:r>
              <w:rPr>
                <w:rFonts w:hint="eastAsia" w:ascii="宋体" w:hAnsi="宋体" w:eastAsia="宋体" w:cs="宋体"/>
                <w:color w:val="000000" w:themeColor="text1"/>
                <w:kern w:val="0"/>
                <w:sz w:val="21"/>
                <w:szCs w:val="21"/>
                <w:lang w:eastAsia="zh-CN"/>
                <w14:textFill>
                  <w14:solidFill>
                    <w14:schemeClr w14:val="tx1"/>
                  </w14:solidFill>
                </w14:textFill>
              </w:rPr>
              <w:t>型号</w:t>
            </w:r>
          </w:p>
        </w:tc>
        <w:tc>
          <w:tcPr>
            <w:tcW w:w="1150" w:type="dxa"/>
            <w:noWrap w:val="0"/>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单价（元）</w:t>
            </w:r>
          </w:p>
        </w:tc>
        <w:tc>
          <w:tcPr>
            <w:tcW w:w="1417" w:type="dxa"/>
            <w:noWrap w:val="0"/>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eastAsia="zh-CN"/>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数量</w:t>
            </w:r>
            <w:r>
              <w:rPr>
                <w:rFonts w:hint="eastAsia" w:ascii="宋体" w:hAnsi="宋体" w:eastAsia="宋体" w:cs="宋体"/>
                <w:color w:val="000000" w:themeColor="text1"/>
                <w:kern w:val="0"/>
                <w:sz w:val="21"/>
                <w:szCs w:val="21"/>
                <w:lang w:eastAsia="zh-CN"/>
                <w14:textFill>
                  <w14:solidFill>
                    <w14:schemeClr w14:val="tx1"/>
                  </w14:solidFill>
                </w14:textFill>
              </w:rPr>
              <w:t>（</w:t>
            </w:r>
            <w:r>
              <w:rPr>
                <w:rFonts w:hint="eastAsia" w:ascii="宋体" w:hAnsi="宋体" w:eastAsia="宋体" w:cs="宋体"/>
                <w:color w:val="000000" w:themeColor="text1"/>
                <w:kern w:val="0"/>
                <w:sz w:val="21"/>
                <w:szCs w:val="21"/>
                <w:lang w:val="en-US" w:eastAsia="zh-CN"/>
                <w14:textFill>
                  <w14:solidFill>
                    <w14:schemeClr w14:val="tx1"/>
                  </w14:solidFill>
                </w14:textFill>
              </w:rPr>
              <w:t>台/套</w:t>
            </w:r>
            <w:r>
              <w:rPr>
                <w:rFonts w:hint="eastAsia" w:ascii="宋体" w:hAnsi="宋体" w:eastAsia="宋体" w:cs="宋体"/>
                <w:color w:val="000000" w:themeColor="text1"/>
                <w:kern w:val="0"/>
                <w:sz w:val="21"/>
                <w:szCs w:val="21"/>
                <w:lang w:eastAsia="zh-CN"/>
                <w14:textFill>
                  <w14:solidFill>
                    <w14:schemeClr w14:val="tx1"/>
                  </w14:solidFill>
                </w14:textFill>
              </w:rPr>
              <w:t>）</w:t>
            </w:r>
          </w:p>
        </w:tc>
        <w:tc>
          <w:tcPr>
            <w:tcW w:w="1177" w:type="dxa"/>
            <w:noWrap w:val="0"/>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767" w:type="dxa"/>
            <w:noWrap w:val="0"/>
            <w:vAlign w:val="center"/>
          </w:tcPr>
          <w:p>
            <w:pPr>
              <w:keepNext w:val="0"/>
              <w:keepLines w:val="0"/>
              <w:pageBreakBefore w:val="0"/>
              <w:kinsoku/>
              <w:wordWrap/>
              <w:overflowPunct/>
              <w:topLinePunct w:val="0"/>
              <w:autoSpaceDE/>
              <w:autoSpaceDN/>
              <w:bidi w:val="0"/>
              <w:adjustRightInd/>
              <w:snapToGrid/>
              <w:spacing w:beforeLines="0" w:afterLines="0" w:line="400" w:lineRule="exact"/>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-70度冷冻箱</w:t>
            </w:r>
          </w:p>
        </w:tc>
        <w:tc>
          <w:tcPr>
            <w:tcW w:w="12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 xml:space="preserve"> </w:t>
            </w:r>
          </w:p>
        </w:tc>
        <w:tc>
          <w:tcPr>
            <w:tcW w:w="950" w:type="dxa"/>
            <w:noWrap w:val="0"/>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p>
        </w:tc>
        <w:tc>
          <w:tcPr>
            <w:tcW w:w="1150" w:type="dxa"/>
            <w:noWrap w:val="0"/>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 xml:space="preserve"> </w:t>
            </w:r>
          </w:p>
        </w:tc>
        <w:tc>
          <w:tcPr>
            <w:tcW w:w="1417" w:type="dxa"/>
            <w:noWrap w:val="0"/>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1</w:t>
            </w:r>
          </w:p>
        </w:tc>
        <w:tc>
          <w:tcPr>
            <w:tcW w:w="1177" w:type="dxa"/>
            <w:noWrap w:val="0"/>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767" w:type="dxa"/>
            <w:noWrap w:val="0"/>
            <w:vAlign w:val="center"/>
          </w:tcPr>
          <w:p>
            <w:pPr>
              <w:keepNext w:val="0"/>
              <w:keepLines w:val="0"/>
              <w:pageBreakBefore w:val="0"/>
              <w:kinsoku/>
              <w:wordWrap/>
              <w:overflowPunct/>
              <w:topLinePunct w:val="0"/>
              <w:autoSpaceDE/>
              <w:autoSpaceDN/>
              <w:bidi w:val="0"/>
              <w:adjustRightInd/>
              <w:snapToGrid/>
              <w:spacing w:beforeLines="0" w:afterLines="0" w:line="400" w:lineRule="exact"/>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医用冷藏冰箱</w:t>
            </w:r>
            <w:r>
              <w:rPr>
                <w:rFonts w:hint="eastAsia" w:ascii="宋体" w:hAnsi="宋体" w:eastAsia="宋体" w:cs="宋体"/>
                <w:color w:val="FF0000"/>
                <w:sz w:val="21"/>
                <w:szCs w:val="21"/>
              </w:rPr>
              <w:t>（≥350L）</w:t>
            </w:r>
          </w:p>
        </w:tc>
        <w:tc>
          <w:tcPr>
            <w:tcW w:w="12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p>
        </w:tc>
        <w:tc>
          <w:tcPr>
            <w:tcW w:w="950" w:type="dxa"/>
            <w:noWrap w:val="0"/>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p>
        </w:tc>
        <w:tc>
          <w:tcPr>
            <w:tcW w:w="1150" w:type="dxa"/>
            <w:noWrap w:val="0"/>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p>
        </w:tc>
        <w:tc>
          <w:tcPr>
            <w:tcW w:w="1417" w:type="dxa"/>
            <w:noWrap w:val="0"/>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1</w:t>
            </w:r>
          </w:p>
        </w:tc>
        <w:tc>
          <w:tcPr>
            <w:tcW w:w="1177" w:type="dxa"/>
            <w:noWrap w:val="0"/>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767" w:type="dxa"/>
            <w:noWrap w:val="0"/>
            <w:vAlign w:val="center"/>
          </w:tcPr>
          <w:p>
            <w:pPr>
              <w:keepNext w:val="0"/>
              <w:keepLines w:val="0"/>
              <w:pageBreakBefore w:val="0"/>
              <w:kinsoku/>
              <w:wordWrap/>
              <w:overflowPunct/>
              <w:topLinePunct w:val="0"/>
              <w:autoSpaceDE/>
              <w:autoSpaceDN/>
              <w:bidi w:val="0"/>
              <w:adjustRightInd/>
              <w:snapToGrid/>
              <w:spacing w:beforeLines="0" w:afterLines="0" w:line="400" w:lineRule="exact"/>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医用冷藏</w:t>
            </w:r>
            <w:r>
              <w:rPr>
                <w:rFonts w:hint="eastAsia" w:ascii="宋体" w:hAnsi="宋体" w:eastAsia="宋体" w:cs="宋体"/>
                <w:color w:val="FF0000"/>
                <w:sz w:val="21"/>
                <w:szCs w:val="21"/>
              </w:rPr>
              <w:t>展示</w:t>
            </w:r>
            <w:r>
              <w:rPr>
                <w:rFonts w:hint="eastAsia" w:ascii="宋体" w:hAnsi="宋体" w:eastAsia="宋体" w:cs="宋体"/>
                <w:color w:val="000000"/>
                <w:sz w:val="21"/>
                <w:szCs w:val="21"/>
              </w:rPr>
              <w:t>冰箱</w:t>
            </w:r>
            <w:r>
              <w:rPr>
                <w:rFonts w:hint="eastAsia" w:ascii="宋体" w:hAnsi="宋体" w:eastAsia="宋体" w:cs="宋体"/>
                <w:color w:val="0000FF"/>
                <w:sz w:val="21"/>
                <w:szCs w:val="21"/>
                <w:lang w:val="en-US" w:eastAsia="zh-CN"/>
              </w:rPr>
              <w:t>(双开门</w:t>
            </w:r>
            <w:r>
              <w:rPr>
                <w:rFonts w:hint="eastAsia" w:ascii="宋体" w:hAnsi="宋体" w:eastAsia="宋体" w:cs="宋体"/>
                <w:color w:val="000000"/>
                <w:sz w:val="21"/>
                <w:szCs w:val="21"/>
                <w:lang w:val="en-US" w:eastAsia="zh-CN"/>
              </w:rPr>
              <w:t>）</w:t>
            </w:r>
          </w:p>
        </w:tc>
        <w:tc>
          <w:tcPr>
            <w:tcW w:w="12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p>
        </w:tc>
        <w:tc>
          <w:tcPr>
            <w:tcW w:w="950" w:type="dxa"/>
            <w:noWrap w:val="0"/>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p>
        </w:tc>
        <w:tc>
          <w:tcPr>
            <w:tcW w:w="1150" w:type="dxa"/>
            <w:noWrap w:val="0"/>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p>
        </w:tc>
        <w:tc>
          <w:tcPr>
            <w:tcW w:w="1417" w:type="dxa"/>
            <w:noWrap w:val="0"/>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4</w:t>
            </w:r>
          </w:p>
        </w:tc>
        <w:tc>
          <w:tcPr>
            <w:tcW w:w="1177" w:type="dxa"/>
            <w:noWrap w:val="0"/>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767" w:type="dxa"/>
            <w:noWrap w:val="0"/>
            <w:vAlign w:val="center"/>
          </w:tcPr>
          <w:p>
            <w:pPr>
              <w:keepNext w:val="0"/>
              <w:keepLines w:val="0"/>
              <w:pageBreakBefore w:val="0"/>
              <w:kinsoku/>
              <w:wordWrap/>
              <w:overflowPunct/>
              <w:topLinePunct w:val="0"/>
              <w:autoSpaceDE/>
              <w:autoSpaceDN/>
              <w:bidi w:val="0"/>
              <w:adjustRightInd/>
              <w:snapToGrid/>
              <w:spacing w:beforeLines="0" w:afterLines="0" w:line="400" w:lineRule="exact"/>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FF0000"/>
                <w:kern w:val="2"/>
                <w:sz w:val="21"/>
                <w:szCs w:val="21"/>
                <w:lang w:val="en-US" w:eastAsia="zh-CN" w:bidi="ar-SA"/>
              </w:rPr>
              <w:t>医用冷藏冷冻冰箱</w:t>
            </w:r>
          </w:p>
        </w:tc>
        <w:tc>
          <w:tcPr>
            <w:tcW w:w="12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p>
        </w:tc>
        <w:tc>
          <w:tcPr>
            <w:tcW w:w="950" w:type="dxa"/>
            <w:noWrap w:val="0"/>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p>
        </w:tc>
        <w:tc>
          <w:tcPr>
            <w:tcW w:w="1150" w:type="dxa"/>
            <w:noWrap w:val="0"/>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p>
        </w:tc>
        <w:tc>
          <w:tcPr>
            <w:tcW w:w="1417"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5</w:t>
            </w:r>
          </w:p>
        </w:tc>
        <w:tc>
          <w:tcPr>
            <w:tcW w:w="1177" w:type="dxa"/>
            <w:noWrap w:val="0"/>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767" w:type="dxa"/>
            <w:noWrap w:val="0"/>
            <w:vAlign w:val="center"/>
          </w:tcPr>
          <w:p>
            <w:pPr>
              <w:keepNext w:val="0"/>
              <w:keepLines w:val="0"/>
              <w:pageBreakBefore w:val="0"/>
              <w:kinsoku/>
              <w:wordWrap/>
              <w:overflowPunct/>
              <w:topLinePunct w:val="0"/>
              <w:autoSpaceDE/>
              <w:autoSpaceDN/>
              <w:bidi w:val="0"/>
              <w:adjustRightInd/>
              <w:snapToGrid/>
              <w:spacing w:beforeLines="0" w:afterLines="0" w:line="400" w:lineRule="exact"/>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FF0000"/>
                <w:kern w:val="2"/>
                <w:sz w:val="21"/>
                <w:szCs w:val="21"/>
                <w:lang w:val="en-US" w:eastAsia="zh-CN" w:bidi="ar-SA"/>
              </w:rPr>
              <w:t>-18度以下医用冷冻箱</w:t>
            </w:r>
          </w:p>
        </w:tc>
        <w:tc>
          <w:tcPr>
            <w:tcW w:w="12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p>
        </w:tc>
        <w:tc>
          <w:tcPr>
            <w:tcW w:w="950" w:type="dxa"/>
            <w:noWrap w:val="0"/>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p>
        </w:tc>
        <w:tc>
          <w:tcPr>
            <w:tcW w:w="1150" w:type="dxa"/>
            <w:noWrap w:val="0"/>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p>
        </w:tc>
        <w:tc>
          <w:tcPr>
            <w:tcW w:w="1417" w:type="dxa"/>
            <w:noWrap w:val="0"/>
            <w:vAlign w:val="center"/>
          </w:tcPr>
          <w:p>
            <w:pPr>
              <w:keepNext w:val="0"/>
              <w:keepLines w:val="0"/>
              <w:pageBreakBefore w:val="0"/>
              <w:kinsoku/>
              <w:wordWrap/>
              <w:overflowPunct/>
              <w:topLinePunct w:val="0"/>
              <w:autoSpaceDE/>
              <w:autoSpaceDN/>
              <w:bidi w:val="0"/>
              <w:adjustRightInd/>
              <w:snapToGrid/>
              <w:spacing w:beforeLines="0" w:afterLines="0" w:line="400" w:lineRule="exact"/>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themeColor="text1"/>
                <w:kern w:val="0"/>
                <w:sz w:val="21"/>
                <w:szCs w:val="21"/>
                <w:lang w:val="en-US" w:eastAsia="zh-CN"/>
                <w14:textFill>
                  <w14:solidFill>
                    <w14:schemeClr w14:val="tx1"/>
                  </w14:solidFill>
                </w14:textFill>
              </w:rPr>
              <w:t>1</w:t>
            </w:r>
          </w:p>
        </w:tc>
        <w:tc>
          <w:tcPr>
            <w:tcW w:w="1177" w:type="dxa"/>
            <w:noWrap w:val="0"/>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767" w:type="dxa"/>
            <w:noWrap w:val="0"/>
            <w:vAlign w:val="center"/>
          </w:tcPr>
          <w:p>
            <w:pPr>
              <w:keepNext w:val="0"/>
              <w:keepLines w:val="0"/>
              <w:pageBreakBefore w:val="0"/>
              <w:kinsoku/>
              <w:wordWrap/>
              <w:overflowPunct/>
              <w:topLinePunct w:val="0"/>
              <w:autoSpaceDE/>
              <w:autoSpaceDN/>
              <w:bidi w:val="0"/>
              <w:adjustRightInd/>
              <w:snapToGrid/>
              <w:spacing w:beforeLines="0" w:afterLines="0" w:line="400" w:lineRule="exact"/>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FF0000"/>
                <w:kern w:val="2"/>
                <w:sz w:val="21"/>
                <w:szCs w:val="21"/>
                <w:lang w:val="en-US" w:eastAsia="zh-CN" w:bidi="ar-SA"/>
              </w:rPr>
              <w:t>-30度以下冷冻保存箱</w:t>
            </w:r>
          </w:p>
        </w:tc>
        <w:tc>
          <w:tcPr>
            <w:tcW w:w="12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p>
        </w:tc>
        <w:tc>
          <w:tcPr>
            <w:tcW w:w="950" w:type="dxa"/>
            <w:noWrap w:val="0"/>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p>
        </w:tc>
        <w:tc>
          <w:tcPr>
            <w:tcW w:w="1150" w:type="dxa"/>
            <w:noWrap w:val="0"/>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p>
        </w:tc>
        <w:tc>
          <w:tcPr>
            <w:tcW w:w="1417" w:type="dxa"/>
            <w:noWrap w:val="0"/>
            <w:vAlign w:val="center"/>
          </w:tcPr>
          <w:p>
            <w:pPr>
              <w:keepNext w:val="0"/>
              <w:keepLines w:val="0"/>
              <w:pageBreakBefore w:val="0"/>
              <w:kinsoku/>
              <w:wordWrap/>
              <w:overflowPunct/>
              <w:topLinePunct w:val="0"/>
              <w:autoSpaceDE/>
              <w:autoSpaceDN/>
              <w:bidi w:val="0"/>
              <w:adjustRightInd/>
              <w:snapToGrid/>
              <w:spacing w:beforeLines="0" w:afterLines="0" w:line="400" w:lineRule="exact"/>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themeColor="text1"/>
                <w:kern w:val="0"/>
                <w:sz w:val="21"/>
                <w:szCs w:val="21"/>
                <w:lang w:val="en-US" w:eastAsia="zh-CN"/>
                <w14:textFill>
                  <w14:solidFill>
                    <w14:schemeClr w14:val="tx1"/>
                  </w14:solidFill>
                </w14:textFill>
              </w:rPr>
              <w:t>1</w:t>
            </w:r>
          </w:p>
        </w:tc>
        <w:tc>
          <w:tcPr>
            <w:tcW w:w="1177" w:type="dxa"/>
            <w:noWrap w:val="0"/>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767" w:type="dxa"/>
            <w:noWrap w:val="0"/>
            <w:vAlign w:val="center"/>
          </w:tcPr>
          <w:p>
            <w:pPr>
              <w:keepNext w:val="0"/>
              <w:keepLines w:val="0"/>
              <w:pageBreakBefore w:val="0"/>
              <w:kinsoku/>
              <w:wordWrap/>
              <w:overflowPunct/>
              <w:topLinePunct w:val="0"/>
              <w:autoSpaceDE/>
              <w:autoSpaceDN/>
              <w:bidi w:val="0"/>
              <w:adjustRightInd/>
              <w:snapToGrid/>
              <w:spacing w:beforeLines="0" w:afterLines="0" w:line="400" w:lineRule="exact"/>
              <w:jc w:val="center"/>
              <w:textAlignment w:val="auto"/>
              <w:rPr>
                <w:rFonts w:hint="eastAsia" w:ascii="宋体" w:hAnsi="宋体" w:eastAsia="宋体" w:cs="宋体"/>
                <w:color w:val="FF0000"/>
                <w:kern w:val="2"/>
                <w:sz w:val="21"/>
                <w:szCs w:val="21"/>
                <w:lang w:val="en-US" w:eastAsia="zh-CN" w:bidi="ar-SA"/>
              </w:rPr>
            </w:pPr>
            <w:r>
              <w:rPr>
                <w:rFonts w:hint="eastAsia" w:ascii="宋体" w:hAnsi="宋体" w:eastAsia="宋体" w:cs="宋体"/>
                <w:color w:val="FF0000"/>
                <w:kern w:val="2"/>
                <w:sz w:val="21"/>
                <w:szCs w:val="21"/>
                <w:lang w:val="en-US" w:eastAsia="zh-CN" w:bidi="ar-SA"/>
              </w:rPr>
              <w:t>4G采集器</w:t>
            </w:r>
          </w:p>
        </w:tc>
        <w:tc>
          <w:tcPr>
            <w:tcW w:w="1233" w:type="dxa"/>
            <w:noWrap w:val="0"/>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p>
        </w:tc>
        <w:tc>
          <w:tcPr>
            <w:tcW w:w="950" w:type="dxa"/>
            <w:noWrap w:val="0"/>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p>
        </w:tc>
        <w:tc>
          <w:tcPr>
            <w:tcW w:w="1150" w:type="dxa"/>
            <w:noWrap w:val="0"/>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p>
        </w:tc>
        <w:tc>
          <w:tcPr>
            <w:tcW w:w="1417" w:type="dxa"/>
            <w:noWrap w:val="0"/>
            <w:vAlign w:val="center"/>
          </w:tcPr>
          <w:p>
            <w:pPr>
              <w:keepNext w:val="0"/>
              <w:keepLines w:val="0"/>
              <w:pageBreakBefore w:val="0"/>
              <w:kinsoku/>
              <w:wordWrap/>
              <w:overflowPunct/>
              <w:topLinePunct w:val="0"/>
              <w:autoSpaceDE/>
              <w:autoSpaceDN/>
              <w:bidi w:val="0"/>
              <w:adjustRightInd/>
              <w:snapToGrid/>
              <w:spacing w:beforeLines="0" w:afterLines="0" w:line="40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6</w:t>
            </w:r>
          </w:p>
        </w:tc>
        <w:tc>
          <w:tcPr>
            <w:tcW w:w="1177" w:type="dxa"/>
            <w:noWrap w:val="0"/>
            <w:vAlign w:val="top"/>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694" w:type="dxa"/>
            <w:gridSpan w:val="6"/>
            <w:noWrap w:val="0"/>
            <w:vAlign w:val="top"/>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themeColor="text1"/>
                <w:kern w:val="0"/>
                <w:sz w:val="21"/>
                <w:szCs w:val="21"/>
                <w:lang w:val="en-US" w:eastAsia="zh-CN"/>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合计</w:t>
            </w:r>
            <w:r>
              <w:rPr>
                <w:rFonts w:hint="eastAsia" w:ascii="宋体" w:hAnsi="宋体" w:eastAsia="宋体" w:cs="宋体"/>
                <w:color w:val="000000" w:themeColor="text1"/>
                <w:kern w:val="0"/>
                <w:sz w:val="21"/>
                <w:szCs w:val="21"/>
                <w:lang w:eastAsia="zh-CN"/>
                <w14:textFill>
                  <w14:solidFill>
                    <w14:schemeClr w14:val="tx1"/>
                  </w14:solidFill>
                </w14:textFill>
              </w:rPr>
              <w:t>价款</w:t>
            </w:r>
            <w:r>
              <w:rPr>
                <w:rFonts w:hint="eastAsia" w:ascii="宋体" w:hAnsi="宋体" w:eastAsia="宋体" w:cs="宋体"/>
                <w:color w:val="000000" w:themeColor="text1"/>
                <w:kern w:val="0"/>
                <w:sz w:val="21"/>
                <w:szCs w:val="21"/>
                <w14:textFill>
                  <w14:solidFill>
                    <w14:schemeClr w14:val="tx1"/>
                  </w14:solidFill>
                </w14:textFill>
              </w:rPr>
              <w:t>金额（大写）：</w:t>
            </w:r>
            <w:r>
              <w:rPr>
                <w:rFonts w:hint="eastAsia" w:ascii="宋体" w:hAnsi="宋体" w:eastAsia="宋体" w:cs="宋体"/>
                <w:color w:val="000000" w:themeColor="text1"/>
                <w:kern w:val="0"/>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lang w:eastAsia="zh-CN"/>
                <w14:textFill>
                  <w14:solidFill>
                    <w14:schemeClr w14:val="tx1"/>
                  </w14:solidFill>
                </w14:textFill>
              </w:rPr>
              <w:t>元</w:t>
            </w:r>
            <w:r>
              <w:rPr>
                <w:rFonts w:hint="eastAsia" w:ascii="宋体" w:hAnsi="宋体" w:eastAsia="宋体" w:cs="宋体"/>
                <w:color w:val="000000" w:themeColor="text1"/>
                <w:kern w:val="0"/>
                <w:sz w:val="21"/>
                <w:szCs w:val="21"/>
                <w:lang w:val="en-US" w:eastAsia="zh-CN"/>
                <w14:textFill>
                  <w14:solidFill>
                    <w14:schemeClr w14:val="tx1"/>
                  </w14:solidFill>
                </w14:textFill>
              </w:rPr>
              <w:t xml:space="preserve">整                   </w:t>
            </w:r>
            <w:r>
              <w:rPr>
                <w:rFonts w:hint="eastAsia" w:ascii="宋体" w:hAnsi="宋体" w:eastAsia="宋体" w:cs="宋体"/>
                <w:color w:val="000000" w:themeColor="text1"/>
                <w:kern w:val="0"/>
                <w:sz w:val="21"/>
                <w:szCs w:val="21"/>
                <w14:textFill>
                  <w14:solidFill>
                    <w14:schemeClr w14:val="tx1"/>
                  </w14:solidFill>
                </w14:textFill>
              </w:rPr>
              <w:t>人民币（小写）：</w:t>
            </w:r>
            <w:r>
              <w:rPr>
                <w:rFonts w:hint="eastAsia" w:ascii="宋体" w:hAnsi="宋体" w:eastAsia="宋体" w:cs="宋体"/>
                <w:color w:val="000000" w:themeColor="text1"/>
                <w:kern w:val="0"/>
                <w:sz w:val="2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1"/>
                <w:szCs w:val="21"/>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w:t>
      </w:r>
      <w:r>
        <w:rPr>
          <w:rFonts w:hint="eastAsia" w:ascii="宋体" w:hAnsi="宋体" w:eastAsia="宋体" w:cs="宋体"/>
          <w:color w:val="0000FF"/>
          <w:sz w:val="24"/>
          <w:szCs w:val="24"/>
          <w:lang w:val="en-US" w:eastAsia="zh-CN"/>
        </w:rPr>
        <w:t>在本合同履行期间，不因市场价格波动作任何调整。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FF0000"/>
          <w:sz w:val="24"/>
          <w:szCs w:val="24"/>
          <w:lang w:val="en-US" w:eastAsia="zh-CN"/>
        </w:rPr>
      </w:pPr>
      <w:r>
        <w:rPr>
          <w:rFonts w:hint="eastAsia" w:ascii="宋体" w:hAnsi="宋体" w:eastAsia="宋体" w:cs="宋体"/>
          <w:color w:val="FF0000"/>
          <w:sz w:val="24"/>
          <w:szCs w:val="24"/>
          <w:lang w:val="en-US" w:eastAsia="zh-CN"/>
        </w:rPr>
        <w:t>1.4 乙方提供-70度冷冻箱、医用冷藏冰箱（≥350L）、医用冷藏展示冰箱(双开门）6台设备安装的</w:t>
      </w:r>
      <w:r>
        <w:rPr>
          <w:rFonts w:hint="eastAsia" w:ascii="宋体" w:hAnsi="宋体" w:cs="宋体"/>
          <w:b w:val="0"/>
          <w:bCs w:val="0"/>
          <w:color w:val="000000"/>
          <w:kern w:val="0"/>
          <w:sz w:val="24"/>
          <w:szCs w:val="18"/>
          <w:lang w:val="en-US" w:eastAsia="zh-CN"/>
        </w:rPr>
        <w:t>温度监控云平台</w:t>
      </w:r>
      <w:r>
        <w:rPr>
          <w:rFonts w:hint="eastAsia" w:ascii="宋体" w:hAnsi="宋体" w:eastAsia="宋体" w:cs="宋体"/>
          <w:color w:val="FF0000"/>
          <w:sz w:val="24"/>
          <w:szCs w:val="24"/>
          <w:lang w:val="en-US" w:eastAsia="zh-CN"/>
        </w:rPr>
        <w:t>管理软件3年免费使用期限，使用期限自本合同设备总体验收合格之日起算；管理软件在免费使用期限内的故障及升级等，均由乙方负责免费处置到位，确保管理软件运行正常，能够满足甲方需求。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kern w:val="2"/>
          <w:sz w:val="24"/>
          <w:szCs w:val="24"/>
          <w:lang w:val="en-US" w:eastAsia="zh-CN" w:bidi="ar-SA"/>
        </w:rPr>
        <w:t xml:space="preserve">第二条 </w:t>
      </w: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w:t>
      </w:r>
      <w:r>
        <w:rPr>
          <w:rFonts w:hint="default" w:ascii="宋体" w:hAnsi="宋体" w:eastAsia="宋体" w:cs="宋体"/>
          <w:color w:val="FF0000"/>
          <w:sz w:val="24"/>
          <w:szCs w:val="24"/>
          <w:lang w:val="en-US" w:eastAsia="zh-CN"/>
        </w:rPr>
        <w:t>应在接到甲方通知15日内</w:t>
      </w:r>
      <w:r>
        <w:rPr>
          <w:rFonts w:hint="default" w:ascii="宋体" w:hAnsi="宋体" w:eastAsia="宋体" w:cs="宋体"/>
          <w:color w:val="auto"/>
          <w:sz w:val="24"/>
          <w:szCs w:val="24"/>
          <w:lang w:val="en-US" w:eastAsia="zh-CN"/>
        </w:rPr>
        <w:t>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eastAsia" w:ascii="宋体" w:hAnsi="宋体" w:eastAsia="宋体" w:cs="宋体"/>
          <w:color w:val="auto"/>
          <w:sz w:val="24"/>
          <w:szCs w:val="24"/>
          <w:lang w:val="en-US" w:eastAsia="zh-CN"/>
        </w:rPr>
        <w:t>在</w:t>
      </w:r>
      <w:r>
        <w:rPr>
          <w:rFonts w:hint="eastAsia" w:ascii="宋体" w:hAnsi="宋体" w:eastAsia="宋体" w:cs="宋体"/>
          <w:color w:val="FF0000"/>
          <w:sz w:val="24"/>
          <w:szCs w:val="24"/>
          <w:lang w:val="en-US" w:eastAsia="zh-CN"/>
        </w:rPr>
        <w:t>到货后1日内</w:t>
      </w:r>
      <w:r>
        <w:rPr>
          <w:rFonts w:hint="default" w:ascii="宋体" w:hAnsi="宋体" w:eastAsia="宋体" w:cs="宋体"/>
          <w:color w:val="auto"/>
          <w:sz w:val="24"/>
          <w:szCs w:val="24"/>
          <w:lang w:val="en-US" w:eastAsia="zh-CN"/>
        </w:rPr>
        <w:t>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00" w:themeColor="text1"/>
          <w:sz w:val="24"/>
          <w:szCs w:val="24"/>
          <w:lang w:val="en-US" w:eastAsia="zh-CN"/>
          <w14:textFill>
            <w14:solidFill>
              <w14:schemeClr w14:val="tx1"/>
            </w14:solidFill>
          </w14:textFill>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3.2.1 到货验收：乙方将设备运至指定交货地点后，应通知甲方，并向甲方提供厂家标准资料文件（进口设备需提供真实有效的海关报关单，其他设备需提供产品合格证）和原厂售后质保承诺书。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3.2.2 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3.2.3 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numPr>
          <w:ilvl w:val="-1"/>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lang w:val="en-US" w:eastAsia="zh-CN"/>
          <w14:textFill>
            <w14:solidFill>
              <w14:schemeClr w14:val="tx1"/>
            </w14:solidFill>
          </w14:textFill>
        </w:rPr>
        <w:t>.5 甲乙双方同意，与本合同有关的任何文书，应以书面方式送达本合同约定的联系方式。书面形式包括手机短信、微信、书面函件、电子邮件等形式。</w:t>
      </w:r>
    </w:p>
    <w:p>
      <w:pPr>
        <w:keepNext w:val="0"/>
        <w:keepLines w:val="0"/>
        <w:pageBreakBefore w:val="0"/>
        <w:widowControl/>
        <w:numPr>
          <w:ilvl w:val="-1"/>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4.6双方确认的文书（包括未来可能发生的诉讼或仲裁活动中法院或仲裁机构的送达法律文书）送达地址：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4.6.1甲方的文书送达地址：</w:t>
      </w:r>
      <w:r>
        <w:rPr>
          <w:rFonts w:hint="eastAsia" w:ascii="宋体" w:hAnsi="宋体" w:eastAsia="宋体" w:cs="宋体"/>
          <w:color w:val="000000" w:themeColor="text1"/>
          <w:sz w:val="24"/>
          <w:szCs w:val="24"/>
          <w:u w:val="single"/>
          <w:lang w:val="en-US" w:eastAsia="zh-CN"/>
          <w14:textFill>
            <w14:solidFill>
              <w14:schemeClr w14:val="tx1"/>
            </w14:solidFill>
          </w14:textFill>
        </w:rPr>
        <w:t>湖南省娄底市娄星区长青中街51号娄底市中心医院</w:t>
      </w:r>
      <w:r>
        <w:rPr>
          <w:rFonts w:hint="eastAsia" w:ascii="宋体" w:hAnsi="宋体" w:eastAsia="宋体" w:cs="宋体"/>
          <w:color w:val="000000" w:themeColor="text1"/>
          <w:sz w:val="24"/>
          <w:szCs w:val="24"/>
          <w:lang w:val="en-US" w:eastAsia="zh-CN"/>
          <w14:textFill>
            <w14:solidFill>
              <w14:schemeClr w14:val="tx1"/>
            </w14:solidFill>
          </w14:textFill>
        </w:rPr>
        <w:t>；收件人：</w:t>
      </w:r>
      <w:r>
        <w:rPr>
          <w:rFonts w:hint="eastAsia" w:ascii="宋体" w:hAnsi="宋体" w:eastAsia="宋体" w:cs="宋体"/>
          <w:color w:val="000000" w:themeColor="text1"/>
          <w:sz w:val="24"/>
          <w:szCs w:val="24"/>
          <w:u w:val="single"/>
          <w:lang w:val="en-US" w:eastAsia="zh-CN"/>
          <w14:textFill>
            <w14:solidFill>
              <w14:schemeClr w14:val="tx1"/>
            </w14:solidFill>
          </w14:textFill>
        </w:rPr>
        <w:t>朱振宇</w:t>
      </w:r>
      <w:r>
        <w:rPr>
          <w:rFonts w:hint="eastAsia" w:ascii="宋体" w:hAnsi="宋体" w:eastAsia="宋体" w:cs="宋体"/>
          <w:color w:val="000000" w:themeColor="text1"/>
          <w:sz w:val="24"/>
          <w:szCs w:val="24"/>
          <w:lang w:val="en-US" w:eastAsia="zh-CN"/>
          <w14:textFill>
            <w14:solidFill>
              <w14:schemeClr w14:val="tx1"/>
            </w14:solidFill>
          </w14:textFill>
        </w:rPr>
        <w:t>，联系电话：</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15673845559 </w:t>
      </w:r>
      <w:r>
        <w:rPr>
          <w:rFonts w:hint="eastAsia" w:ascii="宋体" w:hAnsi="宋体" w:eastAsia="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4.6.2 乙方的文书送达地址</w:t>
      </w:r>
      <w:r>
        <w:rPr>
          <w:rFonts w:hint="eastAsia" w:ascii="宋体" w:hAnsi="宋体" w:eastAsia="宋体" w:cs="宋体"/>
          <w:color w:val="000000" w:themeColor="text1"/>
          <w:sz w:val="24"/>
          <w:szCs w:val="24"/>
          <w:u w:val="none"/>
          <w:lang w:val="en-US" w:eastAsia="zh-CN"/>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；联系人：</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none"/>
          <w:lang w:val="en-US"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联系电话：</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none"/>
          <w:lang w:val="en-US" w:eastAsia="zh-CN"/>
          <w14:textFill>
            <w14:solidFill>
              <w14:schemeClr w14:val="tx1"/>
            </w14:solidFill>
          </w14:textFill>
        </w:rPr>
        <w:t xml:space="preserve">。 </w:t>
      </w:r>
    </w:p>
    <w:p>
      <w:pPr>
        <w:keepNext w:val="0"/>
        <w:keepLines w:val="0"/>
        <w:pageBreakBefore w:val="0"/>
        <w:widowControl/>
        <w:numPr>
          <w:ilvl w:val="-1"/>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4.7上述通知应被视为在下列时间送达：以快递或专人发送的，在收件人签收之日或拒收之日；以挂号邮件发出的，在发出之日起7个工作日；以电子邮件发出的，在电子邮件进入收件方电子邮箱服务器之日。</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4.8以上地址和联系方式，任何一方发生变更应在变更之日起三日内通知对方。如未通知，一方按原地址送达的书面资料被退回的，退回之日视为送达之日。任何一方按照确认地址送到另一方的书面资料被拒绝签收导致邮件被退回的，退回之日视为送达之日。</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w:t>
      </w:r>
      <w:r>
        <w:rPr>
          <w:rFonts w:hint="eastAsia" w:ascii="宋体" w:hAnsi="宋体" w:eastAsia="宋体" w:cs="宋体"/>
          <w:color w:val="auto"/>
          <w:sz w:val="24"/>
          <w:szCs w:val="24"/>
        </w:rPr>
        <w:t>-70度</w:t>
      </w:r>
      <w:r>
        <w:rPr>
          <w:rFonts w:hint="eastAsia" w:ascii="宋体" w:hAnsi="宋体" w:eastAsia="宋体" w:cs="宋体"/>
          <w:color w:val="auto"/>
          <w:sz w:val="24"/>
          <w:szCs w:val="24"/>
          <w:lang w:val="en-US" w:eastAsia="zh-CN"/>
        </w:rPr>
        <w:t>以下</w:t>
      </w:r>
      <w:r>
        <w:rPr>
          <w:rFonts w:hint="eastAsia" w:ascii="宋体" w:hAnsi="宋体" w:eastAsia="宋体" w:cs="宋体"/>
          <w:color w:val="auto"/>
          <w:sz w:val="24"/>
          <w:szCs w:val="24"/>
        </w:rPr>
        <w:t>冷冻箱</w:t>
      </w:r>
      <w:r>
        <w:rPr>
          <w:rFonts w:hint="eastAsia" w:ascii="宋体" w:hAnsi="宋体" w:eastAsia="宋体" w:cs="宋体"/>
          <w:color w:val="auto"/>
          <w:sz w:val="24"/>
          <w:szCs w:val="24"/>
          <w:lang w:val="en-US" w:eastAsia="zh-CN"/>
        </w:rPr>
        <w:t>整机质保</w:t>
      </w:r>
      <w:r>
        <w:rPr>
          <w:rFonts w:hint="eastAsia" w:ascii="宋体" w:hAnsi="宋体" w:eastAsia="宋体" w:cs="宋体"/>
          <w:color w:val="FF0000"/>
          <w:sz w:val="24"/>
          <w:szCs w:val="24"/>
          <w:lang w:val="en-US" w:eastAsia="zh-CN"/>
        </w:rPr>
        <w:t>期为</w:t>
      </w:r>
      <w:r>
        <w:rPr>
          <w:rFonts w:hint="eastAsia" w:ascii="宋体" w:hAnsi="宋体" w:eastAsia="宋体" w:cs="宋体"/>
          <w:color w:val="auto"/>
          <w:sz w:val="24"/>
          <w:szCs w:val="24"/>
          <w:lang w:val="en-US" w:eastAsia="zh-CN"/>
        </w:rPr>
        <w:t>5年，其他设备质保</w:t>
      </w:r>
      <w:r>
        <w:rPr>
          <w:rFonts w:hint="eastAsia" w:ascii="宋体" w:hAnsi="宋体" w:eastAsia="宋体" w:cs="宋体"/>
          <w:color w:val="FF0000"/>
          <w:sz w:val="24"/>
          <w:szCs w:val="24"/>
          <w:lang w:val="en-US" w:eastAsia="zh-CN"/>
        </w:rPr>
        <w:t>期为</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年</w:t>
      </w:r>
      <w:r>
        <w:rPr>
          <w:rFonts w:hint="eastAsia" w:ascii="宋体" w:hAnsi="宋体" w:eastAsia="宋体" w:cs="宋体"/>
          <w:color w:val="auto"/>
          <w:sz w:val="24"/>
          <w:szCs w:val="24"/>
          <w:lang w:val="en-US" w:eastAsia="zh-CN"/>
        </w:rPr>
        <w:t>；</w:t>
      </w:r>
      <w:r>
        <w:rPr>
          <w:rFonts w:hint="eastAsia" w:ascii="宋体" w:hAnsi="宋体" w:eastAsia="宋体" w:cs="宋体"/>
          <w:color w:val="FF0000"/>
          <w:sz w:val="24"/>
          <w:szCs w:val="24"/>
          <w:lang w:val="en-US" w:eastAsia="zh-CN"/>
        </w:rPr>
        <w:t>质保期</w:t>
      </w:r>
      <w:r>
        <w:rPr>
          <w:rFonts w:hint="eastAsia" w:ascii="宋体" w:hAnsi="宋体" w:eastAsia="宋体" w:cs="宋体"/>
          <w:color w:val="auto"/>
          <w:sz w:val="24"/>
          <w:szCs w:val="24"/>
          <w:lang w:val="en-US" w:eastAsia="zh-CN"/>
        </w:rPr>
        <w:t>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w:t>
      </w:r>
      <w:r>
        <w:rPr>
          <w:rFonts w:hint="eastAsia" w:ascii="宋体" w:hAnsi="宋体" w:eastAsia="宋体" w:cs="宋体"/>
          <w:color w:val="0000FF"/>
          <w:sz w:val="24"/>
          <w:szCs w:val="24"/>
          <w:lang w:val="en-US" w:eastAsia="zh-CN"/>
        </w:rPr>
        <w:t>响应</w:t>
      </w:r>
      <w:r>
        <w:rPr>
          <w:rFonts w:hint="eastAsia" w:ascii="宋体" w:hAnsi="宋体" w:eastAsia="宋体" w:cs="宋体"/>
          <w:color w:val="auto"/>
          <w:sz w:val="24"/>
          <w:szCs w:val="24"/>
          <w:lang w:val="en-US" w:eastAsia="zh-CN"/>
        </w:rPr>
        <w:t>，响应后4小时上门服务，相关费用由乙方承担。如乙方不及时履行保修义务，甲方有权委托第三方进行维修，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479" w:leftChars="228" w:firstLine="0" w:firstLineChars="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质保期内，乙方每年至少对设备进行一次巡检并向甲方提交巡检记录。</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w:t>
      </w:r>
      <w:r>
        <w:rPr>
          <w:rFonts w:hint="eastAsia" w:ascii="宋体" w:hAnsi="宋体" w:eastAsia="宋体" w:cs="宋体"/>
          <w:color w:val="0000FF"/>
          <w:sz w:val="24"/>
          <w:szCs w:val="24"/>
          <w:lang w:val="en-US" w:eastAsia="zh-CN"/>
        </w:rPr>
        <w:t>响应</w:t>
      </w:r>
      <w:r>
        <w:rPr>
          <w:rFonts w:hint="eastAsia" w:ascii="宋体" w:hAnsi="宋体" w:eastAsia="宋体" w:cs="宋体"/>
          <w:color w:val="auto"/>
          <w:sz w:val="24"/>
          <w:szCs w:val="24"/>
          <w:lang w:val="en-US" w:eastAsia="zh-CN"/>
        </w:rPr>
        <w:t>，响应后4小时上门服务，相关费用由甲方承担。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3</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00" w:themeColor="text1"/>
          <w:sz w:val="24"/>
          <w:szCs w:val="24"/>
          <w:lang w:val="en-US" w:eastAsia="zh-CN"/>
          <w14:textFill>
            <w14:solidFill>
              <w14:schemeClr w14:val="tx1"/>
            </w14:solidFill>
          </w14:textFill>
        </w:rPr>
        <w:t>，</w:t>
      </w:r>
      <w:r>
        <w:rPr>
          <w:rFonts w:hint="eastAsia" w:ascii="宋体" w:hAnsi="宋体" w:eastAsia="宋体" w:cs="宋体"/>
          <w:color w:val="0000FF"/>
          <w:sz w:val="24"/>
          <w:szCs w:val="24"/>
          <w:lang w:val="en-US" w:eastAsia="zh-CN"/>
        </w:rPr>
        <w:t>向乙方</w:t>
      </w:r>
      <w:r>
        <w:rPr>
          <w:rFonts w:hint="eastAsia" w:ascii="宋体" w:hAnsi="宋体" w:eastAsia="宋体" w:cs="宋体"/>
          <w:color w:val="000000" w:themeColor="text1"/>
          <w:sz w:val="24"/>
          <w:szCs w:val="24"/>
          <w:lang w:val="en-US" w:eastAsia="zh-CN"/>
          <w14:textFill>
            <w14:solidFill>
              <w14:schemeClr w14:val="tx1"/>
            </w14:solidFill>
          </w14:textFill>
        </w:rPr>
        <w:t>免息支</w:t>
      </w:r>
      <w:r>
        <w:rPr>
          <w:rFonts w:hint="eastAsia" w:ascii="宋体" w:hAnsi="宋体" w:eastAsia="宋体" w:cs="宋体"/>
          <w:color w:val="auto"/>
          <w:sz w:val="24"/>
          <w:szCs w:val="24"/>
          <w:lang w:val="en-US" w:eastAsia="zh-CN"/>
        </w:rPr>
        <w:t>付结算总价款的8%；</w:t>
      </w:r>
      <w:r>
        <w:rPr>
          <w:rFonts w:hint="eastAsia" w:ascii="宋体" w:hAnsi="宋体" w:eastAsia="宋体" w:cs="宋体"/>
          <w:color w:val="0000FF"/>
          <w:sz w:val="24"/>
          <w:szCs w:val="24"/>
          <w:lang w:val="en-US" w:eastAsia="zh-CN"/>
        </w:rPr>
        <w:t>自甲方在总体验收报告单上签字确认合格之日起满</w:t>
      </w:r>
      <w:r>
        <w:rPr>
          <w:rFonts w:hint="eastAsia" w:ascii="宋体" w:hAnsi="宋体" w:eastAsia="宋体" w:cs="宋体"/>
          <w:color w:val="0000FF"/>
          <w:sz w:val="24"/>
          <w:szCs w:val="24"/>
          <w:u w:val="single"/>
          <w:lang w:val="en-US" w:eastAsia="zh-CN"/>
        </w:rPr>
        <w:t>5</w:t>
      </w:r>
      <w:r>
        <w:rPr>
          <w:rFonts w:hint="eastAsia" w:ascii="宋体" w:hAnsi="宋体" w:eastAsia="宋体" w:cs="宋体"/>
          <w:color w:val="0000FF"/>
          <w:sz w:val="24"/>
          <w:szCs w:val="24"/>
          <w:lang w:val="en-US" w:eastAsia="zh-CN"/>
        </w:rPr>
        <w:t>年的10个工作日内，向乙方免息支付结算总价款的2%</w:t>
      </w:r>
      <w:r>
        <w:rPr>
          <w:rFonts w:hint="eastAsia" w:ascii="宋体" w:hAnsi="宋体" w:eastAsia="宋体" w:cs="宋体"/>
          <w:color w:val="auto"/>
          <w:sz w:val="24"/>
          <w:szCs w:val="24"/>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w:t>
      </w:r>
      <w:r>
        <w:rPr>
          <w:rFonts w:hint="eastAsia" w:ascii="宋体" w:hAnsi="宋体" w:eastAsia="宋体" w:cs="宋体"/>
          <w:color w:val="0000FF"/>
          <w:sz w:val="24"/>
          <w:szCs w:val="24"/>
          <w:lang w:val="en-US" w:eastAsia="zh-CN"/>
        </w:rPr>
        <w:t>向甲方</w:t>
      </w:r>
      <w:r>
        <w:rPr>
          <w:rFonts w:hint="eastAsia" w:ascii="宋体" w:hAnsi="宋体" w:eastAsia="宋体" w:cs="宋体"/>
          <w:color w:val="auto"/>
          <w:sz w:val="24"/>
          <w:szCs w:val="24"/>
          <w:lang w:val="en-US" w:eastAsia="zh-CN"/>
        </w:rPr>
        <w:t>提供以自己名义开具的与结算总价款对应的增值税普通发票送交甲方，</w:t>
      </w:r>
      <w:r>
        <w:rPr>
          <w:rFonts w:hint="eastAsia" w:ascii="宋体" w:hAnsi="宋体" w:eastAsia="宋体" w:cs="宋体"/>
          <w:color w:val="0000FF"/>
          <w:sz w:val="24"/>
          <w:szCs w:val="24"/>
          <w:lang w:val="en-US" w:eastAsia="zh-CN"/>
        </w:rPr>
        <w:t>如因乙方未及时提供发票，甲方有权顺延付款期限</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r>
        <w:rPr>
          <w:rFonts w:hint="eastAsia" w:ascii="宋体" w:hAnsi="宋体" w:eastAsia="宋体" w:cs="宋体"/>
          <w:color w:val="0000FF"/>
          <w:sz w:val="24"/>
          <w:szCs w:val="24"/>
          <w:lang w:val="en-US" w:eastAsia="zh-CN"/>
        </w:rPr>
        <w:t>责任</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8.2.1 乙方逾期</w:t>
      </w:r>
      <w:r>
        <w:rPr>
          <w:rFonts w:hint="eastAsia" w:ascii="宋体" w:hAnsi="宋体" w:eastAsia="宋体" w:cs="宋体"/>
          <w:color w:val="auto"/>
          <w:sz w:val="24"/>
          <w:szCs w:val="24"/>
          <w:u w:val="single"/>
          <w:lang w:val="en-US" w:eastAsia="zh-CN"/>
        </w:rPr>
        <w:t>30</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8.2.2 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8.2.3 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8.2.4 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0000FF"/>
          <w:sz w:val="24"/>
          <w:szCs w:val="24"/>
          <w:lang w:val="en-US" w:eastAsia="zh-CN"/>
        </w:rPr>
        <w:t>如双方在</w:t>
      </w:r>
      <w:r>
        <w:rPr>
          <w:rFonts w:hint="eastAsia" w:ascii="宋体" w:hAnsi="宋体" w:eastAsia="宋体" w:cs="宋体"/>
          <w:color w:val="auto"/>
          <w:sz w:val="24"/>
          <w:szCs w:val="24"/>
          <w:lang w:val="en-US" w:eastAsia="zh-CN"/>
        </w:rPr>
        <w:t>本合同履行中发生争议，双方应先协商解决，协商解决不成的，</w:t>
      </w:r>
      <w:r>
        <w:rPr>
          <w:rFonts w:hint="eastAsia" w:ascii="宋体" w:hAnsi="宋体" w:eastAsia="宋体" w:cs="宋体"/>
          <w:color w:val="0000FF"/>
          <w:sz w:val="24"/>
          <w:szCs w:val="24"/>
          <w:lang w:val="en-US" w:eastAsia="zh-CN"/>
        </w:rPr>
        <w:t>任何一方可向</w:t>
      </w:r>
      <w:r>
        <w:rPr>
          <w:rFonts w:hint="eastAsia" w:ascii="宋体" w:hAnsi="宋体" w:eastAsia="宋体" w:cs="宋体"/>
          <w:color w:val="auto"/>
          <w:sz w:val="24"/>
          <w:szCs w:val="24"/>
          <w:lang w:val="en-US" w:eastAsia="zh-CN"/>
        </w:rPr>
        <w:t>甲方所在地有管辖权的人民法院</w:t>
      </w:r>
      <w:r>
        <w:rPr>
          <w:rFonts w:hint="eastAsia" w:ascii="宋体" w:hAnsi="宋体" w:eastAsia="宋体" w:cs="宋体"/>
          <w:color w:val="0000FF"/>
          <w:sz w:val="24"/>
          <w:szCs w:val="24"/>
          <w:lang w:val="en-US" w:eastAsia="zh-CN"/>
        </w:rPr>
        <w:t>提起诉讼解决</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FF0000"/>
          <w:sz w:val="24"/>
          <w:szCs w:val="24"/>
          <w:lang w:val="en-US" w:eastAsia="zh-CN"/>
        </w:rPr>
      </w:pPr>
      <w:r>
        <w:rPr>
          <w:rFonts w:hint="eastAsia" w:ascii="宋体" w:hAnsi="宋体" w:eastAsia="宋体" w:cs="宋体"/>
          <w:b/>
          <w:bCs/>
          <w:color w:val="FF0000"/>
          <w:kern w:val="2"/>
          <w:sz w:val="24"/>
          <w:szCs w:val="24"/>
          <w:lang w:val="en-US" w:eastAsia="zh-CN" w:bidi="ar-SA"/>
        </w:rPr>
        <w:t xml:space="preserve">第十条 </w:t>
      </w:r>
      <w:r>
        <w:rPr>
          <w:rFonts w:hint="eastAsia" w:ascii="宋体" w:hAnsi="宋体" w:eastAsia="宋体" w:cs="宋体"/>
          <w:b/>
          <w:bCs/>
          <w:color w:val="FF0000"/>
          <w:sz w:val="24"/>
          <w:szCs w:val="24"/>
          <w:lang w:val="en-US" w:eastAsia="zh-CN"/>
        </w:rPr>
        <w:t>其他约定</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FF0000"/>
          <w:sz w:val="24"/>
          <w:szCs w:val="24"/>
          <w:lang w:val="en-US" w:eastAsia="zh-CN"/>
        </w:rPr>
      </w:pPr>
      <w:r>
        <w:rPr>
          <w:rFonts w:hint="eastAsia" w:ascii="宋体" w:hAnsi="宋体" w:eastAsia="宋体" w:cs="宋体"/>
          <w:color w:val="FF0000"/>
          <w:sz w:val="24"/>
          <w:szCs w:val="24"/>
          <w:lang w:val="en-US" w:eastAsia="zh-CN"/>
        </w:rPr>
        <w:t>10.1 乙方承诺提供甲方使用的</w:t>
      </w:r>
      <w:r>
        <w:rPr>
          <w:rFonts w:hint="eastAsia" w:ascii="宋体" w:hAnsi="宋体" w:cs="宋体"/>
          <w:b w:val="0"/>
          <w:bCs w:val="0"/>
          <w:color w:val="000000"/>
          <w:kern w:val="0"/>
          <w:sz w:val="24"/>
          <w:szCs w:val="18"/>
          <w:lang w:val="en-US" w:eastAsia="zh-CN"/>
        </w:rPr>
        <w:t>温度监控云平台</w:t>
      </w:r>
      <w:r>
        <w:rPr>
          <w:rFonts w:hint="eastAsia" w:ascii="宋体" w:hAnsi="宋体" w:eastAsia="宋体" w:cs="宋体"/>
          <w:color w:val="FF0000"/>
          <w:sz w:val="24"/>
          <w:szCs w:val="24"/>
          <w:lang w:val="en-US" w:eastAsia="zh-CN"/>
        </w:rPr>
        <w:t>管理软件不会造成知识产权纠纷，否则由乙方承担全部责任。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color w:val="FF0000"/>
          <w:sz w:val="24"/>
          <w:szCs w:val="24"/>
          <w:lang w:val="en-US" w:eastAsia="zh-CN"/>
        </w:rPr>
        <w:t>10.2 -70度冷冻箱、医用冷藏冰箱（≥350L）、医用冷藏展示冰箱(双开门）6台设备</w:t>
      </w:r>
      <w:r>
        <w:rPr>
          <w:rFonts w:hint="eastAsia" w:ascii="宋体" w:hAnsi="宋体" w:cs="宋体"/>
          <w:b w:val="0"/>
          <w:bCs w:val="0"/>
          <w:color w:val="000000"/>
          <w:kern w:val="0"/>
          <w:sz w:val="24"/>
          <w:szCs w:val="18"/>
          <w:lang w:val="en-US" w:eastAsia="zh-CN"/>
        </w:rPr>
        <w:t>温度监控云平台</w:t>
      </w:r>
      <w:r>
        <w:rPr>
          <w:rFonts w:hint="eastAsia" w:ascii="宋体" w:hAnsi="宋体" w:eastAsia="宋体" w:cs="宋体"/>
          <w:color w:val="FF0000"/>
          <w:sz w:val="24"/>
          <w:szCs w:val="24"/>
          <w:lang w:val="en-US" w:eastAsia="zh-CN"/>
        </w:rPr>
        <w:t>管理软件3年免费使用期限届满后，如甲方需要继续使用</w:t>
      </w:r>
      <w:r>
        <w:rPr>
          <w:rFonts w:hint="eastAsia" w:ascii="宋体" w:hAnsi="宋体" w:cs="宋体"/>
          <w:b w:val="0"/>
          <w:bCs w:val="0"/>
          <w:color w:val="000000"/>
          <w:kern w:val="0"/>
          <w:sz w:val="24"/>
          <w:szCs w:val="18"/>
          <w:lang w:val="en-US" w:eastAsia="zh-CN"/>
        </w:rPr>
        <w:t>温度监控云平台</w:t>
      </w:r>
      <w:r>
        <w:rPr>
          <w:rFonts w:hint="eastAsia" w:ascii="宋体" w:hAnsi="宋体" w:eastAsia="宋体" w:cs="宋体"/>
          <w:color w:val="FF0000"/>
          <w:sz w:val="24"/>
          <w:szCs w:val="24"/>
          <w:lang w:val="en-US" w:eastAsia="zh-CN"/>
        </w:rPr>
        <w:t>管理软件，乙方承诺按不高于300元/年/一个模块的标准收取管理软件使用费用。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第十一条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11.3 本合同一式伍份，甲方执肆份、乙方执壹份，自双方签字并盖章之日起生效。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rPr>
          <w:rFonts w:hint="eastAsia"/>
          <w:lang w:val="en-US" w:eastAsia="zh-CN"/>
        </w:rPr>
      </w:pPr>
    </w:p>
    <w:p>
      <w:pPr>
        <w:rPr>
          <w:rFonts w:hint="eastAsia" w:ascii="宋体" w:hAnsi="宋体" w:cs="宋体"/>
          <w:color w:val="auto"/>
          <w:sz w:val="44"/>
          <w:szCs w:val="44"/>
          <w:lang w:val="en-US" w:eastAsia="zh-CN"/>
        </w:rPr>
      </w:pPr>
    </w:p>
    <w:p>
      <w:pPr>
        <w:pStyle w:val="2"/>
        <w:rPr>
          <w:rFonts w:hint="eastAsia" w:ascii="宋体" w:hAnsi="宋体" w:cs="宋体"/>
          <w:color w:val="auto"/>
          <w:sz w:val="44"/>
          <w:szCs w:val="44"/>
          <w:lang w:val="en-US" w:eastAsia="zh-CN"/>
        </w:rPr>
      </w:pPr>
    </w:p>
    <w:p>
      <w:pPr>
        <w:pStyle w:val="14"/>
        <w:widowControl w:val="0"/>
        <w:numPr>
          <w:ilvl w:val="0"/>
          <w:numId w:val="0"/>
        </w:numPr>
        <w:jc w:val="both"/>
        <w:rPr>
          <w:color w:val="auto"/>
          <w:sz w:val="28"/>
          <w:szCs w:val="28"/>
        </w:rPr>
      </w:pPr>
    </w:p>
    <w:p>
      <w:pPr>
        <w:pStyle w:val="2"/>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注：此项内容需包含投标商品名称、数量、品牌、型号、单价、总价、等信息，有多个标的的需按要求提供分项报价</w:t>
      </w:r>
    </w:p>
    <w:p>
      <w:pPr>
        <w:pStyle w:val="15"/>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4"/>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的法定代表人（单位负责人），现授权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w:t>
      </w:r>
      <w:r>
        <w:rPr>
          <w:rFonts w:hint="eastAsia" w:ascii="宋体" w:hAnsi="宋体" w:cs="宋体"/>
          <w:color w:val="auto"/>
          <w:kern w:val="0"/>
          <w:sz w:val="24"/>
        </w:rPr>
        <w:t>（单位负责人）</w:t>
      </w:r>
      <w:bookmarkStart w:id="4" w:name="_GoBack"/>
      <w:bookmarkEnd w:id="4"/>
      <w:r>
        <w:rPr>
          <w:rFonts w:hint="eastAsia" w:ascii="宋体" w:hAnsi="宋体" w:cs="宋体"/>
          <w:color w:val="auto"/>
          <w:sz w:val="24"/>
        </w:rPr>
        <w:t>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86424819"/>
      <w:bookmarkStart w:id="3" w:name="_Toc476514128"/>
    </w:p>
    <w:p>
      <w:pPr>
        <w:pStyle w:val="14"/>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rFonts w:hint="eastAsia" w:eastAsia="宋体"/>
          <w:color w:val="auto"/>
          <w:lang w:eastAsia="zh-CN"/>
        </w:rPr>
      </w:pPr>
      <w:r>
        <w:rPr>
          <w:color w:val="auto"/>
          <w:sz w:val="24"/>
        </w:rPr>
        <w:t>（3）</w:t>
      </w:r>
      <w:r>
        <w:rPr>
          <w:rFonts w:hint="eastAsia"/>
          <w:color w:val="auto"/>
          <w:sz w:val="24"/>
          <w:lang w:eastAsia="zh-CN"/>
        </w:rPr>
        <w:t>本项目为最低价评分法，所有参数必须全部响应，并在响应表中逐条应答，如有任何一条负偏离，则视为无效投标</w:t>
      </w:r>
    </w:p>
    <w:p>
      <w:pPr>
        <w:pStyle w:val="15"/>
        <w:rPr>
          <w:color w:val="auto"/>
        </w:rPr>
      </w:pPr>
    </w:p>
    <w:p>
      <w:pPr>
        <w:pStyle w:val="14"/>
        <w:rPr>
          <w:rFonts w:hint="eastAsia"/>
          <w:lang w:eastAsia="zh-CN"/>
        </w:rPr>
      </w:pPr>
    </w:p>
    <w:p/>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abstractNum w:abstractNumId="1">
    <w:nsid w:val="F22833F1"/>
    <w:multiLevelType w:val="singleLevel"/>
    <w:tmpl w:val="F22833F1"/>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AE556A"/>
    <w:rsid w:val="04653F41"/>
    <w:rsid w:val="053770D6"/>
    <w:rsid w:val="06E91EC4"/>
    <w:rsid w:val="0A3F4F3C"/>
    <w:rsid w:val="0E331420"/>
    <w:rsid w:val="0EA96AB3"/>
    <w:rsid w:val="0EDD1643"/>
    <w:rsid w:val="10914EF9"/>
    <w:rsid w:val="12080B62"/>
    <w:rsid w:val="12994AC5"/>
    <w:rsid w:val="129F447F"/>
    <w:rsid w:val="15675A4C"/>
    <w:rsid w:val="16A22E5B"/>
    <w:rsid w:val="1AF56B46"/>
    <w:rsid w:val="1F334F58"/>
    <w:rsid w:val="1F796B24"/>
    <w:rsid w:val="1FE73549"/>
    <w:rsid w:val="2038045E"/>
    <w:rsid w:val="20B41DA7"/>
    <w:rsid w:val="252576EA"/>
    <w:rsid w:val="27C07BD6"/>
    <w:rsid w:val="28E81B29"/>
    <w:rsid w:val="29B45A41"/>
    <w:rsid w:val="2C7642D0"/>
    <w:rsid w:val="2DD77C64"/>
    <w:rsid w:val="2DDA1E78"/>
    <w:rsid w:val="2EAC037F"/>
    <w:rsid w:val="2EB67A5C"/>
    <w:rsid w:val="302741D2"/>
    <w:rsid w:val="308B184D"/>
    <w:rsid w:val="32B421BC"/>
    <w:rsid w:val="340F06E9"/>
    <w:rsid w:val="372F7378"/>
    <w:rsid w:val="397348CD"/>
    <w:rsid w:val="39D05CC9"/>
    <w:rsid w:val="3B3B544D"/>
    <w:rsid w:val="3B654F2B"/>
    <w:rsid w:val="3BB72BAE"/>
    <w:rsid w:val="3D5E17FF"/>
    <w:rsid w:val="3E1F0DA4"/>
    <w:rsid w:val="3E584E51"/>
    <w:rsid w:val="429A4992"/>
    <w:rsid w:val="435B161D"/>
    <w:rsid w:val="43B25DAC"/>
    <w:rsid w:val="45D569C3"/>
    <w:rsid w:val="4B7F39F4"/>
    <w:rsid w:val="4BAE646F"/>
    <w:rsid w:val="4CAC1559"/>
    <w:rsid w:val="4DCD6AB3"/>
    <w:rsid w:val="50540C20"/>
    <w:rsid w:val="51AC28BD"/>
    <w:rsid w:val="54C80CBE"/>
    <w:rsid w:val="611B6B1B"/>
    <w:rsid w:val="64133D6A"/>
    <w:rsid w:val="642E5B3C"/>
    <w:rsid w:val="65141DD4"/>
    <w:rsid w:val="678E4F5D"/>
    <w:rsid w:val="680E122C"/>
    <w:rsid w:val="6DE375E4"/>
    <w:rsid w:val="6E8E5287"/>
    <w:rsid w:val="6FBE332C"/>
    <w:rsid w:val="70B245A4"/>
    <w:rsid w:val="71584067"/>
    <w:rsid w:val="74566F5C"/>
    <w:rsid w:val="750117A8"/>
    <w:rsid w:val="77423DFF"/>
    <w:rsid w:val="7B0620DE"/>
    <w:rsid w:val="7BBF44BB"/>
    <w:rsid w:val="7BF15CE4"/>
    <w:rsid w:val="7C3A27E5"/>
    <w:rsid w:val="7D972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Indent"/>
    <w:basedOn w:val="1"/>
    <w:next w:val="5"/>
    <w:qFormat/>
    <w:uiPriority w:val="99"/>
    <w:pPr>
      <w:spacing w:line="400" w:lineRule="exact"/>
      <w:ind w:left="630"/>
    </w:pPr>
    <w:rPr>
      <w:rFonts w:ascii="楷体_GB2312"/>
      <w:sz w:val="30"/>
      <w:szCs w:val="30"/>
    </w:rPr>
  </w:style>
  <w:style w:type="paragraph" w:styleId="5">
    <w:name w:val="Body Text First Indent 2"/>
    <w:basedOn w:val="4"/>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customStyle="1" w:styleId="11">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2">
    <w:name w:val="Default"/>
    <w:next w:val="13"/>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3">
    <w:name w:val="大标题"/>
    <w:basedOn w:val="1"/>
    <w:next w:val="5"/>
    <w:qFormat/>
    <w:uiPriority w:val="0"/>
    <w:pPr>
      <w:jc w:val="center"/>
    </w:pPr>
    <w:rPr>
      <w:rFonts w:ascii="Arial" w:hAnsi="Arial" w:eastAsia="宋体"/>
      <w:b/>
      <w:sz w:val="28"/>
      <w:szCs w:val="24"/>
    </w:rPr>
  </w:style>
  <w:style w:type="paragraph" w:customStyle="1" w:styleId="14">
    <w:name w:val="列出段落1"/>
    <w:basedOn w:val="1"/>
    <w:qFormat/>
    <w:uiPriority w:val="99"/>
    <w:pPr>
      <w:ind w:firstLine="420" w:firstLineChars="200"/>
    </w:p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6">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7686</Words>
  <Characters>8040</Characters>
  <Lines>0</Lines>
  <Paragraphs>0</Paragraphs>
  <TotalTime>0</TotalTime>
  <ScaleCrop>false</ScaleCrop>
  <LinksUpToDate>false</LinksUpToDate>
  <CharactersWithSpaces>8973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dcterms:modified xsi:type="dcterms:W3CDTF">2023-12-08T00:39:49Z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3505A2AB25E048A4A9B0E6A6741CA1BA_11</vt:lpwstr>
  </property>
</Properties>
</file>