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经颅磁刺激仪院内招标）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经颅磁刺激仪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经颅磁刺激仪</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2"/>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宋体" w:hAnsi="宋体" w:eastAsia="宋体" w:cs="宋体"/>
                <w:b w:val="0"/>
                <w:bCs w:val="0"/>
                <w:sz w:val="28"/>
                <w:szCs w:val="28"/>
              </w:rPr>
              <w:t>经颅磁刺激仪</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宋体" w:hAnsi="宋体" w:eastAsia="宋体" w:cs="宋体"/>
                <w:b w:val="0"/>
                <w:bCs w:val="0"/>
                <w:sz w:val="28"/>
                <w:szCs w:val="28"/>
              </w:rPr>
              <w:t>经颅磁刺激仪</w:t>
            </w:r>
            <w:bookmarkStart w:id="13" w:name="_GoBack"/>
            <w:bookmarkEnd w:id="13"/>
            <w:r>
              <w:rPr>
                <w:rFonts w:hint="eastAsia" w:asciiTheme="minorEastAsia" w:hAnsiTheme="minorEastAsia" w:eastAsiaTheme="minorEastAsia" w:cstheme="minorEastAsia"/>
                <w:bCs/>
                <w:color w:val="auto"/>
                <w:sz w:val="28"/>
                <w:szCs w:val="28"/>
                <w:lang w:val="en-US" w:eastAsia="zh-CN"/>
              </w:rPr>
              <w:t>招标参数</w:t>
            </w:r>
          </w:p>
        </w:tc>
        <w:tc>
          <w:tcPr>
            <w:tcW w:w="9491" w:type="dxa"/>
            <w:vAlign w:val="center"/>
          </w:tcPr>
          <w:p>
            <w:pPr>
              <w:pStyle w:val="2"/>
              <w:numPr>
                <w:ilvl w:val="0"/>
                <w:numId w:val="3"/>
              </w:numPr>
              <w:rPr>
                <w:rFonts w:hint="eastAsia" w:ascii="宋体" w:hAnsi="宋体" w:eastAsia="宋体" w:cs="宋体"/>
                <w:b w:val="0"/>
                <w:bCs w:val="0"/>
                <w:sz w:val="28"/>
                <w:szCs w:val="28"/>
              </w:rPr>
            </w:pPr>
            <w:r>
              <w:rPr>
                <w:rFonts w:hint="eastAsia" w:ascii="宋体" w:hAnsi="宋体" w:eastAsia="宋体" w:cs="宋体"/>
                <w:sz w:val="28"/>
                <w:szCs w:val="28"/>
              </w:rPr>
              <w:t>产品名称：</w:t>
            </w:r>
            <w:r>
              <w:rPr>
                <w:rFonts w:hint="eastAsia" w:ascii="宋体" w:hAnsi="宋体" w:eastAsia="宋体" w:cs="宋体"/>
                <w:b w:val="0"/>
                <w:bCs w:val="0"/>
                <w:sz w:val="28"/>
                <w:szCs w:val="28"/>
              </w:rPr>
              <w:t>经颅磁刺激仪</w:t>
            </w:r>
            <w:bookmarkStart w:id="1" w:name="_Hlk32936590"/>
            <w:bookmarkStart w:id="2" w:name="_Hlk32936791"/>
          </w:p>
          <w:p>
            <w:pPr>
              <w:pStyle w:val="2"/>
              <w:numPr>
                <w:ilvl w:val="0"/>
                <w:numId w:val="0"/>
              </w:numPr>
              <w:ind w:leftChars="0"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产品通过CFDA临床试验验证。（需提供医疗器械临床试验报告）</w:t>
            </w:r>
            <w:bookmarkEnd w:id="1"/>
          </w:p>
          <w:bookmarkEnd w:id="2"/>
          <w:p>
            <w:pPr>
              <w:pStyle w:val="2"/>
              <w:rPr>
                <w:rFonts w:hint="eastAsia" w:ascii="宋体" w:hAnsi="宋体" w:eastAsia="宋体" w:cs="宋体"/>
                <w:sz w:val="28"/>
                <w:szCs w:val="28"/>
              </w:rPr>
            </w:pPr>
            <w:r>
              <w:rPr>
                <w:rFonts w:hint="eastAsia" w:ascii="宋体" w:hAnsi="宋体" w:eastAsia="宋体" w:cs="宋体"/>
                <w:sz w:val="28"/>
                <w:szCs w:val="28"/>
              </w:rPr>
              <w:t>技术参数</w:t>
            </w:r>
          </w:p>
          <w:p>
            <w:pPr>
              <w:pStyle w:val="3"/>
              <w:rPr>
                <w:rFonts w:hint="eastAsia" w:ascii="宋体" w:hAnsi="宋体" w:eastAsia="宋体" w:cs="宋体"/>
                <w:sz w:val="28"/>
                <w:szCs w:val="28"/>
              </w:rPr>
            </w:pPr>
            <w:r>
              <w:rPr>
                <w:rFonts w:hint="eastAsia" w:ascii="宋体" w:hAnsi="宋体" w:eastAsia="宋体" w:cs="宋体"/>
                <w:sz w:val="28"/>
                <w:szCs w:val="28"/>
              </w:rPr>
              <w:t>硬件</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 xml:space="preserve">整机通过YY/T 0994-2015磁刺激设备行业标准（需提供证明材料）； </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整机通过电磁兼容性EMC测试（需提供证明材料）；</w:t>
            </w:r>
          </w:p>
          <w:p>
            <w:pPr>
              <w:pStyle w:val="17"/>
              <w:numPr>
                <w:ilvl w:val="0"/>
                <w:numId w:val="4"/>
              </w:numPr>
              <w:ind w:firstLineChars="0"/>
              <w:rPr>
                <w:rFonts w:hint="eastAsia" w:ascii="宋体" w:hAnsi="宋体" w:eastAsia="宋体" w:cs="宋体"/>
                <w:sz w:val="28"/>
                <w:szCs w:val="28"/>
              </w:rPr>
            </w:pPr>
            <w:bookmarkStart w:id="3" w:name="_Hlk32936864"/>
            <w:bookmarkStart w:id="4" w:name="_Hlk32936970"/>
            <w:r>
              <w:rPr>
                <w:rFonts w:hint="eastAsia" w:ascii="宋体" w:hAnsi="宋体" w:eastAsia="宋体" w:cs="宋体"/>
                <w:sz w:val="28"/>
                <w:szCs w:val="28"/>
              </w:rPr>
              <w:t>*冷却系统：风冷冷却技术，安全、无漏液风险、无需耗材和后期维护。非半导体风冷或循环液冷，主机不含液体；</w:t>
            </w:r>
            <w:bookmarkEnd w:id="3"/>
            <w:r>
              <w:rPr>
                <w:rFonts w:hint="eastAsia" w:ascii="宋体" w:hAnsi="宋体" w:eastAsia="宋体" w:cs="宋体"/>
                <w:sz w:val="28"/>
                <w:szCs w:val="28"/>
              </w:rPr>
              <w:t>（需提供证明材料）；</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*标配儿童专用小圆和大圆两个刺激线圈，根据临床需求，两个刺激线圈可在30秒内快速切换；</w:t>
            </w:r>
            <w:bookmarkEnd w:id="4"/>
            <w:r>
              <w:rPr>
                <w:rFonts w:hint="eastAsia" w:ascii="宋体" w:hAnsi="宋体" w:eastAsia="宋体" w:cs="宋体"/>
                <w:sz w:val="28"/>
                <w:szCs w:val="28"/>
              </w:rPr>
              <w:t>标配儿童专用线圈支架，满足复杂临床需求</w:t>
            </w:r>
            <w:bookmarkStart w:id="5" w:name="_Hlk33008905"/>
            <w:bookmarkStart w:id="6" w:name="_Hlk32936998"/>
            <w:r>
              <w:rPr>
                <w:rFonts w:hint="eastAsia" w:ascii="宋体" w:hAnsi="宋体" w:eastAsia="宋体" w:cs="宋体"/>
                <w:sz w:val="28"/>
                <w:szCs w:val="28"/>
              </w:rPr>
              <w:t>；</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标配运动诱发电位监测模块：双通道，均可测量阈值，也可用于在治疗中进行电生理安全监测。无线通讯，减少束缚，便于临床操作；</w:t>
            </w:r>
            <w:bookmarkEnd w:id="5"/>
            <w:bookmarkEnd w:id="6"/>
            <w:r>
              <w:rPr>
                <w:rFonts w:hint="eastAsia" w:ascii="宋体" w:hAnsi="宋体" w:eastAsia="宋体" w:cs="宋体"/>
                <w:sz w:val="28"/>
                <w:szCs w:val="28"/>
              </w:rPr>
              <w:t>提供一种用于无线采集运动诱发电位的装置的专利证书。</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标配触控式一体机，操作简单，一体机与工作站紧密固定，非笔记本直接放置在台面上，无跌落风险；</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一体机通过CE电磁兼容性（EMC）认证，更安全；</w:t>
            </w:r>
          </w:p>
          <w:p>
            <w:pPr>
              <w:pStyle w:val="17"/>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标配稳压电源，满足设备在复杂电压环境下的安全使用需求；</w:t>
            </w:r>
          </w:p>
          <w:p>
            <w:pPr>
              <w:pStyle w:val="18"/>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开放式设计平台，具备触发输入输出通用接口，可兼容肌电图等设备。</w:t>
            </w:r>
          </w:p>
          <w:p>
            <w:pPr>
              <w:pStyle w:val="3"/>
              <w:rPr>
                <w:rFonts w:hint="eastAsia" w:ascii="宋体" w:hAnsi="宋体" w:eastAsia="宋体" w:cs="宋体"/>
                <w:sz w:val="28"/>
                <w:szCs w:val="28"/>
              </w:rPr>
            </w:pPr>
            <w:r>
              <w:rPr>
                <w:rFonts w:hint="eastAsia" w:ascii="宋体" w:hAnsi="宋体" w:eastAsia="宋体" w:cs="宋体"/>
                <w:sz w:val="28"/>
                <w:szCs w:val="28"/>
              </w:rPr>
              <w:t>主机技术指标</w:t>
            </w:r>
          </w:p>
          <w:p>
            <w:pPr>
              <w:pStyle w:val="2"/>
              <w:numPr>
                <w:ilvl w:val="0"/>
                <w:numId w:val="5"/>
              </w:numPr>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最大刺激强度：6T； </w:t>
            </w:r>
          </w:p>
          <w:p>
            <w:pPr>
              <w:pStyle w:val="2"/>
              <w:numPr>
                <w:ilvl w:val="0"/>
                <w:numId w:val="5"/>
              </w:numPr>
              <w:rPr>
                <w:rFonts w:hint="eastAsia" w:ascii="宋体" w:hAnsi="宋体" w:eastAsia="宋体" w:cs="宋体"/>
                <w:b w:val="0"/>
                <w:bCs w:val="0"/>
                <w:sz w:val="28"/>
                <w:szCs w:val="28"/>
              </w:rPr>
            </w:pPr>
            <w:r>
              <w:rPr>
                <w:rFonts w:hint="eastAsia" w:ascii="宋体" w:hAnsi="宋体" w:eastAsia="宋体" w:cs="宋体"/>
                <w:b w:val="0"/>
                <w:bCs w:val="0"/>
                <w:sz w:val="28"/>
                <w:szCs w:val="28"/>
              </w:rPr>
              <w:t>输出脉冲重复频率：0. 01 Hz～30Hz可调，允差±5%；1 Hz以下步长0.01Hz, 1Hz以上步长1Hz；</w:t>
            </w:r>
          </w:p>
          <w:p>
            <w:pPr>
              <w:pStyle w:val="2"/>
              <w:numPr>
                <w:ilvl w:val="0"/>
                <w:numId w:val="5"/>
              </w:numPr>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脉冲上升时间：50μs ±10μs； </w:t>
            </w:r>
          </w:p>
          <w:p>
            <w:pPr>
              <w:pStyle w:val="2"/>
              <w:numPr>
                <w:ilvl w:val="0"/>
                <w:numId w:val="5"/>
              </w:numPr>
              <w:rPr>
                <w:rFonts w:hint="eastAsia" w:ascii="宋体" w:hAnsi="宋体" w:eastAsia="宋体" w:cs="宋体"/>
                <w:b w:val="0"/>
                <w:bCs w:val="0"/>
                <w:sz w:val="28"/>
                <w:szCs w:val="28"/>
              </w:rPr>
            </w:pPr>
            <w:r>
              <w:rPr>
                <w:rFonts w:hint="eastAsia" w:ascii="宋体" w:hAnsi="宋体" w:eastAsia="宋体" w:cs="宋体"/>
                <w:b w:val="0"/>
                <w:bCs w:val="0"/>
                <w:sz w:val="28"/>
                <w:szCs w:val="28"/>
              </w:rPr>
              <w:t>脉冲持续时间：340μs ±20μs；</w:t>
            </w:r>
          </w:p>
          <w:p>
            <w:pPr>
              <w:pStyle w:val="2"/>
              <w:numPr>
                <w:ilvl w:val="0"/>
                <w:numId w:val="5"/>
              </w:numPr>
              <w:rPr>
                <w:rFonts w:hint="eastAsia" w:ascii="宋体" w:hAnsi="宋体" w:eastAsia="宋体" w:cs="宋体"/>
                <w:b w:val="0"/>
                <w:bCs w:val="0"/>
                <w:sz w:val="28"/>
                <w:szCs w:val="28"/>
              </w:rPr>
            </w:pPr>
            <w:r>
              <w:rPr>
                <w:rFonts w:hint="eastAsia" w:ascii="宋体" w:hAnsi="宋体" w:eastAsia="宋体" w:cs="宋体"/>
                <w:b w:val="0"/>
                <w:bCs w:val="0"/>
                <w:sz w:val="28"/>
                <w:szCs w:val="28"/>
              </w:rPr>
              <w:t>磁感应强度最大变化率：40KT-80KT。</w:t>
            </w:r>
          </w:p>
          <w:p>
            <w:pPr>
              <w:pStyle w:val="3"/>
              <w:rPr>
                <w:rFonts w:hint="eastAsia" w:ascii="宋体" w:hAnsi="宋体" w:eastAsia="宋体" w:cs="宋体"/>
                <w:sz w:val="28"/>
                <w:szCs w:val="28"/>
              </w:rPr>
            </w:pPr>
            <w:r>
              <w:rPr>
                <w:rFonts w:hint="eastAsia" w:ascii="宋体" w:hAnsi="宋体" w:eastAsia="宋体" w:cs="宋体"/>
                <w:sz w:val="28"/>
                <w:szCs w:val="28"/>
              </w:rPr>
              <w:t>运动诱发电位监测模块技术指标</w:t>
            </w:r>
          </w:p>
          <w:p>
            <w:pPr>
              <w:pStyle w:val="17"/>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 xml:space="preserve">通道数：2通道； </w:t>
            </w:r>
          </w:p>
          <w:p>
            <w:pPr>
              <w:pStyle w:val="17"/>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触发同步方式：磁感应触发，触发同步时间≤100μs；</w:t>
            </w:r>
          </w:p>
          <w:p>
            <w:pPr>
              <w:pStyle w:val="17"/>
              <w:numPr>
                <w:ilvl w:val="0"/>
                <w:numId w:val="6"/>
              </w:numPr>
              <w:ind w:firstLineChars="0"/>
              <w:rPr>
                <w:rFonts w:hint="eastAsia" w:ascii="宋体" w:hAnsi="宋体" w:eastAsia="宋体" w:cs="宋体"/>
                <w:sz w:val="28"/>
                <w:szCs w:val="28"/>
              </w:rPr>
            </w:pPr>
            <w:bookmarkStart w:id="7" w:name="_Hlk32936529"/>
            <w:r>
              <w:rPr>
                <w:rFonts w:hint="eastAsia" w:ascii="宋体" w:hAnsi="宋体" w:eastAsia="宋体" w:cs="宋体"/>
                <w:sz w:val="28"/>
                <w:szCs w:val="28"/>
              </w:rPr>
              <w:t>数据传输方式：WIFI；</w:t>
            </w:r>
          </w:p>
          <w:bookmarkEnd w:id="7"/>
          <w:p>
            <w:pPr>
              <w:pStyle w:val="17"/>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测量范围：1</w:t>
            </w:r>
            <m:oMath>
              <m:r>
                <m:rPr>
                  <m:nor/>
                  <m:sty m:val="p"/>
                </m:rPr>
                <w:rPr>
                  <w:rFonts w:hint="eastAsia" w:ascii="Cambria Math" w:hAnsi="Cambria Math" w:eastAsia="宋体" w:cs="宋体"/>
                  <w:b w:val="0"/>
                  <w:i w:val="0"/>
                  <w:sz w:val="28"/>
                  <w:szCs w:val="28"/>
                </w:rPr>
                <m:t>μV</m:t>
              </m:r>
            </m:oMath>
            <w:r>
              <w:rPr>
                <w:rFonts w:hint="eastAsia" w:ascii="宋体" w:hAnsi="宋体" w:eastAsia="宋体" w:cs="宋体"/>
                <w:sz w:val="28"/>
                <w:szCs w:val="28"/>
              </w:rPr>
              <w:t>～1000</w:t>
            </w:r>
            <m:oMath>
              <m:r>
                <m:rPr>
                  <m:nor/>
                  <m:sty m:val="p"/>
                </m:rPr>
                <w:rPr>
                  <w:rFonts w:hint="eastAsia" w:ascii="Cambria Math" w:hAnsi="Cambria Math" w:eastAsia="宋体" w:cs="宋体"/>
                  <w:b w:val="0"/>
                  <w:i w:val="0"/>
                  <w:sz w:val="28"/>
                  <w:szCs w:val="28"/>
                </w:rPr>
                <m:t>μV</m:t>
              </m:r>
            </m:oMath>
            <w:r>
              <w:rPr>
                <w:rFonts w:hint="eastAsia" w:ascii="宋体" w:hAnsi="宋体" w:eastAsia="宋体" w:cs="宋体"/>
                <w:sz w:val="28"/>
                <w:szCs w:val="28"/>
              </w:rPr>
              <w:t>；</w:t>
            </w:r>
          </w:p>
          <w:p>
            <w:pPr>
              <w:pStyle w:val="17"/>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最小分辨率： ≤2</w:t>
            </w:r>
            <m:oMath>
              <m:r>
                <m:rPr>
                  <m:nor/>
                  <m:sty m:val="p"/>
                </m:rPr>
                <w:rPr>
                  <w:rFonts w:hint="eastAsia" w:ascii="Cambria Math" w:hAnsi="Cambria Math" w:eastAsia="宋体" w:cs="宋体"/>
                  <w:b w:val="0"/>
                  <w:i w:val="0"/>
                  <w:sz w:val="28"/>
                  <w:szCs w:val="28"/>
                </w:rPr>
                <m:t>μV</m:t>
              </m:r>
            </m:oMath>
            <w:r>
              <w:rPr>
                <w:rFonts w:hint="eastAsia" w:ascii="宋体" w:hAnsi="宋体" w:eastAsia="宋体" w:cs="宋体"/>
                <w:sz w:val="28"/>
                <w:szCs w:val="28"/>
              </w:rPr>
              <w:t>；</w:t>
            </w:r>
          </w:p>
          <w:p>
            <w:pPr>
              <w:pStyle w:val="17"/>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频率范围：20Hz～500Hz。</w:t>
            </w:r>
          </w:p>
          <w:p>
            <w:pPr>
              <w:pStyle w:val="3"/>
              <w:rPr>
                <w:rFonts w:hint="eastAsia" w:ascii="宋体" w:hAnsi="宋体" w:eastAsia="宋体" w:cs="宋体"/>
                <w:sz w:val="28"/>
                <w:szCs w:val="28"/>
              </w:rPr>
            </w:pPr>
            <w:r>
              <w:rPr>
                <w:rFonts w:hint="eastAsia" w:ascii="宋体" w:hAnsi="宋体" w:eastAsia="宋体" w:cs="宋体"/>
                <w:sz w:val="28"/>
                <w:szCs w:val="28"/>
              </w:rPr>
              <w:t>软件</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上位机软件通过GB/T 25000.51软件工软件产品质量要求与评价；</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运动阈值及治疗方案自动记忆功能，减轻操作负担；</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 xml:space="preserve">可实现单脉冲刺激、重复脉冲刺激和模式化刺激（含TBS模式）等多种刺激模式； </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*内置儿童专用治疗方案库，多种临床方案供医生选择；</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 xml:space="preserve">方案可自定义编辑，强度、频率、脉冲个数、间歇时间、串时间、串数等参数可调； </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刺激方案具有数字和图形两种展示方式，刺激线圈温度显示与控制保护，温度达到40℃自动停止输出；</w:t>
            </w:r>
          </w:p>
          <w:p>
            <w:pPr>
              <w:pStyle w:val="17"/>
              <w:numPr>
                <w:ilvl w:val="0"/>
                <w:numId w:val="7"/>
              </w:numPr>
              <w:ind w:firstLineChars="0"/>
              <w:rPr>
                <w:rFonts w:hint="eastAsia" w:ascii="宋体" w:hAnsi="宋体" w:eastAsia="宋体" w:cs="宋体"/>
                <w:sz w:val="28"/>
                <w:szCs w:val="28"/>
              </w:rPr>
            </w:pPr>
            <w:bookmarkStart w:id="8" w:name="OLE_LINK3"/>
            <w:r>
              <w:rPr>
                <w:rFonts w:hint="eastAsia" w:ascii="宋体" w:hAnsi="宋体" w:eastAsia="宋体" w:cs="宋体"/>
                <w:sz w:val="28"/>
                <w:szCs w:val="28"/>
              </w:rPr>
              <w:t>治疗界面能够实时采集运动诱发电位，并提供图像和声音报警功能，以进行治疗过程中电生理安全监测；</w:t>
            </w:r>
          </w:p>
          <w:bookmarkEnd w:id="8"/>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 xml:space="preserve">自动化报告生成与打印功能，也可根据需要自定义编辑； </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 xml:space="preserve">患者基本信息、临床方案、诊疗记录等信息海量存储，并可实时查询、编辑及导出数据备份保存； </w:t>
            </w:r>
          </w:p>
          <w:p>
            <w:pPr>
              <w:pStyle w:val="17"/>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含波形设置、权限设置等多种自设功能，满足用户多种临床及科研需求。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宋体" w:hAnsi="宋体" w:eastAsia="宋体" w:cs="宋体"/>
                <w:b/>
                <w:bCs/>
                <w:kern w:val="44"/>
                <w:sz w:val="28"/>
                <w:szCs w:val="28"/>
                <w:lang w:val="en-US" w:eastAsia="zh-CN" w:bidi="ar-SA"/>
              </w:rPr>
              <w:t>四、商务参数</w:t>
            </w:r>
            <w:r>
              <w:rPr>
                <w:rStyle w:val="15"/>
                <w:rFonts w:hint="eastAsia" w:ascii="宋体" w:hAnsi="宋体" w:eastAsia="宋体" w:cs="宋体"/>
                <w:b/>
                <w:color w:val="auto"/>
                <w:sz w:val="28"/>
                <w:szCs w:val="28"/>
                <w:lang w:val="en-US" w:eastAsia="zh-CN"/>
              </w:rPr>
              <w:cr/>
            </w:r>
            <w:r>
              <w:rPr>
                <w:rFonts w:hint="eastAsia" w:ascii="宋体" w:hAnsi="宋体" w:eastAsia="宋体" w:cs="宋体"/>
                <w:color w:val="auto"/>
                <w:sz w:val="28"/>
                <w:szCs w:val="28"/>
              </w:rPr>
              <w:t>*1、运输、装卸、培训、安装调试：由中标人负责承担，最终通过使用科室、设备科及相关部门确认验收交付使用。</w:t>
            </w:r>
            <w:r>
              <w:rPr>
                <w:rFonts w:hint="eastAsia" w:ascii="宋体" w:hAnsi="宋体" w:eastAsia="宋体" w:cs="宋体"/>
                <w:color w:val="auto"/>
                <w:sz w:val="28"/>
                <w:szCs w:val="28"/>
              </w:rPr>
              <w:cr/>
            </w:r>
            <w:r>
              <w:rPr>
                <w:rFonts w:hint="eastAsia" w:ascii="宋体" w:hAnsi="宋体" w:eastAsia="宋体" w:cs="宋体"/>
                <w:color w:val="auto"/>
                <w:sz w:val="28"/>
                <w:szCs w:val="28"/>
              </w:rPr>
              <w:t>*2、交货时间：按</w:t>
            </w:r>
            <w:r>
              <w:rPr>
                <w:rFonts w:hint="eastAsia" w:ascii="宋体" w:hAnsi="宋体" w:eastAsia="宋体" w:cs="宋体"/>
                <w:color w:val="auto"/>
                <w:sz w:val="28"/>
                <w:szCs w:val="28"/>
                <w:lang w:val="en-US" w:eastAsia="zh-CN"/>
              </w:rPr>
              <w:t>中标公示无异议后30天内</w:t>
            </w:r>
            <w:r>
              <w:rPr>
                <w:rFonts w:hint="eastAsia" w:ascii="宋体" w:hAnsi="宋体" w:eastAsia="宋体" w:cs="宋体"/>
                <w:color w:val="auto"/>
                <w:sz w:val="28"/>
                <w:szCs w:val="28"/>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8"/>
                <w:szCs w:val="28"/>
                <w:lang w:val="en-US" w:eastAsia="zh-CN"/>
              </w:rPr>
              <w:t>满</w:t>
            </w:r>
            <w:r>
              <w:rPr>
                <w:rFonts w:hint="eastAsia" w:ascii="宋体" w:hAnsi="宋体" w:eastAsia="宋体" w:cs="宋体"/>
                <w:color w:val="auto"/>
                <w:sz w:val="28"/>
                <w:szCs w:val="28"/>
                <w:u w:val="none"/>
                <w:lang w:val="en-US" w:eastAsia="zh-CN"/>
              </w:rPr>
              <w:t>3年</w:t>
            </w:r>
            <w:r>
              <w:rPr>
                <w:rFonts w:hint="eastAsia" w:ascii="宋体" w:hAnsi="宋体" w:eastAsia="宋体" w:cs="宋体"/>
                <w:color w:val="auto"/>
                <w:sz w:val="28"/>
                <w:szCs w:val="28"/>
              </w:rPr>
              <w:t>后支付10%余款给乙方。</w:t>
            </w:r>
            <w:r>
              <w:rPr>
                <w:rFonts w:hint="eastAsia" w:ascii="宋体" w:hAnsi="宋体" w:eastAsia="宋体" w:cs="宋体"/>
                <w:color w:val="auto"/>
                <w:sz w:val="28"/>
                <w:szCs w:val="28"/>
              </w:rPr>
              <w:cr/>
            </w:r>
            <w:r>
              <w:rPr>
                <w:rFonts w:hint="eastAsia" w:ascii="宋体" w:hAnsi="宋体" w:eastAsia="宋体" w:cs="宋体"/>
                <w:color w:val="auto"/>
                <w:sz w:val="28"/>
                <w:szCs w:val="28"/>
              </w:rPr>
              <w:t>*4、交货地点：娄底市中心医院。</w:t>
            </w:r>
            <w:r>
              <w:rPr>
                <w:rFonts w:hint="eastAsia" w:ascii="宋体" w:hAnsi="宋体" w:eastAsia="宋体" w:cs="宋体"/>
                <w:color w:val="auto"/>
                <w:sz w:val="28"/>
                <w:szCs w:val="28"/>
              </w:rPr>
              <w:cr/>
            </w:r>
            <w:r>
              <w:rPr>
                <w:rFonts w:hint="eastAsia" w:ascii="宋体" w:hAnsi="宋体" w:eastAsia="宋体" w:cs="宋体"/>
                <w:color w:val="auto"/>
                <w:sz w:val="28"/>
                <w:szCs w:val="28"/>
              </w:rPr>
              <w:t>*5、质保与售后：整机保修</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年，终身维修。出具原厂售后质保承诺书，质保期内每年巡检两次。</w:t>
            </w:r>
            <w:r>
              <w:rPr>
                <w:rFonts w:hint="eastAsia" w:ascii="宋体" w:hAnsi="宋体" w:eastAsia="宋体" w:cs="宋体"/>
                <w:color w:val="auto"/>
                <w:sz w:val="28"/>
                <w:szCs w:val="28"/>
                <w:lang w:val="zh-CN" w:eastAsia="zh-CN"/>
              </w:rPr>
              <w:t>质保期内</w:t>
            </w:r>
            <w:r>
              <w:rPr>
                <w:rFonts w:hint="eastAsia" w:ascii="宋体" w:hAnsi="宋体" w:eastAsia="宋体" w:cs="宋体"/>
                <w:color w:val="auto"/>
                <w:sz w:val="28"/>
                <w:szCs w:val="28"/>
                <w:lang w:val="en-US" w:eastAsia="zh-CN"/>
              </w:rPr>
              <w:t>出现故障，24小时响应，响应后4小时上门服务。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验收</w:t>
            </w:r>
            <w:r>
              <w:rPr>
                <w:rFonts w:hint="eastAsia" w:ascii="宋体" w:hAnsi="宋体" w:eastAsia="宋体" w:cs="宋体"/>
                <w:color w:val="auto"/>
                <w:sz w:val="28"/>
                <w:szCs w:val="28"/>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9" w:name="_Toc16523573"/>
      <w:r>
        <w:rPr>
          <w:rFonts w:hint="eastAsia" w:ascii="宋体" w:hAnsi="宋体" w:cs="宋体"/>
          <w:color w:val="auto"/>
          <w:sz w:val="44"/>
          <w:szCs w:val="44"/>
          <w:lang w:val="en-US" w:eastAsia="zh-CN"/>
        </w:rPr>
        <w:t>评标方法及标准</w:t>
      </w:r>
      <w:bookmarkEnd w:id="9"/>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8"/>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9"/>
        </w:numPr>
        <w:spacing w:line="240" w:lineRule="auto"/>
        <w:ind w:firstLine="2409" w:firstLineChars="800"/>
        <w:jc w:val="both"/>
        <w:rPr>
          <w:rFonts w:hint="eastAsia" w:ascii="宋体" w:hAnsi="宋体" w:cs="宋体"/>
          <w:color w:val="auto"/>
          <w:sz w:val="30"/>
          <w:szCs w:val="30"/>
        </w:rPr>
      </w:pPr>
      <w:bookmarkStart w:id="10"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0"/>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11" w:name="_Toc486424819"/>
      <w:bookmarkStart w:id="12"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11"/>
    <w:bookmarkEnd w:id="12"/>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10"/>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经颅磁刺激仪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经颅磁刺激仪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经颅磁刺激仪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B50127F"/>
    <w:multiLevelType w:val="singleLevel"/>
    <w:tmpl w:val="1B50127F"/>
    <w:lvl w:ilvl="0" w:tentative="0">
      <w:start w:val="1"/>
      <w:numFmt w:val="decimal"/>
      <w:lvlText w:val="%1."/>
      <w:lvlJc w:val="left"/>
      <w:pPr>
        <w:ind w:left="425" w:hanging="425"/>
      </w:pPr>
      <w:rPr>
        <w:rFonts w:hint="default"/>
      </w:rPr>
    </w:lvl>
  </w:abstractNum>
  <w:abstractNum w:abstractNumId="5">
    <w:nsid w:val="1C51026E"/>
    <w:multiLevelType w:val="multilevel"/>
    <w:tmpl w:val="1C5102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abstractNum w:abstractNumId="7">
    <w:nsid w:val="3B0F68C8"/>
    <w:multiLevelType w:val="multilevel"/>
    <w:tmpl w:val="3B0F68C8"/>
    <w:lvl w:ilvl="0" w:tentative="0">
      <w:start w:val="1"/>
      <w:numFmt w:val="chineseCountingThousand"/>
      <w:lvlText w:val="%1"/>
      <w:lvlJc w:val="left"/>
      <w:pPr>
        <w:ind w:left="0" w:firstLine="0"/>
      </w:pPr>
      <w:rPr>
        <w:rFonts w:hint="eastAsia"/>
        <w:b/>
        <w:bCs/>
        <w:lang w:val="en-US"/>
      </w:rPr>
    </w:lvl>
    <w:lvl w:ilvl="1" w:tentative="0">
      <w:start w:val="1"/>
      <w:numFmt w:val="chineseCountingThousand"/>
      <w:pStyle w:val="3"/>
      <w:lvlText w:val="（%2）"/>
      <w:lvlJc w:val="left"/>
      <w:pPr>
        <w:ind w:left="0" w:firstLine="0"/>
      </w:pPr>
      <w:rPr>
        <w:rFonts w:hint="eastAsia"/>
      </w:rPr>
    </w:lvl>
    <w:lvl w:ilvl="2" w:tentative="0">
      <w:start w:val="1"/>
      <w:numFmt w:val="none"/>
      <w:lvlText w:val=""/>
      <w:lvlJc w:val="left"/>
      <w:pPr>
        <w:ind w:left="0" w:firstLine="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EC2F9B6"/>
    <w:multiLevelType w:val="singleLevel"/>
    <w:tmpl w:val="3EC2F9B6"/>
    <w:lvl w:ilvl="0" w:tentative="0">
      <w:start w:val="1"/>
      <w:numFmt w:val="decimal"/>
      <w:lvlText w:val="%1."/>
      <w:lvlJc w:val="left"/>
      <w:pPr>
        <w:ind w:left="425" w:hanging="425"/>
      </w:pPr>
      <w:rPr>
        <w:rFonts w:hint="default"/>
      </w:rPr>
    </w:lvl>
  </w:abstractNum>
  <w:abstractNum w:abstractNumId="9">
    <w:nsid w:val="416E4C2D"/>
    <w:multiLevelType w:val="multilevel"/>
    <w:tmpl w:val="416E4C2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4"/>
  </w:num>
  <w:num w:numId="7">
    <w:abstractNumId w:val="9"/>
  </w:num>
  <w:num w:numId="8">
    <w:abstractNumId w:val="2"/>
  </w:num>
  <w:num w:numId="9">
    <w:abstractNumId w:val="0"/>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1FE9692D"/>
    <w:rsid w:val="1FE9692D"/>
    <w:rsid w:val="7BA4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9"/>
    <w:pPr>
      <w:keepNext/>
      <w:keepLines/>
      <w:numPr>
        <w:ilvl w:val="1"/>
        <w:numId w:val="1"/>
      </w:numPr>
      <w:outlineLvl w:val="1"/>
    </w:pPr>
    <w:rPr>
      <w:rFonts w:asciiTheme="majorHAnsi" w:hAnsiTheme="majorHAnsi" w:cstheme="majorBidi"/>
      <w:b/>
      <w:bCs/>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6"/>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7821</Words>
  <Characters>8127</Characters>
  <Lines>0</Lines>
  <Paragraphs>0</Paragraphs>
  <TotalTime>0</TotalTime>
  <ScaleCrop>false</ScaleCrop>
  <LinksUpToDate>false</LinksUpToDate>
  <CharactersWithSpaces>9070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2023-06-01T07:29:00Z</dcterms:created>
  <dc:creator>是小豹子</dc:creator>
  <cp:lastModifiedBy>是小豹子</cp:lastModifiedBy>
  <dcterms:modified xsi:type="dcterms:W3CDTF">2023-06-01T07:36:56Z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550939F104F44629B0D7AC2DA925637E_11</vt:lpwstr>
  </property>
</Properties>
</file>