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napToGrid w:val="0"/>
        <w:jc w:val="center"/>
        <w:rPr>
          <w:rFonts w:ascii="Arial" w:hAnsi="Arial" w:eastAsia="方正小标宋简体" w:cs="Arial"/>
          <w:color w:val="auto"/>
          <w:sz w:val="72"/>
          <w:szCs w:val="72"/>
        </w:rPr>
      </w:pPr>
      <w:bookmarkStart w:id="0" w:name="_Toc16523570"/>
    </w:p>
    <w:p>
      <w:pPr>
        <w:pStyle w:val="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5"/>
        <w:snapToGrid w:val="0"/>
        <w:jc w:val="center"/>
        <w:rPr>
          <w:rFonts w:ascii="Arial" w:hAnsi="Arial" w:eastAsia="方正小标宋简体" w:cs="Arial"/>
          <w:sz w:val="72"/>
          <w:szCs w:val="72"/>
        </w:rPr>
      </w:pPr>
    </w:p>
    <w:p>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pStyle w:val="5"/>
        <w:snapToGrid w:val="0"/>
        <w:jc w:val="center"/>
        <w:rPr>
          <w:rFonts w:ascii="Arial" w:hAnsi="Arial" w:cs="Arial"/>
          <w:sz w:val="32"/>
          <w:szCs w:val="32"/>
        </w:rPr>
      </w:pPr>
    </w:p>
    <w:p>
      <w:pPr>
        <w:spacing w:line="360" w:lineRule="auto"/>
        <w:rPr>
          <w:rFonts w:hint="eastAsia"/>
          <w:bCs/>
          <w:sz w:val="32"/>
          <w:szCs w:val="32"/>
        </w:rPr>
      </w:pP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（铱192放射源</w:t>
      </w:r>
      <w:r>
        <w:rPr>
          <w:rFonts w:hint="eastAsia" w:ascii="Times New Roman" w:hAnsi="Times New Roman" w:eastAsia="宋体" w:cs="Times New Roman"/>
          <w:b/>
          <w:bCs/>
          <w:kern w:val="44"/>
          <w:sz w:val="32"/>
          <w:szCs w:val="32"/>
          <w:lang w:val="en-US" w:eastAsia="zh-CN" w:bidi="ar-SA"/>
        </w:rPr>
        <w:t>院内招标）</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7"/>
        <w:numPr>
          <w:ilvl w:val="0"/>
          <w:numId w:val="0"/>
        </w:numPr>
        <w:spacing w:line="240" w:lineRule="auto"/>
        <w:ind w:leftChars="0"/>
        <w:jc w:val="center"/>
        <w:rPr>
          <w:rFonts w:hint="eastAsia" w:ascii="宋体" w:hAnsi="宋体" w:cs="宋体"/>
          <w:color w:val="auto"/>
          <w:sz w:val="44"/>
          <w:szCs w:val="44"/>
          <w:lang w:val="en-US" w:eastAsia="zh-CN"/>
        </w:rPr>
      </w:pPr>
    </w:p>
    <w:p>
      <w:pPr>
        <w:pStyle w:val="7"/>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铱192放射源</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铱192放射源</w:t>
      </w:r>
      <w:r>
        <w:rPr>
          <w:rFonts w:hint="eastAsia" w:asciiTheme="minorEastAsia" w:hAnsiTheme="minorEastAsia" w:eastAsiaTheme="minorEastAsia" w:cstheme="minorEastAsia"/>
          <w:b w:val="0"/>
          <w:bCs/>
          <w:color w:val="auto"/>
          <w:sz w:val="28"/>
          <w:szCs w:val="28"/>
          <w:lang w:val="en-US" w:eastAsia="zh-CN"/>
        </w:rPr>
        <w:t>采购项目</w:t>
      </w:r>
    </w:p>
    <w:p>
      <w:pPr>
        <w:pStyle w:val="5"/>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5"/>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5"/>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5"/>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4"/>
        <w:tblW w:w="986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738"/>
        <w:gridCol w:w="361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枚</w:t>
            </w:r>
            <w:r>
              <w:rPr>
                <w:rFonts w:hint="eastAsia" w:asciiTheme="minorEastAsia" w:hAnsiTheme="minorEastAsia" w:eastAsiaTheme="minorEastAsia" w:cstheme="minorEastAsia"/>
                <w:sz w:val="28"/>
                <w:szCs w:val="28"/>
              </w:rPr>
              <w:t>)</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361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备注</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996"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bidi="ar-SA"/>
              </w:rPr>
              <w:t>铱192放射源</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3"/>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7.5</w:t>
            </w:r>
          </w:p>
        </w:tc>
        <w:tc>
          <w:tcPr>
            <w:tcW w:w="361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本产品院内议价（招标）为单品价格，供货合同签订2年，以实际购买数量结算。</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4"/>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6"/>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铱192放射源招标参数</w:t>
            </w:r>
          </w:p>
        </w:tc>
        <w:tc>
          <w:tcPr>
            <w:tcW w:w="9491" w:type="dxa"/>
            <w:vAlign w:val="center"/>
          </w:tcPr>
          <w:p>
            <w:pPr>
              <w:pStyle w:val="8"/>
              <w:jc w:val="center"/>
              <w:rPr>
                <w:rFonts w:hint="eastAsia"/>
              </w:rPr>
            </w:pPr>
            <w:r>
              <w:rPr>
                <w:rFonts w:hint="eastAsia"/>
                <w:sz w:val="40"/>
                <w:szCs w:val="32"/>
              </w:rPr>
              <w:t>铱192放射源招标参数</w:t>
            </w:r>
          </w:p>
          <w:p>
            <w:pPr>
              <w:rPr>
                <w:rFonts w:hint="eastAsia" w:ascii="宋体" w:hAnsi="宋体" w:cs="宋体"/>
                <w:sz w:val="32"/>
                <w:szCs w:val="40"/>
              </w:rPr>
            </w:pPr>
            <w:r>
              <w:rPr>
                <w:rFonts w:hint="eastAsia" w:ascii="宋体" w:hAnsi="宋体" w:cs="宋体"/>
                <w:sz w:val="32"/>
                <w:szCs w:val="40"/>
              </w:rPr>
              <w:t>一、技术参数</w:t>
            </w:r>
          </w:p>
          <w:p>
            <w:pPr>
              <w:rPr>
                <w:rFonts w:hint="eastAsia"/>
              </w:rPr>
            </w:pPr>
          </w:p>
          <w:p>
            <w:pPr>
              <w:rPr>
                <w:rFonts w:hint="eastAsia"/>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1774"/>
              <w:gridCol w:w="1255"/>
              <w:gridCol w:w="1432"/>
              <w:gridCol w:w="1231"/>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840"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序号</w:t>
                  </w:r>
                </w:p>
              </w:tc>
              <w:tc>
                <w:tcPr>
                  <w:tcW w:w="1774"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设备名称</w:t>
                  </w:r>
                </w:p>
              </w:tc>
              <w:tc>
                <w:tcPr>
                  <w:tcW w:w="1255"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用途</w:t>
                  </w:r>
                </w:p>
              </w:tc>
              <w:tc>
                <w:tcPr>
                  <w:tcW w:w="1432"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规格型号</w:t>
                  </w:r>
                </w:p>
              </w:tc>
              <w:tc>
                <w:tcPr>
                  <w:tcW w:w="1231"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质保期</w:t>
                  </w:r>
                </w:p>
              </w:tc>
              <w:tc>
                <w:tcPr>
                  <w:tcW w:w="1039" w:type="dxa"/>
                  <w:noWrap w:val="0"/>
                  <w:vAlign w:val="center"/>
                </w:tcPr>
                <w:p>
                  <w:pPr>
                    <w:tabs>
                      <w:tab w:val="left" w:pos="678"/>
                    </w:tabs>
                    <w:spacing w:line="360" w:lineRule="auto"/>
                    <w:ind w:left="240" w:hanging="240" w:hangingChars="100"/>
                    <w:jc w:val="center"/>
                    <w:rPr>
                      <w:rFonts w:ascii="宋体" w:hAnsi="宋体" w:cs="宋体"/>
                      <w:sz w:val="24"/>
                    </w:rPr>
                  </w:pPr>
                  <w:r>
                    <w:rPr>
                      <w:rFonts w:hint="eastAsia" w:ascii="宋体" w:hAnsi="宋体" w:cs="宋体"/>
                      <w:sz w:val="24"/>
                    </w:rPr>
                    <w:t>半衰期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840" w:type="dxa"/>
                  <w:noWrap w:val="0"/>
                  <w:vAlign w:val="center"/>
                </w:tcPr>
                <w:p>
                  <w:pPr>
                    <w:jc w:val="center"/>
                    <w:rPr>
                      <w:rFonts w:hint="eastAsia" w:ascii="宋体" w:hAnsi="宋体" w:cs="宋体"/>
                      <w:sz w:val="24"/>
                    </w:rPr>
                  </w:pPr>
                  <w:r>
                    <w:rPr>
                      <w:rFonts w:hint="eastAsia" w:ascii="宋体" w:hAnsi="宋体" w:cs="宋体"/>
                      <w:sz w:val="24"/>
                    </w:rPr>
                    <w:t>1</w:t>
                  </w:r>
                </w:p>
              </w:tc>
              <w:tc>
                <w:tcPr>
                  <w:tcW w:w="1774" w:type="dxa"/>
                  <w:noWrap w:val="0"/>
                  <w:vAlign w:val="center"/>
                </w:tcPr>
                <w:p>
                  <w:pPr>
                    <w:jc w:val="center"/>
                    <w:rPr>
                      <w:rFonts w:hint="eastAsia" w:ascii="宋体" w:hAnsi="宋体" w:cs="宋体"/>
                      <w:sz w:val="24"/>
                    </w:rPr>
                  </w:pPr>
                  <w:r>
                    <w:rPr>
                      <w:rFonts w:hint="eastAsia" w:ascii="宋体" w:hAnsi="宋体" w:cs="宋体"/>
                      <w:sz w:val="24"/>
                    </w:rPr>
                    <w:t>铱-192放射源</w:t>
                  </w:r>
                </w:p>
              </w:tc>
              <w:tc>
                <w:tcPr>
                  <w:tcW w:w="1255" w:type="dxa"/>
                  <w:noWrap w:val="0"/>
                  <w:vAlign w:val="center"/>
                </w:tcPr>
                <w:p>
                  <w:pPr>
                    <w:jc w:val="center"/>
                    <w:rPr>
                      <w:rFonts w:ascii="宋体" w:hAnsi="宋体" w:cs="宋体"/>
                      <w:sz w:val="24"/>
                    </w:rPr>
                  </w:pPr>
                  <w:r>
                    <w:rPr>
                      <w:rFonts w:hint="eastAsia" w:ascii="宋体" w:hAnsi="宋体" w:cs="宋体"/>
                      <w:sz w:val="24"/>
                    </w:rPr>
                    <w:t>近距离治疗装置后装伽马射线辐照源</w:t>
                  </w:r>
                </w:p>
              </w:tc>
              <w:tc>
                <w:tcPr>
                  <w:tcW w:w="1432" w:type="dxa"/>
                  <w:noWrap w:val="0"/>
                  <w:vAlign w:val="center"/>
                </w:tcPr>
                <w:p>
                  <w:pPr>
                    <w:jc w:val="center"/>
                    <w:rPr>
                      <w:rFonts w:hint="eastAsia" w:ascii="宋体" w:hAnsi="宋体" w:cs="宋体"/>
                      <w:sz w:val="24"/>
                    </w:rPr>
                  </w:pPr>
                  <w:r>
                    <w:rPr>
                      <w:rFonts w:hint="eastAsia" w:ascii="宋体" w:hAnsi="宋体" w:cs="宋体"/>
                      <w:sz w:val="24"/>
                    </w:rPr>
                    <w:t>10ci±10%</w:t>
                  </w:r>
                </w:p>
                <w:p>
                  <w:pPr>
                    <w:jc w:val="center"/>
                    <w:rPr>
                      <w:rFonts w:hint="eastAsia" w:ascii="宋体" w:hAnsi="宋体" w:cs="宋体"/>
                      <w:sz w:val="24"/>
                    </w:rPr>
                  </w:pPr>
                  <w:r>
                    <w:rPr>
                      <w:rFonts w:hint="eastAsia" w:ascii="宋体" w:hAnsi="宋体" w:cs="宋体"/>
                      <w:sz w:val="24"/>
                    </w:rPr>
                    <w:t>3.7E+11Bq</w:t>
                  </w:r>
                </w:p>
              </w:tc>
              <w:tc>
                <w:tcPr>
                  <w:tcW w:w="1231" w:type="dxa"/>
                  <w:noWrap w:val="0"/>
                  <w:vAlign w:val="center"/>
                </w:tcPr>
                <w:p>
                  <w:pPr>
                    <w:jc w:val="center"/>
                    <w:rPr>
                      <w:rFonts w:hint="eastAsia" w:ascii="宋体" w:hAnsi="宋体" w:cs="宋体"/>
                      <w:sz w:val="24"/>
                    </w:rPr>
                  </w:pPr>
                  <w:r>
                    <w:rPr>
                      <w:rFonts w:hint="eastAsia" w:ascii="宋体" w:hAnsi="宋体" w:cs="宋体"/>
                      <w:sz w:val="24"/>
                    </w:rPr>
                    <w:t>6个月</w:t>
                  </w:r>
                </w:p>
              </w:tc>
              <w:tc>
                <w:tcPr>
                  <w:tcW w:w="1039" w:type="dxa"/>
                  <w:noWrap w:val="0"/>
                  <w:vAlign w:val="center"/>
                </w:tcPr>
                <w:p>
                  <w:pPr>
                    <w:jc w:val="center"/>
                    <w:rPr>
                      <w:rFonts w:ascii="宋体" w:hAnsi="宋体" w:cs="宋体"/>
                      <w:sz w:val="24"/>
                    </w:rPr>
                  </w:pPr>
                  <w:r>
                    <w:rPr>
                      <w:rFonts w:hint="eastAsia" w:ascii="宋体" w:hAnsi="宋体" w:cs="宋体"/>
                      <w:sz w:val="24"/>
                    </w:rPr>
                    <w:t>73.83天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840" w:type="dxa"/>
                  <w:noWrap w:val="0"/>
                  <w:vAlign w:val="center"/>
                </w:tcPr>
                <w:p>
                  <w:pPr>
                    <w:jc w:val="center"/>
                    <w:rPr>
                      <w:rFonts w:ascii="宋体" w:hAnsi="宋体" w:cs="宋体"/>
                      <w:sz w:val="24"/>
                    </w:rPr>
                  </w:pPr>
                  <w:r>
                    <w:rPr>
                      <w:rFonts w:hint="eastAsia" w:ascii="宋体" w:hAnsi="宋体" w:cs="宋体"/>
                      <w:sz w:val="24"/>
                    </w:rPr>
                    <w:t>说明</w:t>
                  </w:r>
                </w:p>
              </w:tc>
              <w:tc>
                <w:tcPr>
                  <w:tcW w:w="6731" w:type="dxa"/>
                  <w:gridSpan w:val="5"/>
                  <w:noWrap w:val="0"/>
                  <w:vAlign w:val="center"/>
                </w:tcPr>
                <w:p>
                  <w:pPr>
                    <w:rPr>
                      <w:rFonts w:hint="eastAsia" w:ascii="宋体" w:hAnsi="宋体" w:cs="宋体"/>
                      <w:sz w:val="24"/>
                    </w:rPr>
                  </w:pPr>
                  <w:r>
                    <w:rPr>
                      <w:rFonts w:hint="eastAsia" w:ascii="宋体" w:hAnsi="宋体" w:cs="宋体"/>
                      <w:sz w:val="24"/>
                    </w:rPr>
                    <w:t>源辫长度：1700mm</w:t>
                  </w:r>
                </w:p>
                <w:p>
                  <w:pPr>
                    <w:rPr>
                      <w:rFonts w:hint="eastAsia" w:ascii="宋体" w:hAnsi="宋体" w:cs="宋体"/>
                      <w:sz w:val="24"/>
                    </w:rPr>
                  </w:pPr>
                  <w:r>
                    <w:rPr>
                      <w:rFonts w:hint="eastAsia" w:ascii="宋体" w:hAnsi="宋体" w:cs="宋体"/>
                      <w:sz w:val="24"/>
                    </w:rPr>
                    <w:t>源壳尺寸 直径：1.1mm 长度：≤6.5mm</w:t>
                  </w:r>
                </w:p>
                <w:p>
                  <w:r>
                    <w:rPr>
                      <w:rFonts w:hint="eastAsia" w:ascii="宋体" w:hAnsi="宋体" w:cs="宋体"/>
                      <w:sz w:val="24"/>
                    </w:rPr>
                    <w:t>活性区尺寸 直径：≤0.7mm 长度：≤3.9mm</w:t>
                  </w:r>
                </w:p>
              </w:tc>
            </w:tr>
          </w:tbl>
          <w:p/>
          <w:p>
            <w:pPr>
              <w:tabs>
                <w:tab w:val="left" w:pos="678"/>
              </w:tabs>
              <w:jc w:val="left"/>
              <w:rPr>
                <w:rFonts w:hint="eastAsia"/>
              </w:rPr>
            </w:pPr>
          </w:p>
          <w:p>
            <w:pPr>
              <w:tabs>
                <w:tab w:val="left" w:pos="678"/>
              </w:tabs>
              <w:spacing w:line="360" w:lineRule="auto"/>
              <w:ind w:left="241" w:hanging="241" w:hangingChars="100"/>
              <w:jc w:val="left"/>
              <w:rPr>
                <w:rFonts w:hint="eastAsia" w:ascii="宋体" w:hAnsi="宋体" w:cs="宋体"/>
                <w:sz w:val="24"/>
              </w:rPr>
            </w:pPr>
            <w:r>
              <w:rPr>
                <w:rFonts w:hint="eastAsia" w:ascii="宋体" w:hAnsi="宋体" w:cs="宋体"/>
                <w:b/>
                <w:bCs/>
                <w:sz w:val="24"/>
              </w:rPr>
              <w:t>1.工艺结构：</w:t>
            </w:r>
            <w:r>
              <w:rPr>
                <w:rFonts w:hint="eastAsia" w:ascii="宋体" w:hAnsi="宋体" w:cs="宋体"/>
                <w:sz w:val="24"/>
              </w:rPr>
              <w:t>采用激光焊接工艺，将铱金合金丝密封于不锈钢单层包壳内，并置于高通量核反应堆内进行辐照，经过核反应后制备成铱-192放射性同位素。根据所使用后装机的临床要求，将一定长度的不锈钢丝使用激光工艺与铱-192辐照源焊接在一起。</w:t>
            </w:r>
          </w:p>
          <w:p>
            <w:pPr>
              <w:tabs>
                <w:tab w:val="left" w:pos="678"/>
              </w:tabs>
              <w:spacing w:line="360" w:lineRule="auto"/>
              <w:ind w:left="241" w:hanging="241" w:hangingChars="100"/>
              <w:jc w:val="left"/>
              <w:rPr>
                <w:rFonts w:hint="eastAsia" w:ascii="宋体" w:hAnsi="宋体" w:cs="宋体"/>
                <w:b/>
                <w:bCs/>
                <w:sz w:val="24"/>
              </w:rPr>
            </w:pPr>
            <w:r>
              <w:rPr>
                <w:rFonts w:hint="eastAsia" w:ascii="宋体" w:hAnsi="宋体" w:cs="宋体"/>
                <w:b/>
                <w:bCs/>
                <w:sz w:val="24"/>
              </w:rPr>
              <w:t>2.质量控制：</w:t>
            </w:r>
          </w:p>
          <w:p>
            <w:pPr>
              <w:tabs>
                <w:tab w:val="left" w:pos="678"/>
              </w:tabs>
              <w:spacing w:line="360" w:lineRule="auto"/>
              <w:ind w:left="240" w:hanging="240" w:hangingChars="100"/>
              <w:jc w:val="left"/>
              <w:rPr>
                <w:rFonts w:hint="eastAsia" w:ascii="宋体" w:hAnsi="宋体" w:cs="宋体"/>
                <w:sz w:val="24"/>
              </w:rPr>
            </w:pPr>
            <w:r>
              <w:rPr>
                <w:rFonts w:hint="eastAsia" w:ascii="宋体" w:hAnsi="宋体" w:cs="宋体"/>
                <w:sz w:val="24"/>
              </w:rPr>
              <w:t xml:space="preserve">      放射源分级标准及结果：ISO/12/C 632111</w:t>
            </w:r>
          </w:p>
          <w:p>
            <w:pPr>
              <w:tabs>
                <w:tab w:val="left" w:pos="678"/>
              </w:tabs>
              <w:spacing w:line="360" w:lineRule="auto"/>
              <w:ind w:left="240" w:hanging="240" w:hangingChars="100"/>
              <w:jc w:val="left"/>
              <w:rPr>
                <w:rFonts w:hint="eastAsia" w:ascii="宋体" w:hAnsi="宋体" w:cs="宋体"/>
                <w:sz w:val="24"/>
              </w:rPr>
            </w:pPr>
            <w:r>
              <w:rPr>
                <w:rFonts w:hint="eastAsia" w:ascii="宋体" w:hAnsi="宋体" w:cs="宋体"/>
                <w:sz w:val="24"/>
              </w:rPr>
              <w:t xml:space="preserve">      表面污染擦拭标准：ISO 9978:1992</w:t>
            </w:r>
          </w:p>
          <w:p>
            <w:pPr>
              <w:tabs>
                <w:tab w:val="left" w:pos="678"/>
              </w:tabs>
              <w:spacing w:line="360" w:lineRule="auto"/>
              <w:ind w:left="240" w:hanging="240" w:hangingChars="100"/>
              <w:jc w:val="left"/>
              <w:rPr>
                <w:rFonts w:hint="eastAsia" w:ascii="宋体" w:hAnsi="宋体" w:cs="宋体"/>
                <w:sz w:val="24"/>
              </w:rPr>
            </w:pPr>
            <w:r>
              <w:rPr>
                <w:rFonts w:hint="eastAsia" w:ascii="宋体" w:hAnsi="宋体" w:cs="宋体"/>
                <w:sz w:val="24"/>
              </w:rPr>
              <w:t xml:space="preserve">      浸泡泄露检验标准：ISO 9978:1992</w:t>
            </w:r>
          </w:p>
          <w:p>
            <w:pPr>
              <w:tabs>
                <w:tab w:val="left" w:pos="678"/>
              </w:tabs>
              <w:spacing w:line="360" w:lineRule="auto"/>
              <w:ind w:left="240" w:hanging="240" w:hangingChars="100"/>
              <w:jc w:val="left"/>
              <w:rPr>
                <w:rFonts w:hint="eastAsia" w:ascii="宋体" w:hAnsi="宋体" w:cs="宋体"/>
                <w:sz w:val="24"/>
              </w:rPr>
            </w:pPr>
            <w:r>
              <w:rPr>
                <w:rFonts w:hint="eastAsia" w:ascii="宋体" w:hAnsi="宋体" w:cs="宋体"/>
                <w:sz w:val="24"/>
              </w:rPr>
              <w:t xml:space="preserve">      放射源推荐工作寿命：6个月或25000次</w:t>
            </w:r>
          </w:p>
          <w:p>
            <w:pPr>
              <w:tabs>
                <w:tab w:val="left" w:pos="678"/>
              </w:tabs>
              <w:spacing w:line="360" w:lineRule="auto"/>
              <w:ind w:left="29" w:leftChars="14"/>
              <w:jc w:val="left"/>
              <w:rPr>
                <w:rFonts w:hint="eastAsia" w:ascii="宋体" w:hAnsi="宋体" w:cs="宋体"/>
                <w:sz w:val="24"/>
              </w:rPr>
            </w:pPr>
            <w:r>
              <w:rPr>
                <w:rFonts w:hint="eastAsia" w:ascii="宋体" w:hAnsi="宋体" w:cs="宋体"/>
                <w:b/>
                <w:bCs/>
                <w:sz w:val="24"/>
              </w:rPr>
              <w:t>3.Ir-192放射源保证安装到院活度为：</w:t>
            </w:r>
            <w:r>
              <w:rPr>
                <w:rFonts w:hint="eastAsia" w:ascii="宋体" w:hAnsi="宋体" w:cs="宋体"/>
                <w:sz w:val="24"/>
              </w:rPr>
              <w:t>满足10Ci。</w:t>
            </w:r>
          </w:p>
          <w:p>
            <w:pPr>
              <w:tabs>
                <w:tab w:val="left" w:pos="678"/>
              </w:tabs>
              <w:spacing w:line="360" w:lineRule="auto"/>
              <w:ind w:left="241" w:hanging="241" w:hangingChars="100"/>
              <w:jc w:val="left"/>
              <w:rPr>
                <w:rFonts w:ascii="宋体" w:hAnsi="宋体" w:cs="宋体"/>
                <w:b/>
                <w:bCs/>
                <w:sz w:val="24"/>
              </w:rPr>
            </w:pPr>
            <w:r>
              <w:rPr>
                <w:rFonts w:hint="eastAsia" w:ascii="宋体" w:hAnsi="宋体" w:cs="宋体"/>
                <w:b/>
                <w:bCs/>
                <w:sz w:val="24"/>
              </w:rPr>
              <w:t>4.根据国家颁布的</w:t>
            </w:r>
            <w:r>
              <w:rPr>
                <w:rFonts w:ascii="宋体" w:hAnsi="宋体" w:cs="宋体"/>
                <w:b/>
                <w:bCs/>
                <w:sz w:val="24"/>
              </w:rPr>
              <w:t>2005</w:t>
            </w:r>
            <w:r>
              <w:rPr>
                <w:rFonts w:hint="eastAsia" w:ascii="宋体" w:hAnsi="宋体" w:cs="宋体"/>
                <w:b/>
                <w:bCs/>
                <w:sz w:val="24"/>
              </w:rPr>
              <w:t>年</w:t>
            </w:r>
            <w:r>
              <w:rPr>
                <w:rFonts w:ascii="宋体" w:hAnsi="宋体" w:cs="宋体"/>
                <w:b/>
                <w:bCs/>
                <w:sz w:val="24"/>
              </w:rPr>
              <w:t>9月14日中华人民共和国国务院令第449号</w:t>
            </w:r>
            <w:r>
              <w:rPr>
                <w:rFonts w:hint="eastAsia" w:ascii="宋体" w:hAnsi="宋体" w:cs="宋体"/>
                <w:b/>
                <w:bCs/>
                <w:sz w:val="24"/>
              </w:rPr>
              <w:t>《放射性同位素与射线装置安全和防护条例》第十七条例：</w:t>
            </w:r>
            <w:r>
              <w:rPr>
                <w:rFonts w:ascii="宋体" w:hAnsi="宋体" w:cs="宋体"/>
                <w:b/>
                <w:bCs/>
                <w:sz w:val="24"/>
              </w:rPr>
              <w:t>公布Ⅰ类、Ⅱ类、Ⅲ类放射源的标号应当刻制在放射源本体或者密封包壳体上，Ⅳ类、Ⅴ类放射源的标号应当记录在相应说明文件中；</w:t>
            </w:r>
          </w:p>
          <w:p>
            <w:pPr>
              <w:rPr>
                <w:rFonts w:hint="eastAsia" w:ascii="宋体" w:hAnsi="宋体" w:cs="宋体"/>
                <w:sz w:val="32"/>
                <w:szCs w:val="40"/>
              </w:rPr>
            </w:pPr>
          </w:p>
          <w:p>
            <w:pPr>
              <w:rPr>
                <w:rFonts w:ascii="宋体" w:hAnsi="宋体" w:cs="宋体"/>
                <w:sz w:val="32"/>
                <w:szCs w:val="40"/>
              </w:rPr>
            </w:pPr>
            <w:r>
              <w:rPr>
                <w:rFonts w:hint="eastAsia" w:ascii="宋体" w:hAnsi="宋体" w:cs="宋体"/>
                <w:sz w:val="32"/>
                <w:szCs w:val="40"/>
              </w:rPr>
              <w:t>二、商务参数</w:t>
            </w:r>
          </w:p>
          <w:p>
            <w:pPr>
              <w:spacing w:line="360" w:lineRule="auto"/>
              <w:rPr>
                <w:rFonts w:hint="eastAsia" w:ascii="宋体" w:hAnsi="宋体" w:cs="宋体"/>
                <w:sz w:val="24"/>
              </w:rPr>
            </w:pPr>
            <w:r>
              <w:rPr>
                <w:rFonts w:hint="eastAsia" w:ascii="宋体" w:hAnsi="宋体" w:cs="宋体"/>
                <w:sz w:val="24"/>
              </w:rPr>
              <w:t>*1、运输、装卸、培训、安装调试、废源退役运走：由中标人负责承担，最终通过使用科室、设备科及相关部门确认验收交付使用。</w:t>
            </w:r>
            <w:r>
              <w:rPr>
                <w:rFonts w:hint="eastAsia" w:ascii="宋体" w:hAnsi="宋体" w:cs="宋体"/>
                <w:sz w:val="24"/>
              </w:rPr>
              <w:cr/>
            </w:r>
            <w:r>
              <w:rPr>
                <w:rFonts w:hint="eastAsia" w:ascii="宋体" w:hAnsi="宋体" w:cs="宋体"/>
                <w:sz w:val="24"/>
              </w:rPr>
              <w:t>*2、交货时间：2年内购买放射源5～6枚，设备科会提前45天左右预定新放射源并以短信的形式通知中标方，中标公司接到通知后，必须从接到通知日算起，40～45天内将新源送至医院并安装、调试好，同时并把废源当天运走，逾期按合同赔付。</w:t>
            </w:r>
          </w:p>
          <w:p>
            <w:pPr>
              <w:pStyle w:val="10"/>
              <w:keepNext w:val="0"/>
              <w:keepLines w:val="0"/>
              <w:pageBreakBefore w:val="0"/>
              <w:widowControl w:val="0"/>
              <w:kinsoku/>
              <w:wordWrap/>
              <w:overflowPunct/>
              <w:topLinePunct w:val="0"/>
              <w:autoSpaceDE/>
              <w:autoSpaceDN/>
              <w:bidi w:val="0"/>
              <w:adjustRightInd/>
              <w:snapToGrid w:val="0"/>
              <w:spacing w:line="480" w:lineRule="exact"/>
              <w:jc w:val="left"/>
              <w:textAlignment w:val="auto"/>
              <w:rPr>
                <w:rFonts w:hint="eastAsia" w:ascii="仿宋" w:hAnsi="仿宋" w:eastAsia="仿宋" w:cs="仿宋"/>
                <w:color w:val="0000FF"/>
                <w:sz w:val="28"/>
                <w:szCs w:val="28"/>
                <w:lang w:val="en-US" w:eastAsia="zh-CN"/>
              </w:rPr>
            </w:pPr>
            <w:r>
              <w:rPr>
                <w:rFonts w:hint="eastAsia" w:ascii="宋体" w:hAnsi="宋体" w:eastAsia="宋体" w:cs="宋体"/>
                <w:kern w:val="2"/>
                <w:sz w:val="24"/>
                <w:szCs w:val="24"/>
                <w:lang w:val="en-US" w:eastAsia="zh-CN" w:bidi="ar-SA"/>
              </w:rPr>
              <w:t>*3、付款方式：甲方通过银行转账方式向乙方指定银行账户支付结算价款，甲方在每满一个合同年度后，乙方将发票交到娄底市中心医院20个工作日内支付当年度甲方实际购买的放射源应付金额（即当年度交接放射源数量×单价）；</w:t>
            </w:r>
          </w:p>
          <w:p>
            <w:pPr>
              <w:spacing w:line="360" w:lineRule="auto"/>
              <w:rPr>
                <w:rFonts w:ascii="宋体" w:hAnsi="宋体" w:cs="宋体"/>
                <w:sz w:val="24"/>
              </w:rPr>
            </w:pPr>
            <w:r>
              <w:rPr>
                <w:rFonts w:hint="eastAsia" w:ascii="宋体" w:hAnsi="宋体" w:cs="宋体"/>
                <w:sz w:val="24"/>
              </w:rPr>
              <w:t>*4、交货地点：娄底市中心医院。</w:t>
            </w:r>
            <w:r>
              <w:rPr>
                <w:rFonts w:hint="eastAsia" w:ascii="宋体" w:hAnsi="宋体" w:cs="宋体"/>
                <w:sz w:val="24"/>
              </w:rPr>
              <w:cr/>
            </w:r>
            <w:r>
              <w:rPr>
                <w:rFonts w:hint="eastAsia" w:ascii="宋体" w:hAnsi="宋体" w:cs="宋体"/>
                <w:sz w:val="24"/>
              </w:rPr>
              <w:t>*5、质保与售后：每枚放射源的使用寿命必须≥2个半衰期。</w:t>
            </w:r>
          </w:p>
          <w:p>
            <w:pPr>
              <w:spacing w:line="360" w:lineRule="auto"/>
              <w:rPr>
                <w:rFonts w:hint="eastAsia" w:ascii="宋体" w:hAnsi="宋体" w:cs="宋体"/>
                <w:sz w:val="24"/>
              </w:rPr>
            </w:pPr>
            <w:r>
              <w:rPr>
                <w:rFonts w:hint="eastAsia" w:ascii="宋体" w:hAnsi="宋体" w:cs="宋体"/>
                <w:sz w:val="24"/>
              </w:rPr>
              <w:t>*6、在投标文件中必须提供相关佐证资料（加盖原厂公章的技术参数、技术白皮书、说明书、彩页），并在响应表中备注该条参数响应或正偏离的佐证资料所在页码。</w:t>
            </w:r>
          </w:p>
          <w:p>
            <w:pPr>
              <w:spacing w:line="360" w:lineRule="auto"/>
              <w:rPr>
                <w:rFonts w:ascii="宋体" w:hAnsi="宋体" w:cs="宋体"/>
                <w:sz w:val="24"/>
              </w:rPr>
            </w:pPr>
            <w:r>
              <w:rPr>
                <w:rFonts w:hint="eastAsia" w:ascii="宋体" w:hAnsi="宋体" w:cs="宋体"/>
                <w:sz w:val="24"/>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4"/>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5"/>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6"/>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2"/>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6"/>
        <w:rPr>
          <w:color w:val="auto"/>
        </w:rPr>
      </w:pPr>
    </w:p>
    <w:p>
      <w:pPr>
        <w:rPr>
          <w:color w:val="auto"/>
        </w:rPr>
      </w:pPr>
      <w:r>
        <w:rPr>
          <w:color w:val="auto"/>
        </w:rPr>
        <w:br w:type="page"/>
      </w:r>
    </w:p>
    <w:p>
      <w:pPr>
        <w:pStyle w:val="16"/>
        <w:rPr>
          <w:color w:val="auto"/>
        </w:rPr>
      </w:pPr>
    </w:p>
    <w:p>
      <w:pPr>
        <w:pStyle w:val="16"/>
        <w:widowControl w:val="0"/>
        <w:numPr>
          <w:ilvl w:val="0"/>
          <w:numId w:val="0"/>
        </w:numPr>
        <w:jc w:val="both"/>
        <w:rPr>
          <w:color w:val="auto"/>
          <w:sz w:val="28"/>
          <w:szCs w:val="28"/>
        </w:rPr>
      </w:pPr>
    </w:p>
    <w:p>
      <w:pPr>
        <w:pStyle w:val="16"/>
        <w:widowControl w:val="0"/>
        <w:numPr>
          <w:ilvl w:val="0"/>
          <w:numId w:val="0"/>
        </w:numPr>
        <w:jc w:val="both"/>
        <w:rPr>
          <w:color w:val="auto"/>
          <w:sz w:val="28"/>
          <w:szCs w:val="28"/>
        </w:rPr>
      </w:pPr>
    </w:p>
    <w:p>
      <w:pPr>
        <w:pStyle w:val="7"/>
        <w:numPr>
          <w:ilvl w:val="0"/>
          <w:numId w:val="3"/>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7"/>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8"/>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6"/>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4"/>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9"/>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76514128"/>
      <w:bookmarkStart w:id="4" w:name="_Toc486424819"/>
    </w:p>
    <w:p>
      <w:pPr>
        <w:pStyle w:val="16"/>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4"/>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5"/>
      </w:pPr>
    </w:p>
    <w:p>
      <w:pPr>
        <w:spacing w:before="120" w:beforeLines="50" w:after="120" w:afterLines="50" w:line="276" w:lineRule="auto"/>
        <w:rPr>
          <w:rFonts w:hint="eastAsia" w:eastAsia="宋体"/>
          <w:b/>
          <w:bCs/>
          <w:color w:val="auto"/>
          <w:sz w:val="28"/>
          <w:szCs w:val="28"/>
          <w:lang w:eastAsia="zh-CN"/>
        </w:rPr>
      </w:pPr>
    </w:p>
    <w:p>
      <w:pPr>
        <w:pStyle w:val="16"/>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8"/>
        <w:rPr>
          <w:color w:val="auto"/>
        </w:rPr>
      </w:pPr>
    </w:p>
    <w:p>
      <w:pPr>
        <w:pStyle w:val="18"/>
        <w:rPr>
          <w:color w:val="auto"/>
        </w:rPr>
      </w:pPr>
    </w:p>
    <w:p>
      <w:pPr>
        <w:pStyle w:val="18"/>
        <w:rPr>
          <w:color w:val="auto"/>
        </w:rPr>
      </w:pPr>
    </w:p>
    <w:p>
      <w:pPr>
        <w:pStyle w:val="18"/>
        <w:rPr>
          <w:color w:val="auto"/>
        </w:rPr>
      </w:pPr>
    </w:p>
    <w:p>
      <w:pPr>
        <w:pStyle w:val="19"/>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8"/>
        <w:rPr>
          <w:color w:val="auto"/>
        </w:rPr>
      </w:pPr>
    </w:p>
    <w:p>
      <w:pPr>
        <w:pStyle w:val="18"/>
        <w:rPr>
          <w:rFonts w:hint="eastAsia"/>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rFonts w:hint="eastAsia"/>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9"/>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4"/>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p/>
    <w:p>
      <w:pPr>
        <w:keepNext w:val="0"/>
        <w:keepLines w:val="0"/>
        <w:pageBreakBefore w:val="0"/>
        <w:kinsoku/>
        <w:wordWrap/>
        <w:overflowPunct/>
        <w:topLinePunct w:val="0"/>
        <w:autoSpaceDE/>
        <w:autoSpaceDN/>
        <w:bidi w:val="0"/>
        <w:adjustRightInd/>
        <w:spacing w:line="480" w:lineRule="exact"/>
        <w:jc w:val="center"/>
        <w:rPr>
          <w:rFonts w:ascii="仿宋" w:hAnsi="仿宋" w:eastAsia="仿宋" w:cs="仿宋"/>
          <w:b/>
          <w:color w:val="000000" w:themeColor="text1"/>
          <w:kern w:val="44"/>
          <w:sz w:val="44"/>
          <w14:textFill>
            <w14:solidFill>
              <w14:schemeClr w14:val="tx1"/>
            </w14:solidFill>
          </w14:textFill>
        </w:rPr>
      </w:pPr>
      <w:r>
        <w:rPr>
          <w:rFonts w:hint="eastAsia" w:ascii="仿宋" w:hAnsi="仿宋" w:eastAsia="仿宋" w:cs="仿宋"/>
          <w:b/>
          <w:color w:val="000000" w:themeColor="text1"/>
          <w:kern w:val="44"/>
          <w:sz w:val="44"/>
          <w14:textFill>
            <w14:solidFill>
              <w14:schemeClr w14:val="tx1"/>
            </w14:solidFill>
          </w14:textFill>
        </w:rPr>
        <w:t>铱-192</w:t>
      </w:r>
      <w:r>
        <w:rPr>
          <w:rFonts w:hint="eastAsia" w:ascii="仿宋" w:hAnsi="仿宋" w:eastAsia="仿宋" w:cs="仿宋"/>
          <w:b/>
          <w:color w:val="000000" w:themeColor="text1"/>
          <w:kern w:val="44"/>
          <w:sz w:val="44"/>
          <w:lang w:val="en-US" w:eastAsia="zh-CN"/>
          <w14:textFill>
            <w14:solidFill>
              <w14:schemeClr w14:val="tx1"/>
            </w14:solidFill>
          </w14:textFill>
        </w:rPr>
        <w:t>放射</w:t>
      </w:r>
      <w:r>
        <w:rPr>
          <w:rFonts w:hint="eastAsia" w:ascii="仿宋" w:hAnsi="仿宋" w:eastAsia="仿宋" w:cs="仿宋"/>
          <w:b/>
          <w:color w:val="000000" w:themeColor="text1"/>
          <w:kern w:val="44"/>
          <w:sz w:val="44"/>
          <w14:textFill>
            <w14:solidFill>
              <w14:schemeClr w14:val="tx1"/>
            </w14:solidFill>
          </w14:textFill>
        </w:rPr>
        <w:t>源采购合同</w:t>
      </w:r>
    </w:p>
    <w:p>
      <w:pPr>
        <w:keepNext w:val="0"/>
        <w:keepLines w:val="0"/>
        <w:pageBreakBefore w:val="0"/>
        <w:kinsoku/>
        <w:wordWrap/>
        <w:overflowPunct/>
        <w:topLinePunct w:val="0"/>
        <w:autoSpaceDE/>
        <w:autoSpaceDN/>
        <w:bidi w:val="0"/>
        <w:adjustRightInd/>
        <w:snapToGrid w:val="0"/>
        <w:spacing w:line="480" w:lineRule="exact"/>
        <w:jc w:val="left"/>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4"/>
          <w14:textFill>
            <w14:solidFill>
              <w14:schemeClr w14:val="tx1"/>
            </w14:solidFill>
          </w14:textFill>
        </w:rPr>
        <w:t>甲方：</w:t>
      </w: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娄底市中心医院</w:t>
      </w:r>
    </w:p>
    <w:p>
      <w:pPr>
        <w:keepNext w:val="0"/>
        <w:keepLines w:val="0"/>
        <w:pageBreakBefore w:val="0"/>
        <w:kinsoku/>
        <w:wordWrap/>
        <w:overflowPunct/>
        <w:topLinePunct w:val="0"/>
        <w:autoSpaceDE/>
        <w:autoSpaceDN/>
        <w:bidi w:val="0"/>
        <w:adjustRightInd/>
        <w:snapToGrid w:val="0"/>
        <w:spacing w:line="480" w:lineRule="exact"/>
        <w:jc w:val="left"/>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法定代表人：李红辉</w:t>
      </w:r>
    </w:p>
    <w:p>
      <w:pPr>
        <w:keepNext w:val="0"/>
        <w:keepLines w:val="0"/>
        <w:pageBreakBefore w:val="0"/>
        <w:kinsoku/>
        <w:wordWrap/>
        <w:overflowPunct/>
        <w:topLinePunct w:val="0"/>
        <w:autoSpaceDE/>
        <w:autoSpaceDN/>
        <w:bidi w:val="0"/>
        <w:adjustRightInd/>
        <w:snapToGrid w:val="0"/>
        <w:spacing w:line="480" w:lineRule="exact"/>
        <w:jc w:val="left"/>
        <w:rPr>
          <w:rFonts w:hint="default" w:ascii="仿宋" w:hAnsi="仿宋" w:eastAsia="仿宋" w:cs="仿宋"/>
          <w:snapToGrid w:val="0"/>
          <w:color w:val="000000" w:themeColor="text1"/>
          <w:spacing w:val="11"/>
          <w:kern w:val="21"/>
          <w:position w:val="1"/>
          <w:sz w:val="24"/>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统一社会信用代码：12431300447162073W</w:t>
      </w:r>
    </w:p>
    <w:p>
      <w:pPr>
        <w:keepNext w:val="0"/>
        <w:keepLines w:val="0"/>
        <w:pageBreakBefore w:val="0"/>
        <w:kinsoku/>
        <w:wordWrap/>
        <w:overflowPunct/>
        <w:topLinePunct w:val="0"/>
        <w:autoSpaceDE/>
        <w:autoSpaceDN/>
        <w:bidi w:val="0"/>
        <w:adjustRightInd/>
        <w:snapToGrid w:val="0"/>
        <w:spacing w:line="480" w:lineRule="exact"/>
        <w:jc w:val="left"/>
        <w:rPr>
          <w:rFonts w:hint="default" w:ascii="仿宋" w:hAnsi="仿宋" w:eastAsia="仿宋" w:cs="仿宋"/>
          <w:snapToGrid w:val="0"/>
          <w:color w:val="000000" w:themeColor="text1"/>
          <w:spacing w:val="11"/>
          <w:kern w:val="21"/>
          <w:position w:val="1"/>
          <w:sz w:val="24"/>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4"/>
          <w14:textFill>
            <w14:solidFill>
              <w14:schemeClr w14:val="tx1"/>
            </w14:solidFill>
          </w14:textFill>
        </w:rPr>
        <w:t>地址：</w:t>
      </w: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湖南省娄底市娄星区长青街51号</w:t>
      </w:r>
    </w:p>
    <w:p>
      <w:pPr>
        <w:keepNext w:val="0"/>
        <w:keepLines w:val="0"/>
        <w:pageBreakBefore w:val="0"/>
        <w:kinsoku/>
        <w:wordWrap/>
        <w:overflowPunct/>
        <w:topLinePunct w:val="0"/>
        <w:autoSpaceDE/>
        <w:autoSpaceDN/>
        <w:bidi w:val="0"/>
        <w:adjustRightInd/>
        <w:snapToGrid w:val="0"/>
        <w:spacing w:line="480" w:lineRule="exact"/>
        <w:jc w:val="left"/>
        <w:rPr>
          <w:rFonts w:ascii="仿宋" w:hAnsi="仿宋" w:eastAsia="仿宋" w:cs="仿宋"/>
          <w:snapToGrid w:val="0"/>
          <w:color w:val="000000" w:themeColor="text1"/>
          <w:spacing w:val="11"/>
          <w:kern w:val="21"/>
          <w:position w:val="1"/>
          <w:sz w:val="24"/>
          <w14:textFill>
            <w14:solidFill>
              <w14:schemeClr w14:val="tx1"/>
            </w14:solidFill>
          </w14:textFill>
        </w:rPr>
      </w:pPr>
    </w:p>
    <w:p>
      <w:pPr>
        <w:keepNext w:val="0"/>
        <w:keepLines w:val="0"/>
        <w:pageBreakBefore w:val="0"/>
        <w:kinsoku/>
        <w:wordWrap/>
        <w:overflowPunct/>
        <w:topLinePunct w:val="0"/>
        <w:autoSpaceDE/>
        <w:autoSpaceDN/>
        <w:bidi w:val="0"/>
        <w:adjustRightInd/>
        <w:snapToGrid w:val="0"/>
        <w:spacing w:line="480" w:lineRule="exact"/>
        <w:jc w:val="left"/>
        <w:rPr>
          <w:rFonts w:hint="eastAsia" w:ascii="仿宋" w:hAnsi="仿宋" w:eastAsia="仿宋" w:cs="仿宋"/>
          <w:snapToGrid w:val="0"/>
          <w:color w:val="000000" w:themeColor="text1"/>
          <w:spacing w:val="11"/>
          <w:kern w:val="21"/>
          <w:position w:val="1"/>
          <w:sz w:val="24"/>
          <w14:textFill>
            <w14:solidFill>
              <w14:schemeClr w14:val="tx1"/>
            </w14:solidFill>
          </w14:textFill>
        </w:rPr>
      </w:pPr>
      <w:r>
        <w:rPr>
          <w:rFonts w:hint="eastAsia" w:ascii="仿宋" w:hAnsi="仿宋" w:eastAsia="仿宋" w:cs="仿宋"/>
          <w:snapToGrid w:val="0"/>
          <w:color w:val="000000" w:themeColor="text1"/>
          <w:spacing w:val="11"/>
          <w:kern w:val="21"/>
          <w:position w:val="1"/>
          <w:sz w:val="24"/>
          <w14:textFill>
            <w14:solidFill>
              <w14:schemeClr w14:val="tx1"/>
            </w14:solidFill>
          </w14:textFill>
        </w:rPr>
        <w:t>乙方：</w:t>
      </w:r>
    </w:p>
    <w:p>
      <w:pPr>
        <w:keepNext w:val="0"/>
        <w:keepLines w:val="0"/>
        <w:pageBreakBefore w:val="0"/>
        <w:kinsoku/>
        <w:wordWrap/>
        <w:overflowPunct/>
        <w:topLinePunct w:val="0"/>
        <w:autoSpaceDE/>
        <w:autoSpaceDN/>
        <w:bidi w:val="0"/>
        <w:adjustRightInd/>
        <w:snapToGrid w:val="0"/>
        <w:spacing w:line="480" w:lineRule="exact"/>
        <w:jc w:val="left"/>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法定代表人：</w:t>
      </w:r>
    </w:p>
    <w:p>
      <w:pPr>
        <w:keepNext w:val="0"/>
        <w:keepLines w:val="0"/>
        <w:pageBreakBefore w:val="0"/>
        <w:kinsoku/>
        <w:wordWrap/>
        <w:overflowPunct/>
        <w:topLinePunct w:val="0"/>
        <w:autoSpaceDE/>
        <w:autoSpaceDN/>
        <w:bidi w:val="0"/>
        <w:adjustRightInd/>
        <w:snapToGrid w:val="0"/>
        <w:spacing w:line="480" w:lineRule="exact"/>
        <w:jc w:val="left"/>
        <w:rPr>
          <w:rFonts w:hint="eastAsia" w:ascii="仿宋" w:hAnsi="仿宋" w:eastAsia="仿宋" w:cs="仿宋"/>
          <w:snapToGrid w:val="0"/>
          <w:color w:val="000000" w:themeColor="text1"/>
          <w:spacing w:val="11"/>
          <w:kern w:val="21"/>
          <w:position w:val="1"/>
          <w:sz w:val="24"/>
          <w14:textFill>
            <w14:solidFill>
              <w14:schemeClr w14:val="tx1"/>
            </w14:solidFill>
          </w14:textFill>
        </w:rPr>
      </w:pPr>
      <w:r>
        <w:rPr>
          <w:rFonts w:hint="eastAsia" w:ascii="仿宋" w:hAnsi="仿宋" w:eastAsia="仿宋" w:cs="仿宋"/>
          <w:snapToGrid w:val="0"/>
          <w:color w:val="000000" w:themeColor="text1"/>
          <w:spacing w:val="11"/>
          <w:kern w:val="21"/>
          <w:position w:val="1"/>
          <w:sz w:val="24"/>
          <w:lang w:val="en-US" w:eastAsia="zh-CN"/>
          <w14:textFill>
            <w14:solidFill>
              <w14:schemeClr w14:val="tx1"/>
            </w14:solidFill>
          </w14:textFill>
        </w:rPr>
        <w:t>统一社会信用代码：</w:t>
      </w:r>
    </w:p>
    <w:p>
      <w:pPr>
        <w:keepNext w:val="0"/>
        <w:keepLines w:val="0"/>
        <w:pageBreakBefore w:val="0"/>
        <w:kinsoku/>
        <w:wordWrap/>
        <w:overflowPunct/>
        <w:topLinePunct w:val="0"/>
        <w:autoSpaceDE/>
        <w:autoSpaceDN/>
        <w:bidi w:val="0"/>
        <w:adjustRightInd/>
        <w:snapToGrid w:val="0"/>
        <w:spacing w:line="480" w:lineRule="exact"/>
        <w:jc w:val="left"/>
        <w:rPr>
          <w:rFonts w:ascii="仿宋" w:hAnsi="仿宋" w:eastAsia="仿宋" w:cs="仿宋"/>
          <w:snapToGrid w:val="0"/>
          <w:color w:val="000000" w:themeColor="text1"/>
          <w:spacing w:val="11"/>
          <w:kern w:val="21"/>
          <w:position w:val="1"/>
          <w:sz w:val="24"/>
          <w14:textFill>
            <w14:solidFill>
              <w14:schemeClr w14:val="tx1"/>
            </w14:solidFill>
          </w14:textFill>
        </w:rPr>
      </w:pPr>
      <w:r>
        <w:rPr>
          <w:rFonts w:hint="eastAsia" w:ascii="仿宋" w:hAnsi="仿宋" w:eastAsia="仿宋" w:cs="仿宋"/>
          <w:snapToGrid w:val="0"/>
          <w:color w:val="000000" w:themeColor="text1"/>
          <w:spacing w:val="11"/>
          <w:kern w:val="21"/>
          <w:position w:val="1"/>
          <w:sz w:val="24"/>
          <w14:textFill>
            <w14:solidFill>
              <w14:schemeClr w14:val="tx1"/>
            </w14:solidFill>
          </w14:textFill>
        </w:rPr>
        <w:t>地址：</w:t>
      </w:r>
    </w:p>
    <w:p>
      <w:pPr>
        <w:keepNext w:val="0"/>
        <w:keepLines w:val="0"/>
        <w:pageBreakBefore w:val="0"/>
        <w:widowControl w:val="0"/>
        <w:kinsoku/>
        <w:wordWrap/>
        <w:overflowPunct/>
        <w:topLinePunct w:val="0"/>
        <w:autoSpaceDE/>
        <w:autoSpaceDN/>
        <w:bidi w:val="0"/>
        <w:adjustRightInd/>
        <w:snapToGrid w:val="0"/>
        <w:spacing w:line="480" w:lineRule="exact"/>
        <w:ind w:right="0" w:rightChars="0" w:firstLine="480" w:firstLineChars="200"/>
        <w:jc w:val="left"/>
        <w:textAlignment w:val="auto"/>
        <w:rPr>
          <w:rFonts w:hint="eastAsia" w:ascii="仿宋" w:hAnsi="仿宋" w:eastAsia="仿宋" w:cs="仿宋"/>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480" w:lineRule="exact"/>
        <w:ind w:right="0" w:rightChars="0" w:firstLine="560" w:firstLineChars="200"/>
        <w:jc w:val="both"/>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eastAsia="zh-CN"/>
          <w14:textFill>
            <w14:solidFill>
              <w14:schemeClr w14:val="tx1"/>
            </w14:solidFill>
          </w14:textFill>
        </w:rPr>
        <w:t>甲方因诊疗业务工作需要通过院内公开挂网采购的方式采购铱-192</w:t>
      </w:r>
      <w:r>
        <w:rPr>
          <w:rFonts w:hint="eastAsia" w:ascii="仿宋" w:hAnsi="仿宋" w:eastAsia="仿宋" w:cs="仿宋"/>
          <w:color w:val="000000" w:themeColor="text1"/>
          <w:sz w:val="28"/>
          <w:szCs w:val="28"/>
          <w:lang w:val="en-US" w:eastAsia="zh-CN"/>
          <w14:textFill>
            <w14:solidFill>
              <w14:schemeClr w14:val="tx1"/>
            </w14:solidFill>
          </w14:textFill>
        </w:rPr>
        <w:t>放射</w:t>
      </w:r>
      <w:r>
        <w:rPr>
          <w:rFonts w:hint="eastAsia" w:ascii="仿宋" w:hAnsi="仿宋" w:eastAsia="仿宋" w:cs="仿宋"/>
          <w:color w:val="000000" w:themeColor="text1"/>
          <w:sz w:val="28"/>
          <w:szCs w:val="28"/>
          <w:lang w:eastAsia="zh-CN"/>
          <w14:textFill>
            <w14:solidFill>
              <w14:schemeClr w14:val="tx1"/>
            </w14:solidFill>
          </w14:textFill>
        </w:rPr>
        <w:t>源，乙方为成交供应商。现依据《民法典》及相关法律法规，双方基于项目采购的基础友好协商，达成一致，特订立本合同，以兹共同遵守。</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right="0" w:rightChars="0" w:firstLine="562" w:firstLineChars="200"/>
        <w:jc w:val="left"/>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bCs w:val="0"/>
          <w:color w:val="000000" w:themeColor="text1"/>
          <w:sz w:val="28"/>
          <w:szCs w:val="28"/>
          <w:lang w:val="en-US" w:eastAsia="zh-CN"/>
          <w14:textFill>
            <w14:solidFill>
              <w14:schemeClr w14:val="tx1"/>
            </w14:solidFill>
          </w14:textFill>
        </w:rPr>
        <w:t>第一条  采购内容</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right="0" w:rightChars="0" w:firstLine="604" w:firstLineChars="200"/>
        <w:jc w:val="left"/>
        <w:textAlignment w:val="auto"/>
        <w:rPr>
          <w:rFonts w:hint="eastAsia"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t>1.1采购放射源名、规格、数量及金额</w:t>
      </w:r>
    </w:p>
    <w:tbl>
      <w:tblPr>
        <w:tblStyle w:val="14"/>
        <w:tblW w:w="9385" w:type="dxa"/>
        <w:tblInd w:w="0" w:type="dxa"/>
        <w:shd w:val="clear" w:color="auto" w:fill="auto"/>
        <w:tblLayout w:type="fixed"/>
        <w:tblCellMar>
          <w:top w:w="0" w:type="dxa"/>
          <w:left w:w="0" w:type="dxa"/>
          <w:bottom w:w="0" w:type="dxa"/>
          <w:right w:w="0" w:type="dxa"/>
        </w:tblCellMar>
      </w:tblPr>
      <w:tblGrid>
        <w:gridCol w:w="1584"/>
        <w:gridCol w:w="3948"/>
        <w:gridCol w:w="1494"/>
        <w:gridCol w:w="1320"/>
        <w:gridCol w:w="1201"/>
      </w:tblGrid>
      <w:tr>
        <w:tblPrEx>
          <w:shd w:val="clear" w:color="auto" w:fill="auto"/>
          <w:tblCellMar>
            <w:top w:w="0" w:type="dxa"/>
            <w:left w:w="0" w:type="dxa"/>
            <w:bottom w:w="0" w:type="dxa"/>
            <w:right w:w="0" w:type="dxa"/>
          </w:tblCellMar>
        </w:tblPrEx>
        <w:trPr>
          <w:trHeight w:val="288" w:hRule="atLeast"/>
        </w:trPr>
        <w:tc>
          <w:tcPr>
            <w:tcW w:w="15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宋体" w:hAnsi="宋体" w:eastAsia="宋体" w:cs="宋体"/>
                <w:i w:val="0"/>
                <w:color w:val="000000" w:themeColor="text1"/>
                <w:sz w:val="28"/>
                <w:szCs w:val="28"/>
                <w:u w:val="none"/>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名称</w:t>
            </w:r>
          </w:p>
        </w:tc>
        <w:tc>
          <w:tcPr>
            <w:tcW w:w="3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default" w:ascii="宋体" w:hAnsi="宋体" w:eastAsia="宋体" w:cs="宋体"/>
                <w:i w:val="0"/>
                <w:color w:val="000000" w:themeColor="text1"/>
                <w:sz w:val="28"/>
                <w:szCs w:val="28"/>
                <w:u w:val="none"/>
                <w:lang w:val="en-US"/>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规格</w:t>
            </w:r>
            <w:r>
              <w:rPr>
                <w:rFonts w:hint="eastAsia" w:ascii="宋体" w:hAnsi="宋体" w:cs="宋体"/>
                <w:i w:val="0"/>
                <w:color w:val="000000" w:themeColor="text1"/>
                <w:kern w:val="0"/>
                <w:sz w:val="28"/>
                <w:szCs w:val="28"/>
                <w:u w:val="none"/>
                <w:lang w:val="en-US" w:eastAsia="zh-CN" w:bidi="ar"/>
                <w14:textFill>
                  <w14:solidFill>
                    <w14:schemeClr w14:val="tx1"/>
                  </w14:solidFill>
                </w14:textFill>
              </w:rPr>
              <w:t>、型号</w:t>
            </w:r>
          </w:p>
        </w:tc>
        <w:tc>
          <w:tcPr>
            <w:tcW w:w="14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宋体" w:hAnsi="宋体" w:eastAsia="宋体" w:cs="宋体"/>
                <w:i w:val="0"/>
                <w:color w:val="000000" w:themeColor="text1"/>
                <w:sz w:val="28"/>
                <w:szCs w:val="28"/>
                <w:u w:val="none"/>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数量</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宋体" w:hAnsi="宋体" w:eastAsia="宋体" w:cs="宋体"/>
                <w:i w:val="0"/>
                <w:color w:val="000000" w:themeColor="text1"/>
                <w:sz w:val="28"/>
                <w:szCs w:val="28"/>
                <w:u w:val="none"/>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单价</w:t>
            </w: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宋体" w:hAnsi="宋体" w:eastAsia="宋体" w:cs="宋体"/>
                <w:i w:val="0"/>
                <w:color w:val="000000" w:themeColor="text1"/>
                <w:sz w:val="28"/>
                <w:szCs w:val="28"/>
                <w:u w:val="none"/>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总价</w:t>
            </w:r>
          </w:p>
        </w:tc>
      </w:tr>
      <w:tr>
        <w:tblPrEx>
          <w:shd w:val="clear" w:color="auto" w:fill="auto"/>
          <w:tblCellMar>
            <w:top w:w="0" w:type="dxa"/>
            <w:left w:w="0" w:type="dxa"/>
            <w:bottom w:w="0" w:type="dxa"/>
            <w:right w:w="0" w:type="dxa"/>
          </w:tblCellMar>
        </w:tblPrEx>
        <w:trPr>
          <w:trHeight w:val="936" w:hRule="atLeast"/>
        </w:trPr>
        <w:tc>
          <w:tcPr>
            <w:tcW w:w="15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ascii="仿宋" w:hAnsi="仿宋" w:eastAsia="仿宋" w:cs="仿宋"/>
                <w:i w:val="0"/>
                <w:color w:val="000000" w:themeColor="text1"/>
                <w:sz w:val="28"/>
                <w:szCs w:val="28"/>
                <w:u w:val="none"/>
                <w14:textFill>
                  <w14:solidFill>
                    <w14:schemeClr w14:val="tx1"/>
                  </w14:solidFill>
                </w14:textFill>
              </w:rPr>
            </w:pPr>
            <w:r>
              <w:rPr>
                <w:rFonts w:hint="eastAsia" w:ascii="宋体" w:hAnsi="宋体" w:cs="宋体"/>
                <w:color w:val="000000" w:themeColor="text1"/>
                <w:sz w:val="24"/>
                <w14:textFill>
                  <w14:solidFill>
                    <w14:schemeClr w14:val="tx1"/>
                  </w14:solidFill>
                </w14:textFill>
              </w:rPr>
              <w:t>铱-192放射源</w:t>
            </w:r>
          </w:p>
        </w:tc>
        <w:tc>
          <w:tcPr>
            <w:tcW w:w="39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仿宋" w:hAnsi="仿宋" w:eastAsia="仿宋" w:cs="仿宋"/>
                <w:i w:val="0"/>
                <w:color w:val="000000" w:themeColor="text1"/>
                <w:sz w:val="28"/>
                <w:szCs w:val="28"/>
                <w:u w:val="none"/>
                <w14:textFill>
                  <w14:solidFill>
                    <w14:schemeClr w14:val="tx1"/>
                  </w14:solidFill>
                </w14:textFill>
              </w:rPr>
            </w:pPr>
            <w:r>
              <w:rPr>
                <w:rFonts w:hint="eastAsia" w:ascii="仿宋" w:hAnsi="仿宋" w:eastAsia="仿宋" w:cs="仿宋"/>
                <w:i w:val="0"/>
                <w:color w:val="000000" w:themeColor="text1"/>
                <w:sz w:val="28"/>
                <w:szCs w:val="28"/>
                <w:u w:val="none"/>
                <w14:textFill>
                  <w14:solidFill>
                    <w14:schemeClr w14:val="tx1"/>
                  </w14:solidFill>
                </w14:textFill>
              </w:rPr>
              <w:t>10ci±10%</w:t>
            </w:r>
          </w:p>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仿宋" w:hAnsi="仿宋" w:eastAsia="仿宋" w:cs="仿宋"/>
                <w:i w:val="0"/>
                <w:color w:val="000000" w:themeColor="text1"/>
                <w:sz w:val="28"/>
                <w:szCs w:val="28"/>
                <w:u w:val="none"/>
                <w14:textFill>
                  <w14:solidFill>
                    <w14:schemeClr w14:val="tx1"/>
                  </w14:solidFill>
                </w14:textFill>
              </w:rPr>
            </w:pPr>
            <w:r>
              <w:rPr>
                <w:rFonts w:hint="eastAsia" w:ascii="仿宋" w:hAnsi="仿宋" w:eastAsia="仿宋" w:cs="仿宋"/>
                <w:i w:val="0"/>
                <w:color w:val="000000" w:themeColor="text1"/>
                <w:sz w:val="28"/>
                <w:szCs w:val="28"/>
                <w:u w:val="none"/>
                <w14:textFill>
                  <w14:solidFill>
                    <w14:schemeClr w14:val="tx1"/>
                  </w14:solidFill>
                </w14:textFill>
              </w:rPr>
              <w:t>3.7E+11Bq</w:t>
            </w:r>
          </w:p>
        </w:tc>
        <w:tc>
          <w:tcPr>
            <w:tcW w:w="14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仿宋" w:hAnsi="仿宋" w:eastAsia="仿宋" w:cs="仿宋"/>
                <w:i w:val="0"/>
                <w:color w:val="000000" w:themeColor="text1"/>
                <w:sz w:val="28"/>
                <w:szCs w:val="28"/>
                <w:u w:val="none"/>
                <w14:textFill>
                  <w14:solidFill>
                    <w14:schemeClr w14:val="tx1"/>
                  </w14:solidFill>
                </w14:textFill>
              </w:rPr>
            </w:pPr>
            <w:r>
              <w:rPr>
                <w:rFonts w:hint="eastAsia" w:ascii="仿宋" w:hAnsi="仿宋" w:eastAsia="仿宋" w:cs="仿宋"/>
                <w:i w:val="0"/>
                <w:color w:val="000000" w:themeColor="text1"/>
                <w:kern w:val="0"/>
                <w:sz w:val="28"/>
                <w:szCs w:val="28"/>
                <w:u w:val="none"/>
                <w:lang w:val="en-US" w:eastAsia="zh-CN" w:bidi="ar"/>
                <w14:textFill>
                  <w14:solidFill>
                    <w14:schemeClr w14:val="tx1"/>
                  </w14:solidFill>
                </w14:textFill>
              </w:rPr>
              <w:t>5—6枚/两年</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pacing w:line="480" w:lineRule="exact"/>
              <w:jc w:val="center"/>
              <w:rPr>
                <w:rFonts w:hint="eastAsia" w:ascii="宋体" w:hAnsi="宋体" w:eastAsia="宋体" w:cs="宋体"/>
                <w:i w:val="0"/>
                <w:color w:val="000000" w:themeColor="text1"/>
                <w:sz w:val="28"/>
                <w:szCs w:val="28"/>
                <w:u w:val="none"/>
                <w14:textFill>
                  <w14:solidFill>
                    <w14:schemeClr w14:val="tx1"/>
                  </w14:solidFill>
                </w14:textFill>
              </w:rPr>
            </w:pPr>
          </w:p>
        </w:tc>
        <w:tc>
          <w:tcPr>
            <w:tcW w:w="120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pacing w:line="480" w:lineRule="exact"/>
              <w:jc w:val="center"/>
              <w:textAlignment w:val="center"/>
              <w:rPr>
                <w:rFonts w:hint="eastAsia" w:ascii="宋体" w:hAnsi="宋体" w:eastAsia="宋体" w:cs="宋体"/>
                <w:i w:val="0"/>
                <w:color w:val="000000" w:themeColor="text1"/>
                <w:sz w:val="28"/>
                <w:szCs w:val="28"/>
                <w:u w:val="none"/>
                <w14:textFill>
                  <w14:solidFill>
                    <w14:schemeClr w14:val="tx1"/>
                  </w14:solidFill>
                </w14:textFill>
              </w:rPr>
            </w:pPr>
            <w:r>
              <w:rPr>
                <w:rFonts w:hint="eastAsia" w:ascii="宋体" w:hAnsi="宋体" w:eastAsia="宋体" w:cs="宋体"/>
                <w:i w:val="0"/>
                <w:color w:val="000000" w:themeColor="text1"/>
                <w:kern w:val="0"/>
                <w:sz w:val="28"/>
                <w:szCs w:val="28"/>
                <w:u w:val="none"/>
                <w:lang w:val="en-US" w:eastAsia="zh-CN" w:bidi="ar"/>
                <w14:textFill>
                  <w14:solidFill>
                    <w14:schemeClr w14:val="tx1"/>
                  </w14:solidFill>
                </w14:textFill>
              </w:rPr>
              <w:t>以实际购买数量为准</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604" w:firstLineChars="200"/>
        <w:jc w:val="left"/>
        <w:textAlignment w:val="auto"/>
        <w:rPr>
          <w:rFonts w:hint="default"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t>1.2</w:t>
      </w:r>
      <w:r>
        <w:rPr>
          <w:rFonts w:hint="eastAsia" w:ascii="仿宋" w:hAnsi="仿宋" w:eastAsia="仿宋" w:cs="仿宋"/>
          <w:color w:val="000000" w:themeColor="text1"/>
          <w:sz w:val="28"/>
          <w:szCs w:val="28"/>
          <w:lang w:val="en-US" w:eastAsia="zh-CN"/>
          <w14:textFill>
            <w14:solidFill>
              <w14:schemeClr w14:val="tx1"/>
            </w14:solidFill>
          </w14:textFill>
        </w:rPr>
        <w:t>本合同约定价格为固定单价，不因物价、市场波动变更。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1.3 </w:t>
      </w:r>
      <w:r>
        <w:rPr>
          <w:rFonts w:hint="eastAsia" w:ascii="仿宋" w:hAnsi="仿宋" w:eastAsia="仿宋" w:cs="仿宋"/>
          <w:color w:val="000000" w:themeColor="text1"/>
          <w:sz w:val="28"/>
          <w:szCs w:val="28"/>
          <w:lang w:val="en-US" w:eastAsia="zh-CN"/>
          <w14:textFill>
            <w14:solidFill>
              <w14:schemeClr w14:val="tx1"/>
            </w14:solidFill>
          </w14:textFill>
        </w:rPr>
        <w:t>本合同约定价格包括且不限于</w:t>
      </w:r>
      <w:r>
        <w:rPr>
          <w:rFonts w:hint="eastAsia" w:ascii="仿宋" w:hAnsi="仿宋" w:eastAsia="仿宋" w:cs="仿宋"/>
          <w:b w:val="0"/>
          <w:bCs/>
          <w:snapToGrid w:val="0"/>
          <w:color w:val="000000" w:themeColor="text1"/>
          <w:spacing w:val="11"/>
          <w:kern w:val="21"/>
          <w:position w:val="1"/>
          <w:sz w:val="28"/>
          <w:szCs w:val="28"/>
          <w14:textFill>
            <w14:solidFill>
              <w14:schemeClr w14:val="tx1"/>
            </w14:solidFill>
          </w14:textFill>
        </w:rPr>
        <w:t>新源</w:t>
      </w:r>
      <w:r>
        <w:rPr>
          <w:rFonts w:hint="eastAsia" w:ascii="仿宋" w:hAnsi="仿宋" w:eastAsia="仿宋" w:cs="仿宋"/>
          <w:snapToGrid w:val="0"/>
          <w:color w:val="000000" w:themeColor="text1"/>
          <w:spacing w:val="11"/>
          <w:kern w:val="21"/>
          <w:position w:val="1"/>
          <w:sz w:val="28"/>
          <w:szCs w:val="28"/>
          <w14:textFill>
            <w14:solidFill>
              <w14:schemeClr w14:val="tx1"/>
            </w14:solidFill>
          </w14:textFill>
        </w:rPr>
        <w:t>订购</w:t>
      </w: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费、</w:t>
      </w:r>
      <w:r>
        <w:rPr>
          <w:rFonts w:hint="eastAsia" w:ascii="仿宋" w:hAnsi="仿宋" w:eastAsia="仿宋" w:cs="仿宋"/>
          <w:snapToGrid w:val="0"/>
          <w:color w:val="000000" w:themeColor="text1"/>
          <w:spacing w:val="11"/>
          <w:kern w:val="21"/>
          <w:position w:val="1"/>
          <w:sz w:val="28"/>
          <w:szCs w:val="28"/>
          <w14:textFill>
            <w14:solidFill>
              <w14:schemeClr w14:val="tx1"/>
            </w14:solidFill>
          </w14:textFill>
        </w:rPr>
        <w:t>旧源退役处置</w:t>
      </w: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费、</w:t>
      </w:r>
      <w:r>
        <w:rPr>
          <w:rFonts w:hint="eastAsia" w:ascii="仿宋" w:hAnsi="仿宋" w:eastAsia="仿宋" w:cs="仿宋"/>
          <w:color w:val="000000" w:themeColor="text1"/>
          <w:sz w:val="28"/>
          <w:szCs w:val="28"/>
          <w:lang w:val="en-US" w:eastAsia="zh-CN"/>
          <w14:textFill>
            <w14:solidFill>
              <w14:schemeClr w14:val="tx1"/>
            </w14:solidFill>
          </w14:textFill>
        </w:rPr>
        <w:t>检测检验报告费、人工费、安装费、包装费、装卸费、搬运费、运输费、调试费、税费、保险费、售后服务费等在内所有费用。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1.4 本合同采购放射源数量不超过6枚，具体以实际采购的数量为准，总价按照实际购买放射源数量×单价据实结算。</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第二条  合同期限</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560" w:firstLineChars="200"/>
        <w:textAlignment w:val="auto"/>
        <w:rPr>
          <w:rFonts w:hint="default" w:ascii="仿宋" w:hAnsi="仿宋" w:eastAsia="仿宋" w:cs="仿宋"/>
          <w:b w:val="0"/>
          <w:bCs/>
          <w:color w:val="000000" w:themeColor="text1"/>
          <w:sz w:val="28"/>
          <w:szCs w:val="28"/>
          <w:lang w:val="en-US" w:eastAsia="zh-CN"/>
          <w14:textFill>
            <w14:solidFill>
              <w14:schemeClr w14:val="tx1"/>
            </w14:solidFill>
          </w14:textFill>
        </w:rPr>
      </w:pPr>
      <w:r>
        <w:rPr>
          <w:rFonts w:hint="eastAsia" w:ascii="仿宋" w:hAnsi="仿宋" w:eastAsia="仿宋" w:cs="仿宋"/>
          <w:b w:val="0"/>
          <w:bCs/>
          <w:color w:val="000000" w:themeColor="text1"/>
          <w:sz w:val="28"/>
          <w:szCs w:val="28"/>
          <w:lang w:eastAsia="zh-CN"/>
          <w14:textFill>
            <w14:solidFill>
              <w14:schemeClr w14:val="tx1"/>
            </w14:solidFill>
          </w14:textFill>
        </w:rPr>
        <w:t>供货</w:t>
      </w:r>
      <w:r>
        <w:rPr>
          <w:rFonts w:hint="eastAsia" w:ascii="仿宋" w:hAnsi="仿宋" w:eastAsia="仿宋" w:cs="仿宋"/>
          <w:b w:val="0"/>
          <w:bCs/>
          <w:color w:val="000000" w:themeColor="text1"/>
          <w:sz w:val="28"/>
          <w:szCs w:val="28"/>
          <w14:textFill>
            <w14:solidFill>
              <w14:schemeClr w14:val="tx1"/>
            </w14:solidFill>
          </w14:textFill>
        </w:rPr>
        <w:t>期限</w:t>
      </w:r>
      <w:r>
        <w:rPr>
          <w:rFonts w:hint="eastAsia" w:ascii="仿宋" w:hAnsi="仿宋" w:eastAsia="仿宋" w:cs="仿宋"/>
          <w:b w:val="0"/>
          <w:bCs/>
          <w:color w:val="000000" w:themeColor="text1"/>
          <w:sz w:val="28"/>
          <w:szCs w:val="28"/>
          <w:lang w:val="en-US" w:eastAsia="zh-CN"/>
          <w14:textFill>
            <w14:solidFill>
              <w14:schemeClr w14:val="tx1"/>
            </w14:solidFill>
          </w14:textFill>
        </w:rPr>
        <w:t>为2</w:t>
      </w:r>
      <w:r>
        <w:rPr>
          <w:rFonts w:hint="eastAsia" w:ascii="仿宋" w:hAnsi="仿宋" w:eastAsia="仿宋" w:cs="仿宋"/>
          <w:b w:val="0"/>
          <w:bCs/>
          <w:color w:val="000000" w:themeColor="text1"/>
          <w:sz w:val="28"/>
          <w:szCs w:val="28"/>
          <w14:textFill>
            <w14:solidFill>
              <w14:schemeClr w14:val="tx1"/>
            </w14:solidFill>
          </w14:textFill>
        </w:rPr>
        <w:t>年</w:t>
      </w:r>
      <w:r>
        <w:rPr>
          <w:rFonts w:hint="eastAsia" w:ascii="仿宋" w:hAnsi="仿宋" w:eastAsia="仿宋" w:cs="仿宋"/>
          <w:b w:val="0"/>
          <w:bCs/>
          <w:color w:val="000000" w:themeColor="text1"/>
          <w:sz w:val="28"/>
          <w:szCs w:val="28"/>
          <w:lang w:eastAsia="zh-CN"/>
          <w14:textFill>
            <w14:solidFill>
              <w14:schemeClr w14:val="tx1"/>
            </w14:solidFill>
          </w14:textFill>
        </w:rPr>
        <w:t>，</w:t>
      </w:r>
      <w:r>
        <w:rPr>
          <w:rFonts w:hint="eastAsia" w:ascii="仿宋" w:hAnsi="仿宋" w:eastAsia="仿宋" w:cs="仿宋"/>
          <w:b w:val="0"/>
          <w:bCs/>
          <w:color w:val="000000" w:themeColor="text1"/>
          <w:sz w:val="28"/>
          <w:szCs w:val="28"/>
          <w14:textFill>
            <w14:solidFill>
              <w14:schemeClr w14:val="tx1"/>
            </w14:solidFill>
          </w14:textFill>
        </w:rPr>
        <w:t>自</w:t>
      </w:r>
      <w:r>
        <w:rPr>
          <w:rFonts w:ascii="仿宋" w:hAnsi="仿宋" w:eastAsia="仿宋" w:cs="仿宋"/>
          <w:b w:val="0"/>
          <w:bCs/>
          <w:color w:val="000000" w:themeColor="text1"/>
          <w:sz w:val="28"/>
          <w:szCs w:val="28"/>
          <w14:textFill>
            <w14:solidFill>
              <w14:schemeClr w14:val="tx1"/>
            </w14:solidFill>
          </w14:textFill>
        </w:rPr>
        <w:t>2023年</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r>
        <w:rPr>
          <w:rFonts w:ascii="仿宋" w:hAnsi="仿宋" w:eastAsia="仿宋" w:cs="仿宋"/>
          <w:b w:val="0"/>
          <w:bCs/>
          <w:color w:val="000000" w:themeColor="text1"/>
          <w:sz w:val="28"/>
          <w:szCs w:val="28"/>
          <w14:textFill>
            <w14:solidFill>
              <w14:schemeClr w14:val="tx1"/>
            </w14:solidFill>
          </w14:textFill>
        </w:rPr>
        <w:t>月</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r>
        <w:rPr>
          <w:rFonts w:ascii="仿宋" w:hAnsi="仿宋" w:eastAsia="仿宋" w:cs="仿宋"/>
          <w:b w:val="0"/>
          <w:bCs/>
          <w:color w:val="000000" w:themeColor="text1"/>
          <w:sz w:val="28"/>
          <w:szCs w:val="28"/>
          <w14:textFill>
            <w14:solidFill>
              <w14:schemeClr w14:val="tx1"/>
            </w14:solidFill>
          </w14:textFill>
        </w:rPr>
        <w:t>日</w:t>
      </w:r>
      <w:r>
        <w:rPr>
          <w:rFonts w:hint="eastAsia" w:ascii="仿宋" w:hAnsi="仿宋" w:eastAsia="仿宋" w:cs="仿宋"/>
          <w:b w:val="0"/>
          <w:bCs/>
          <w:color w:val="000000" w:themeColor="text1"/>
          <w:sz w:val="28"/>
          <w:szCs w:val="28"/>
          <w:lang w:eastAsia="zh-CN"/>
          <w14:textFill>
            <w14:solidFill>
              <w14:schemeClr w14:val="tx1"/>
            </w14:solidFill>
          </w14:textFill>
        </w:rPr>
        <w:t>起</w:t>
      </w:r>
      <w:r>
        <w:rPr>
          <w:rFonts w:hint="eastAsia" w:ascii="仿宋" w:hAnsi="仿宋" w:eastAsia="仿宋" w:cs="仿宋"/>
          <w:b w:val="0"/>
          <w:bCs/>
          <w:color w:val="000000" w:themeColor="text1"/>
          <w:sz w:val="28"/>
          <w:szCs w:val="28"/>
          <w14:textFill>
            <w14:solidFill>
              <w14:schemeClr w14:val="tx1"/>
            </w14:solidFill>
          </w14:textFill>
        </w:rPr>
        <w:t>至</w:t>
      </w:r>
      <w:r>
        <w:rPr>
          <w:rFonts w:ascii="仿宋" w:hAnsi="仿宋" w:eastAsia="仿宋" w:cs="仿宋"/>
          <w:b w:val="0"/>
          <w:bCs/>
          <w:color w:val="000000" w:themeColor="text1"/>
          <w:sz w:val="28"/>
          <w:szCs w:val="28"/>
          <w14:textFill>
            <w14:solidFill>
              <w14:schemeClr w14:val="tx1"/>
            </w14:solidFill>
          </w14:textFill>
        </w:rPr>
        <w:t>202</w:t>
      </w:r>
      <w:r>
        <w:rPr>
          <w:rFonts w:hint="eastAsia" w:ascii="仿宋" w:hAnsi="仿宋" w:eastAsia="仿宋" w:cs="仿宋"/>
          <w:b w:val="0"/>
          <w:bCs/>
          <w:color w:val="000000" w:themeColor="text1"/>
          <w:sz w:val="28"/>
          <w:szCs w:val="28"/>
          <w:lang w:val="en-US" w:eastAsia="zh-CN"/>
          <w14:textFill>
            <w14:solidFill>
              <w14:schemeClr w14:val="tx1"/>
            </w14:solidFill>
          </w14:textFill>
        </w:rPr>
        <w:t>5</w:t>
      </w:r>
      <w:r>
        <w:rPr>
          <w:rFonts w:hint="eastAsia" w:ascii="仿宋" w:hAnsi="仿宋" w:eastAsia="仿宋" w:cs="仿宋"/>
          <w:b w:val="0"/>
          <w:bCs/>
          <w:color w:val="000000" w:themeColor="text1"/>
          <w:sz w:val="28"/>
          <w:szCs w:val="28"/>
          <w14:textFill>
            <w14:solidFill>
              <w14:schemeClr w14:val="tx1"/>
            </w14:solidFill>
          </w14:textFill>
        </w:rPr>
        <w:t>年</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14:textFill>
            <w14:solidFill>
              <w14:schemeClr w14:val="tx1"/>
            </w14:solidFill>
          </w14:textFill>
        </w:rPr>
        <w:t>月</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14:textFill>
            <w14:solidFill>
              <w14:schemeClr w14:val="tx1"/>
            </w14:solidFill>
          </w14:textFill>
        </w:rPr>
        <w:t>日止。</w:t>
      </w:r>
      <w:r>
        <w:rPr>
          <w:rFonts w:hint="eastAsia" w:ascii="仿宋" w:hAnsi="仿宋" w:eastAsia="仿宋" w:cs="仿宋"/>
          <w:b w:val="0"/>
          <w:bCs/>
          <w:color w:val="000000" w:themeColor="text1"/>
          <w:sz w:val="28"/>
          <w:szCs w:val="28"/>
          <w:lang w:val="en-US" w:eastAsia="zh-CN"/>
          <w14:textFill>
            <w14:solidFill>
              <w14:schemeClr w14:val="tx1"/>
            </w14:solidFill>
          </w14:textFill>
        </w:rPr>
        <w:t xml:space="preserve">  </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textAlignment w:val="auto"/>
        <w:rPr>
          <w:rFonts w:hint="default"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第三条  </w:t>
      </w:r>
      <w:r>
        <w:rPr>
          <w:rFonts w:hint="default" w:ascii="仿宋" w:hAnsi="仿宋" w:eastAsia="仿宋" w:cs="仿宋"/>
          <w:b/>
          <w:bCs w:val="0"/>
          <w:color w:val="000000" w:themeColor="text1"/>
          <w:kern w:val="2"/>
          <w:sz w:val="28"/>
          <w:szCs w:val="28"/>
          <w:lang w:val="en-US" w:eastAsia="zh-CN" w:bidi="ar-SA"/>
          <w14:textFill>
            <w14:solidFill>
              <w14:schemeClr w14:val="tx1"/>
            </w14:solidFill>
          </w14:textFill>
        </w:rPr>
        <w:t>交货时间、地点、运输及装卸</w:t>
      </w:r>
    </w:p>
    <w:p>
      <w:pPr>
        <w:spacing w:line="360" w:lineRule="auto"/>
        <w:rPr>
          <w:rFonts w:hint="default"/>
          <w:color w:val="000000" w:themeColor="text1"/>
          <w:lang w:val="en-US" w:eastAsia="zh-CN"/>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 xml:space="preserve">    3.1 </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交货时间：</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甲方以短信通知形式发送新放射源订单。乙方在接到通知之日起40～45天内将新源送至甲方指定地点并安装、调试好，确保</w:t>
      </w:r>
      <w:r>
        <w:rPr>
          <w:rFonts w:hint="eastAsia" w:ascii="仿宋" w:hAnsi="仿宋" w:eastAsia="仿宋" w:cs="仿宋"/>
          <w:color w:val="000000" w:themeColor="text1"/>
          <w:sz w:val="28"/>
          <w:szCs w:val="28"/>
          <w:lang w:val="en-US" w:eastAsia="zh-CN"/>
          <w14:textFill>
            <w14:solidFill>
              <w14:schemeClr w14:val="tx1"/>
            </w14:solidFill>
          </w14:textFill>
        </w:rPr>
        <w:t>每颗放射源</w:t>
      </w:r>
      <w:r>
        <w:rPr>
          <w:rFonts w:hint="eastAsia" w:ascii="仿宋" w:hAnsi="仿宋" w:eastAsia="仿宋" w:cs="仿宋"/>
          <w:b w:val="0"/>
          <w:bCs/>
          <w:snapToGrid w:val="0"/>
          <w:color w:val="000000" w:themeColor="text1"/>
          <w:spacing w:val="11"/>
          <w:kern w:val="21"/>
          <w:position w:val="1"/>
          <w:sz w:val="28"/>
          <w:szCs w:val="28"/>
          <w:lang w:val="en-US" w:eastAsia="zh-CN"/>
          <w14:textFill>
            <w14:solidFill>
              <w14:schemeClr w14:val="tx1"/>
            </w14:solidFill>
          </w14:textFill>
        </w:rPr>
        <w:t>到货间隔须在140天内。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 xml:space="preserve">3.2 </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交货地点：娄底市中心医院（湖南省娄底市</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娄星区</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长青中街51号）。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3.3</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运输及装卸：乙方</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按照《放射性物品运输安全管理条例》规定，自行或委托有资质的托运方</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将</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放射源</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运至合同约定地点，负责</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放射源</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的装卸</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和包装物的回收，并按国家相关规定在新源送达甲方当日运走废源</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第四条  质量标准、质量验收、包装要求、回收要求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4.1 质量标准：参见附件，每枚放射源的使用寿命必须≥2个半衰期。</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 xml:space="preserve">4.2 </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验收标准：放射源运抵</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交货地点</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后，</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乙方负责安装、调试好，</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由甲方按照</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质量标准</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，现场组织验收，验收合格后签署交接单。甲方验收时如发现乙方所交付的</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放射源</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不符合本合同约定，甲方应做出详尽的现场记录，由甲乙双方签署备忘录，该现场记录和备忘录作为乙方</w:t>
      </w: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免费更换新放射源</w:t>
      </w:r>
      <w:r>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t>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4.3 包装要求：乙方提供的货物必须为原厂包装，外包装到货时应保证完好无损，否则甲方有权拒绝收货，由此造成的延期交货违约责任和一切经济损失全部由乙方承担。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560" w:firstLineChars="200"/>
        <w:jc w:val="both"/>
        <w:textAlignment w:val="auto"/>
        <w:rPr>
          <w:rFonts w:hint="default" w:ascii="仿宋" w:hAnsi="仿宋" w:eastAsia="仿宋" w:cs="仿宋"/>
          <w:b w:val="0"/>
          <w:bCs/>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4.4 旧源回收要求：本合同涉及的放射源使用期满后，由乙方负责退回放射源生产厂家。乙方应在新源送到使用现场后，负责取走现有旧源并办理退运手续。</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textAlignment w:val="auto"/>
        <w:rPr>
          <w:rFonts w:hint="default"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第五条  双方责任</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both"/>
        <w:textAlignment w:val="auto"/>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5.1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甲方提供办理放射源</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购买</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及转让审批手续所需要的资料（辐射安全许可证正副本</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w:t>
      </w:r>
      <w:r>
        <w:rPr>
          <w:rFonts w:hint="default" w:ascii="仿宋" w:hAnsi="仿宋" w:eastAsia="仿宋" w:cs="仿宋"/>
          <w:b w:val="0"/>
          <w:bCs w:val="0"/>
          <w:snapToGrid w:val="0"/>
          <w:color w:val="000000" w:themeColor="text1"/>
          <w:spacing w:val="11"/>
          <w:kern w:val="21"/>
          <w:position w:val="1"/>
          <w:sz w:val="28"/>
          <w:szCs w:val="28"/>
          <w:highlight w:val="none"/>
          <w:lang w:val="en-US" w:eastAsia="zh-CN"/>
          <w14:textFill>
            <w14:solidFill>
              <w14:schemeClr w14:val="tx1"/>
            </w14:solidFill>
          </w14:textFill>
        </w:rPr>
        <w:t>全国核技术利用辐射安全申报系统账号及密码，生态环境部政务服务大厅账号及密码</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both"/>
        <w:textAlignment w:val="auto"/>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5.2 乙方负责放射源的审批手续办理，运输、装卸、培训、安装调试以及废源退役运走等事项。</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color w:val="000000" w:themeColor="text1"/>
          <w:kern w:val="2"/>
          <w:sz w:val="28"/>
          <w:szCs w:val="28"/>
          <w:lang w:val="en-US" w:eastAsia="zh-CN" w:bidi="ar-SA"/>
          <w14:textFill>
            <w14:solidFill>
              <w14:schemeClr w14:val="tx1"/>
            </w14:solidFill>
          </w14:textFill>
        </w:rPr>
        <w:t xml:space="preserve"> </w:t>
      </w:r>
      <w:r>
        <w:rPr>
          <w:rFonts w:hint="eastAsia" w:ascii="仿宋" w:hAnsi="仿宋" w:eastAsia="仿宋" w:cs="仿宋"/>
          <w:b w:val="0"/>
          <w:bCs/>
          <w:color w:val="000000" w:themeColor="text1"/>
          <w:kern w:val="2"/>
          <w:sz w:val="28"/>
          <w:szCs w:val="28"/>
          <w:highlight w:val="none"/>
          <w:lang w:val="en-US" w:eastAsia="zh-CN" w:bidi="ar-SA"/>
          <w14:textFill>
            <w14:solidFill>
              <w14:schemeClr w14:val="tx1"/>
            </w14:solidFill>
          </w14:textFill>
        </w:rPr>
        <w:t xml:space="preserve">   5.3 新源的安全责任自甲方签署交接单后转移至甲方，此前新源的安全责任均由乙方负责。</w:t>
      </w:r>
    </w:p>
    <w:p>
      <w:pPr>
        <w:pStyle w:val="10"/>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200"/>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第六条  结算、付款方式</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6.1 甲方通过银行转账方式向乙方指定银行账户支付结算价款，甲方在每满一个合同年度后支付1次费用，本合同共计支付2次，即：</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6.1.1自</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年</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月</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日起20日内支付当年度甲方实际购买的放射源应付金额（即当年度交接放射源数量</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单价）；</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6.1.2自</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年</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月</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日起20日内支付当年度甲方实际购买的放射源应付金额（即当年度交接放射源数量</w:t>
      </w:r>
      <w:r>
        <w:rPr>
          <w:rFonts w:hint="eastAsia" w:ascii="微软雅黑" w:hAnsi="微软雅黑" w:eastAsia="微软雅黑" w:cs="微软雅黑"/>
          <w:color w:val="000000" w:themeColor="text1"/>
          <w:sz w:val="28"/>
          <w:szCs w:val="28"/>
          <w:lang w:val="en-US" w:eastAsia="zh-CN"/>
          <w14:textFill>
            <w14:solidFill>
              <w14:schemeClr w14:val="tx1"/>
            </w14:solidFill>
          </w14:textFill>
        </w:rPr>
        <w:t>×</w:t>
      </w:r>
      <w:r>
        <w:rPr>
          <w:rFonts w:hint="eastAsia" w:ascii="仿宋" w:hAnsi="仿宋" w:eastAsia="仿宋" w:cs="仿宋"/>
          <w:color w:val="000000" w:themeColor="text1"/>
          <w:sz w:val="28"/>
          <w:szCs w:val="28"/>
          <w:lang w:val="en-US" w:eastAsia="zh-CN"/>
          <w14:textFill>
            <w14:solidFill>
              <w14:schemeClr w14:val="tx1"/>
            </w14:solidFill>
          </w14:textFill>
        </w:rPr>
        <w:t>单价）。</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6.2 乙方应在甲方每次付款前提供以乙方名义开具的当次结算金额增值税普通发票，如因未及时提供发票导致逾期付款，乙方自行承担相应责任。</w:t>
      </w:r>
    </w:p>
    <w:p>
      <w:pPr>
        <w:pStyle w:val="10"/>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6.3乙方指定账户：</w:t>
      </w:r>
    </w:p>
    <w:p>
      <w:pPr>
        <w:pStyle w:val="10"/>
        <w:keepNext w:val="0"/>
        <w:keepLines w:val="0"/>
        <w:pageBreakBefore w:val="0"/>
        <w:widowControl w:val="0"/>
        <w:kinsoku/>
        <w:wordWrap/>
        <w:overflowPunct/>
        <w:topLinePunct w:val="0"/>
        <w:autoSpaceDE/>
        <w:autoSpaceDN/>
        <w:bidi w:val="0"/>
        <w:adjustRightInd/>
        <w:snapToGrid w:val="0"/>
        <w:spacing w:line="480" w:lineRule="exact"/>
        <w:ind w:left="0" w:leftChars="0" w:firstLine="560" w:firstLineChars="200"/>
        <w:jc w:val="left"/>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开 户 名</w:t>
      </w:r>
      <w:r>
        <w:rPr>
          <w:rFonts w:hint="eastAsia" w:ascii="仿宋" w:hAnsi="仿宋" w:eastAsia="仿宋" w:cs="仿宋"/>
          <w:color w:val="000000" w:themeColor="text1"/>
          <w:sz w:val="28"/>
          <w:szCs w:val="28"/>
          <w14:textFill>
            <w14:solidFill>
              <w14:schemeClr w14:val="tx1"/>
            </w14:solidFill>
          </w14:textFill>
        </w:rPr>
        <w:t>：</w:t>
      </w:r>
    </w:p>
    <w:p>
      <w:pPr>
        <w:pStyle w:val="10"/>
        <w:keepNext w:val="0"/>
        <w:keepLines w:val="0"/>
        <w:pageBreakBefore w:val="0"/>
        <w:widowControl w:val="0"/>
        <w:kinsoku/>
        <w:wordWrap/>
        <w:overflowPunct/>
        <w:topLinePunct w:val="0"/>
        <w:autoSpaceDE/>
        <w:autoSpaceDN/>
        <w:bidi w:val="0"/>
        <w:adjustRightInd/>
        <w:snapToGrid w:val="0"/>
        <w:spacing w:line="480" w:lineRule="exact"/>
        <w:ind w:left="0" w:leftChars="0" w:firstLine="560" w:firstLineChars="200"/>
        <w:jc w:val="left"/>
        <w:textAlignment w:val="auto"/>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 户 行：</w:t>
      </w:r>
    </w:p>
    <w:p>
      <w:pPr>
        <w:pStyle w:val="10"/>
        <w:keepNext w:val="0"/>
        <w:keepLines w:val="0"/>
        <w:pageBreakBefore w:val="0"/>
        <w:widowControl w:val="0"/>
        <w:kinsoku/>
        <w:wordWrap/>
        <w:overflowPunct/>
        <w:topLinePunct w:val="0"/>
        <w:autoSpaceDE/>
        <w:autoSpaceDN/>
        <w:bidi w:val="0"/>
        <w:adjustRightInd/>
        <w:snapToGrid w:val="0"/>
        <w:spacing w:line="480" w:lineRule="exact"/>
        <w:ind w:left="0" w:leftChars="0" w:firstLine="560"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 xml:space="preserve">账 </w:t>
      </w:r>
      <w:r>
        <w:rPr>
          <w:rFonts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号：</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0" w:leftChars="0" w:firstLine="0" w:firstLineChars="0"/>
        <w:jc w:val="left"/>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 xml:space="preserve">    第七条  合同的变更与解除</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firstLine="604" w:firstLineChars="200"/>
        <w:jc w:val="left"/>
        <w:textAlignment w:val="auto"/>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7.1本合同未尽事宜，双方另行协商签订补充协议，补充协议的效力等同本合同。</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7.2</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乙方出现以下违约情形之一的，甲方有权拒绝支付任何价款并解除合同：</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7.2.1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乙方逾期 30 日仍不能供货；</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7.2.2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乙方提供的</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放射源</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质量不符合国家标准或约定标准；</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7.2.3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7.2.4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其他根本违约的情形。</w:t>
      </w:r>
    </w:p>
    <w:p>
      <w:pPr>
        <w:pStyle w:val="10"/>
        <w:keepNext w:val="0"/>
        <w:keepLines w:val="0"/>
        <w:pageBreakBefore w:val="0"/>
        <w:widowControl w:val="0"/>
        <w:kinsoku/>
        <w:wordWrap/>
        <w:overflowPunct/>
        <w:topLinePunct w:val="0"/>
        <w:autoSpaceDE/>
        <w:autoSpaceDN/>
        <w:bidi w:val="0"/>
        <w:adjustRightInd/>
        <w:snapToGrid w:val="0"/>
        <w:spacing w:line="480" w:lineRule="exact"/>
        <w:ind w:left="0" w:leftChars="0" w:firstLine="562" w:firstLineChars="200"/>
        <w:jc w:val="left"/>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 xml:space="preserve">第八条  </w:t>
      </w: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违约责任</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both"/>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8.1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如乙方未在本合同约定时间内将</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符合验收要求</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的</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放射源</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交付给甲方使用，除应赔偿甲方因此造成的损失外，每逾期一日，向甲方支付违约金</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    元</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，甲方</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有权在</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应付价款中</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直接扣除</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该费用。</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both"/>
        <w:textAlignment w:val="auto"/>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8.2 </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如乙方单方解除合同或因乙方原因导致甲方解除合同，乙方除赔偿甲方由此造成的全部损失（包括但不限于实际经济损失，因纠纷产生的律师费、诉讼费、差旅费等）外，还须向甲方支付违约金</w:t>
      </w: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    元</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4" w:firstLineChars="200"/>
        <w:jc w:val="left"/>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8</w:t>
      </w:r>
      <w:r>
        <w:rPr>
          <w:rFonts w:hint="default" w:ascii="仿宋" w:hAnsi="仿宋" w:eastAsia="仿宋" w:cs="仿宋"/>
          <w:b w:val="0"/>
          <w:bCs w:val="0"/>
          <w:snapToGrid w:val="0"/>
          <w:color w:val="000000" w:themeColor="text1"/>
          <w:spacing w:val="11"/>
          <w:kern w:val="21"/>
          <w:position w:val="1"/>
          <w:sz w:val="28"/>
          <w:szCs w:val="28"/>
          <w:lang w:val="en-US" w:eastAsia="zh-CN"/>
          <w14:textFill>
            <w14:solidFill>
              <w14:schemeClr w14:val="tx1"/>
            </w14:solidFill>
          </w14:textFill>
        </w:rPr>
        <w:t xml:space="preserve">.4 因不可抗力影响导致逾期履行的，不承担违约责任，不可抗力因素消除后，应当继续履行。 </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562" w:firstLineChars="200"/>
        <w:jc w:val="left"/>
        <w:textAlignment w:val="auto"/>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bCs w:val="0"/>
          <w:color w:val="000000" w:themeColor="text1"/>
          <w:kern w:val="2"/>
          <w:sz w:val="28"/>
          <w:szCs w:val="28"/>
          <w:lang w:val="en-US" w:eastAsia="zh-CN" w:bidi="ar-SA"/>
          <w14:textFill>
            <w14:solidFill>
              <w14:schemeClr w14:val="tx1"/>
            </w14:solidFill>
          </w14:textFill>
        </w:rPr>
        <w:t>第九条  争议解决方式</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firstLine="604" w:firstLineChars="200"/>
        <w:jc w:val="both"/>
        <w:textAlignment w:val="auto"/>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本合同履行中发生争议，双方应先协商解决，协商解决不成的，向甲方所在地有管辖权的人民法院提起诉讼解决。</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firstLine="606" w:firstLineChars="200"/>
        <w:jc w:val="left"/>
        <w:textAlignment w:val="auto"/>
        <w:rPr>
          <w:rFonts w:hint="eastAsia" w:ascii="仿宋" w:hAnsi="仿宋" w:eastAsia="仿宋" w:cs="仿宋"/>
          <w:b/>
          <w:bCs/>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b/>
          <w:bCs/>
          <w:snapToGrid w:val="0"/>
          <w:color w:val="000000" w:themeColor="text1"/>
          <w:spacing w:val="11"/>
          <w:kern w:val="21"/>
          <w:position w:val="1"/>
          <w:sz w:val="28"/>
          <w:szCs w:val="28"/>
          <w:lang w:val="en-US" w:eastAsia="zh-CN"/>
          <w14:textFill>
            <w14:solidFill>
              <w14:schemeClr w14:val="tx1"/>
            </w14:solidFill>
          </w14:textFill>
        </w:rPr>
        <w:t>第十条  附则</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firstLine="604" w:firstLineChars="200"/>
        <w:jc w:val="both"/>
        <w:textAlignment w:val="auto"/>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10.1  本合同组成文件及解释顺序如下：本合同补充协议；本合同及附件；成交通知、采购文件、响应文件；其他与本合同相关的资料。</w:t>
      </w:r>
    </w:p>
    <w:p>
      <w:pPr>
        <w:keepNext w:val="0"/>
        <w:keepLines w:val="0"/>
        <w:pageBreakBefore w:val="0"/>
        <w:widowControl w:val="0"/>
        <w:numPr>
          <w:ilvl w:val="0"/>
          <w:numId w:val="0"/>
        </w:numPr>
        <w:kinsoku/>
        <w:wordWrap/>
        <w:overflowPunct/>
        <w:topLinePunct w:val="0"/>
        <w:autoSpaceDE/>
        <w:autoSpaceDN/>
        <w:bidi w:val="0"/>
        <w:adjustRightInd/>
        <w:snapToGrid w:val="0"/>
        <w:spacing w:line="480" w:lineRule="exact"/>
        <w:ind w:leftChars="0" w:firstLine="604" w:firstLineChars="200"/>
        <w:jc w:val="both"/>
        <w:textAlignment w:val="auto"/>
        <w:rPr>
          <w:rFonts w:hint="eastAsia" w:ascii="黑体" w:hAnsi="黑体" w:eastAsia="黑体" w:cs="黑体"/>
          <w:snapToGrid w:val="0"/>
          <w:color w:val="000000" w:themeColor="text1"/>
          <w:spacing w:val="11"/>
          <w:kern w:val="21"/>
          <w:position w:val="1"/>
          <w:sz w:val="32"/>
          <w:szCs w:val="32"/>
          <w:lang w:val="en-US" w:eastAsia="zh-CN"/>
          <w14:textFill>
            <w14:solidFill>
              <w14:schemeClr w14:val="tx1"/>
            </w14:solidFill>
          </w14:textFill>
        </w:rPr>
      </w:pPr>
      <w:r>
        <w:rPr>
          <w:rFonts w:hint="eastAsia" w:ascii="仿宋" w:hAnsi="仿宋" w:eastAsia="仿宋" w:cs="仿宋"/>
          <w:snapToGrid w:val="0"/>
          <w:color w:val="000000" w:themeColor="text1"/>
          <w:spacing w:val="11"/>
          <w:kern w:val="21"/>
          <w:position w:val="1"/>
          <w:sz w:val="28"/>
          <w:szCs w:val="28"/>
          <w:lang w:val="en-US" w:eastAsia="zh-CN"/>
          <w14:textFill>
            <w14:solidFill>
              <w14:schemeClr w14:val="tx1"/>
            </w14:solidFill>
          </w14:textFill>
        </w:rPr>
        <w:t>10.2 本合同一式四份，甲方执三份、乙方执一份，自双方签字并盖章之日起生效。</w:t>
      </w:r>
    </w:p>
    <w:p>
      <w:pPr>
        <w:pStyle w:val="4"/>
        <w:ind w:left="0" w:leftChars="0" w:firstLine="0" w:firstLineChars="0"/>
        <w:rPr>
          <w:rFonts w:hint="eastAsia"/>
          <w:color w:val="000000" w:themeColor="text1"/>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甲方（盖章）：</w:t>
      </w:r>
      <w:r>
        <w:rPr>
          <w:rFonts w:hint="eastAsia" w:ascii="宋体" w:hAnsi="宋体" w:eastAsia="宋体" w:cs="宋体"/>
          <w:color w:val="000000" w:themeColor="text1"/>
          <w:sz w:val="24"/>
          <w:szCs w:val="24"/>
          <w:lang w:val="en-US" w:eastAsia="zh-CN"/>
          <w14:textFill>
            <w14:solidFill>
              <w14:schemeClr w14:val="tx1"/>
            </w14:solidFill>
          </w14:textFill>
        </w:rPr>
        <w:t>娄底市中心医院</w:t>
      </w:r>
      <w:r>
        <w:rPr>
          <w:rFonts w:hint="default"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乙方（盖章）</w:t>
      </w:r>
      <w:r>
        <w:rPr>
          <w:rFonts w:hint="eastAsia" w:ascii="宋体" w:hAnsi="宋体" w:eastAsia="宋体" w:cs="宋体"/>
          <w:color w:val="000000" w:themeColor="text1"/>
          <w:sz w:val="24"/>
          <w:szCs w:val="24"/>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r>
        <w:rPr>
          <w:rFonts w:hint="default" w:ascii="宋体" w:hAnsi="宋体" w:eastAsia="宋体" w:cs="宋体"/>
          <w:color w:val="000000" w:themeColor="text1"/>
          <w:sz w:val="24"/>
          <w:szCs w:val="24"/>
          <w:lang w:val="en-US" w:eastAsia="zh-CN"/>
          <w14:textFill>
            <w14:solidFill>
              <w14:schemeClr w14:val="tx1"/>
            </w14:solidFill>
          </w14:textFill>
        </w:rPr>
        <w:t xml:space="preserve">法定代表人（签字）：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240" w:firstLineChars="100"/>
        <w:jc w:val="both"/>
        <w:textAlignment w:val="auto"/>
        <w:rPr>
          <w:rFonts w:hint="default"/>
          <w:color w:val="000000" w:themeColor="text1"/>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 xml:space="preserve">委托代理人（签字）：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或</w:t>
      </w:r>
      <w:r>
        <w:rPr>
          <w:rFonts w:hint="default" w:ascii="宋体" w:hAnsi="宋体" w:eastAsia="宋体" w:cs="宋体"/>
          <w:color w:val="000000" w:themeColor="text1"/>
          <w:sz w:val="24"/>
          <w:szCs w:val="24"/>
          <w:lang w:val="en-US" w:eastAsia="zh-CN"/>
          <w14:textFill>
            <w14:solidFill>
              <w14:schemeClr w14:val="tx1"/>
            </w14:solidFill>
          </w14:textFill>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cs="宋体"/>
          <w:color w:val="000000" w:themeColor="text1"/>
          <w:sz w:val="24"/>
          <w:szCs w:val="24"/>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sz w:val="24"/>
          <w:szCs w:val="24"/>
          <w:highlight w:val="none"/>
          <w:u w:val="none"/>
          <w:lang w:val="en-US" w:eastAsia="zh-CN"/>
          <w14:textFill>
            <w14:solidFill>
              <w14:schemeClr w14:val="tx1"/>
            </w14:solidFill>
          </w14:textFill>
        </w:rPr>
      </w:pP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default" w:ascii="宋体" w:hAnsi="宋体" w:eastAsia="宋体" w:cs="宋体"/>
          <w:color w:val="000000" w:themeColor="text1"/>
          <w:sz w:val="24"/>
          <w:szCs w:val="24"/>
          <w:lang w:val="en-US" w:eastAsia="zh-CN"/>
          <w14:textFill>
            <w14:solidFill>
              <w14:schemeClr w14:val="tx1"/>
            </w14:solidFill>
          </w14:textFill>
        </w:rPr>
        <w:t>合同签订地</w:t>
      </w:r>
      <w:r>
        <w:rPr>
          <w:rFonts w:hint="eastAsia" w:ascii="宋体" w:hAnsi="宋体" w:eastAsia="宋体" w:cs="宋体"/>
          <w:color w:val="000000" w:themeColor="text1"/>
          <w:sz w:val="24"/>
          <w:szCs w:val="24"/>
          <w:lang w:val="en-US" w:eastAsia="zh-CN"/>
          <w14:textFill>
            <w14:solidFill>
              <w14:schemeClr w14:val="tx1"/>
            </w14:solidFill>
          </w14:textFill>
        </w:rPr>
        <w:t>、履行地</w:t>
      </w:r>
      <w:r>
        <w:rPr>
          <w:rFonts w:hint="default" w:ascii="宋体" w:hAnsi="宋体" w:eastAsia="宋体" w:cs="宋体"/>
          <w:color w:val="000000" w:themeColor="text1"/>
          <w:sz w:val="24"/>
          <w:szCs w:val="24"/>
          <w:lang w:val="en-US" w:eastAsia="zh-CN"/>
          <w14:textFill>
            <w14:solidFill>
              <w14:schemeClr w14:val="tx1"/>
            </w14:solidFill>
          </w14:textFill>
        </w:rPr>
        <w:t xml:space="preserve">：娄底市娄星区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签订时间：</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2023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w:t>
      </w:r>
    </w:p>
    <w:p>
      <w:pPr>
        <w:pStyle w:val="5"/>
        <w:tabs>
          <w:tab w:val="left" w:pos="8079"/>
        </w:tabs>
        <w:rPr>
          <w:rFonts w:hint="eastAsia" w:ascii="黑体" w:hAnsi="黑体" w:eastAsia="黑体" w:cs="黑体"/>
          <w:color w:val="000000" w:themeColor="text1"/>
          <w:sz w:val="32"/>
          <w:szCs w:val="32"/>
          <w:highlight w:val="none"/>
          <w:u w:val="none"/>
          <w:lang w:val="en-US" w:eastAsia="zh-CN"/>
          <w14:textFill>
            <w14:solidFill>
              <w14:schemeClr w14:val="tx1"/>
            </w14:solidFill>
          </w14:textFill>
        </w:rPr>
      </w:pPr>
      <w:r>
        <w:rPr>
          <w:rFonts w:hint="eastAsia" w:ascii="黑体" w:hAnsi="黑体" w:eastAsia="黑体" w:cs="黑体"/>
          <w:color w:val="000000" w:themeColor="text1"/>
          <w:sz w:val="32"/>
          <w:szCs w:val="32"/>
          <w:highlight w:val="none"/>
          <w:u w:val="none"/>
          <w:lang w:val="en-US" w:eastAsia="zh-CN"/>
          <w14:textFill>
            <w14:solidFill>
              <w14:schemeClr w14:val="tx1"/>
            </w14:solidFill>
          </w14:textFill>
        </w:rPr>
        <w:t>附件</w:t>
      </w:r>
    </w:p>
    <w:p>
      <w:pPr>
        <w:jc w:val="cente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lang w:val="en-US" w:eastAsia="zh-CN"/>
          <w14:textFill>
            <w14:solidFill>
              <w14:schemeClr w14:val="tx1"/>
            </w14:solidFill>
          </w14:textFill>
        </w:rPr>
        <w:t>铱192放射源技术参数</w:t>
      </w:r>
    </w:p>
    <w:p>
      <w:pPr>
        <w:rPr>
          <w:rFonts w:hint="default"/>
          <w:color w:val="000000" w:themeColor="text1"/>
          <w:lang w:val="en-US" w:eastAsia="zh-CN"/>
          <w14:textFill>
            <w14:solidFill>
              <w14:schemeClr w14:val="tx1"/>
            </w14:solidFill>
          </w14:textFill>
        </w:rPr>
      </w:pPr>
    </w:p>
    <w:p>
      <w:pPr>
        <w:rPr>
          <w:rFonts w:hint="eastAsia"/>
          <w:color w:val="000000" w:themeColor="text1"/>
          <w14:textFill>
            <w14:solidFill>
              <w14:schemeClr w14:val="tx1"/>
            </w14:solidFill>
          </w14:textFill>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774"/>
        <w:gridCol w:w="1255"/>
        <w:gridCol w:w="1432"/>
        <w:gridCol w:w="1231"/>
        <w:gridCol w:w="1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jc w:val="center"/>
        </w:trPr>
        <w:tc>
          <w:tcPr>
            <w:tcW w:w="840"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774"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设备名称</w:t>
            </w:r>
          </w:p>
        </w:tc>
        <w:tc>
          <w:tcPr>
            <w:tcW w:w="1255"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用途</w:t>
            </w:r>
          </w:p>
        </w:tc>
        <w:tc>
          <w:tcPr>
            <w:tcW w:w="1432"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规格型号</w:t>
            </w:r>
          </w:p>
        </w:tc>
        <w:tc>
          <w:tcPr>
            <w:tcW w:w="1231"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质保期</w:t>
            </w:r>
          </w:p>
        </w:tc>
        <w:tc>
          <w:tcPr>
            <w:tcW w:w="1039" w:type="dxa"/>
            <w:vAlign w:val="center"/>
          </w:tcPr>
          <w:p>
            <w:pPr>
              <w:tabs>
                <w:tab w:val="left" w:pos="678"/>
              </w:tabs>
              <w:spacing w:line="360" w:lineRule="auto"/>
              <w:ind w:left="240" w:hanging="240" w:hangingChars="1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半衰期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840"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1774"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铱-192放射源</w:t>
            </w:r>
          </w:p>
        </w:tc>
        <w:tc>
          <w:tcPr>
            <w:tcW w:w="1255"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近距离治疗装置后装伽马射线辐照源</w:t>
            </w:r>
          </w:p>
        </w:tc>
        <w:tc>
          <w:tcPr>
            <w:tcW w:w="1432"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10ci±10%</w:t>
            </w:r>
          </w:p>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3.7E+11Bq</w:t>
            </w:r>
          </w:p>
        </w:tc>
        <w:tc>
          <w:tcPr>
            <w:tcW w:w="1231" w:type="dxa"/>
            <w:vAlign w:val="center"/>
          </w:tcPr>
          <w:p>
            <w:pPr>
              <w:jc w:val="cente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6个月</w:t>
            </w:r>
          </w:p>
        </w:tc>
        <w:tc>
          <w:tcPr>
            <w:tcW w:w="1039"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73.83天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4" w:hRule="atLeast"/>
          <w:jc w:val="center"/>
        </w:trPr>
        <w:tc>
          <w:tcPr>
            <w:tcW w:w="840"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说明</w:t>
            </w:r>
          </w:p>
        </w:tc>
        <w:tc>
          <w:tcPr>
            <w:tcW w:w="6731" w:type="dxa"/>
            <w:gridSpan w:val="5"/>
            <w:vAlign w:val="center"/>
          </w:tcPr>
          <w:p>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源辫长度：1700mm</w:t>
            </w:r>
          </w:p>
          <w:p>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源壳尺寸 直径：1.1mm 长度：≤6.5mm</w:t>
            </w:r>
          </w:p>
          <w:p>
            <w:pPr>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活性区尺寸 直径：≤0.7mm 长度：≤3.9mm</w:t>
            </w:r>
          </w:p>
          <w:p>
            <w:pPr>
              <w:pStyle w:val="7"/>
              <w:jc w:val="left"/>
              <w:rPr>
                <w:color w:val="000000" w:themeColor="text1"/>
                <w14:textFill>
                  <w14:solidFill>
                    <w14:schemeClr w14:val="tx1"/>
                  </w14:solidFill>
                </w14:textFill>
              </w:rPr>
            </w:pPr>
          </w:p>
        </w:tc>
      </w:tr>
    </w:tbl>
    <w:p>
      <w:pPr>
        <w:tabs>
          <w:tab w:val="left" w:pos="678"/>
        </w:tabs>
        <w:jc w:val="left"/>
        <w:rPr>
          <w:rFonts w:hint="eastAsia"/>
          <w:color w:val="000000" w:themeColor="text1"/>
          <w14:textFill>
            <w14:solidFill>
              <w14:schemeClr w14:val="tx1"/>
            </w14:solidFill>
          </w14:textFill>
        </w:rPr>
      </w:pP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2"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1.工艺结构：</w:t>
      </w:r>
      <w:r>
        <w:rPr>
          <w:rFonts w:hint="eastAsia" w:ascii="宋体" w:hAnsi="宋体" w:cs="宋体"/>
          <w:color w:val="000000" w:themeColor="text1"/>
          <w:sz w:val="24"/>
          <w14:textFill>
            <w14:solidFill>
              <w14:schemeClr w14:val="tx1"/>
            </w14:solidFill>
          </w14:textFill>
        </w:rPr>
        <w:t>采用激光焊接工艺，将铱金合金丝密封于不锈钢单层包壳内，并置于高通量核反应堆内进行辐照，经过核反应后制备成铱-192放射性同位素。根据所使用后装机的临床要求，将一定长度的不锈钢丝使用激光工艺与铱-192辐照源焊接在一起。</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2" w:firstLineChars="200"/>
        <w:jc w:val="left"/>
        <w:textAlignment w:val="auto"/>
        <w:rPr>
          <w:rFonts w:hint="eastAsia"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2.质量控制：</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放射源分级标准及结果：ISO/12/C 632111</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表面污染擦拭标准：ISO 9978:1992</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浸泡泄露检验标准：ISO 9978:1992</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0"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放射源推荐工作寿命：6个月或25000次</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2" w:firstLineChars="200"/>
        <w:jc w:val="left"/>
        <w:textAlignment w:val="auto"/>
        <w:rPr>
          <w:rFonts w:hint="eastAsia"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3.Ir-192放射源保证安装到院活度为：</w:t>
      </w:r>
      <w:r>
        <w:rPr>
          <w:rFonts w:hint="eastAsia" w:ascii="宋体" w:hAnsi="宋体" w:cs="宋体"/>
          <w:color w:val="000000" w:themeColor="text1"/>
          <w:sz w:val="24"/>
          <w14:textFill>
            <w14:solidFill>
              <w14:schemeClr w14:val="tx1"/>
            </w14:solidFill>
          </w14:textFill>
        </w:rPr>
        <w:t>满足10Ci。</w:t>
      </w:r>
    </w:p>
    <w:p>
      <w:pPr>
        <w:keepNext w:val="0"/>
        <w:keepLines w:val="0"/>
        <w:pageBreakBefore w:val="0"/>
        <w:widowControl w:val="0"/>
        <w:tabs>
          <w:tab w:val="left" w:pos="678"/>
        </w:tabs>
        <w:kinsoku/>
        <w:wordWrap/>
        <w:overflowPunct/>
        <w:topLinePunct w:val="0"/>
        <w:autoSpaceDE/>
        <w:autoSpaceDN/>
        <w:bidi w:val="0"/>
        <w:adjustRightInd/>
        <w:snapToGrid/>
        <w:spacing w:line="600" w:lineRule="exact"/>
        <w:ind w:left="0" w:leftChars="0" w:firstLine="482" w:firstLineChars="200"/>
        <w:jc w:val="left"/>
        <w:textAlignment w:val="auto"/>
        <w:rPr>
          <w:rFonts w:hint="eastAsia" w:ascii="宋体" w:hAnsi="宋体" w:eastAsia="宋体" w:cs="宋体"/>
          <w:b/>
          <w:bCs/>
          <w:color w:val="000000" w:themeColor="text1"/>
          <w:sz w:val="24"/>
          <w:lang w:eastAsia="zh-CN"/>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4.根据国家颁布的</w:t>
      </w:r>
      <w:r>
        <w:rPr>
          <w:rFonts w:ascii="宋体" w:hAnsi="宋体" w:cs="宋体"/>
          <w:b/>
          <w:bCs/>
          <w:color w:val="000000" w:themeColor="text1"/>
          <w:sz w:val="24"/>
          <w14:textFill>
            <w14:solidFill>
              <w14:schemeClr w14:val="tx1"/>
            </w14:solidFill>
          </w14:textFill>
        </w:rPr>
        <w:t>2005</w:t>
      </w:r>
      <w:r>
        <w:rPr>
          <w:rFonts w:hint="eastAsia" w:ascii="宋体" w:hAnsi="宋体" w:cs="宋体"/>
          <w:b/>
          <w:bCs/>
          <w:color w:val="000000" w:themeColor="text1"/>
          <w:sz w:val="24"/>
          <w14:textFill>
            <w14:solidFill>
              <w14:schemeClr w14:val="tx1"/>
            </w14:solidFill>
          </w14:textFill>
        </w:rPr>
        <w:t>年</w:t>
      </w:r>
      <w:r>
        <w:rPr>
          <w:rFonts w:ascii="宋体" w:hAnsi="宋体" w:cs="宋体"/>
          <w:b/>
          <w:bCs/>
          <w:color w:val="000000" w:themeColor="text1"/>
          <w:sz w:val="24"/>
          <w14:textFill>
            <w14:solidFill>
              <w14:schemeClr w14:val="tx1"/>
            </w14:solidFill>
          </w14:textFill>
        </w:rPr>
        <w:t>9月14日中华人民共和国国务院令第449号</w:t>
      </w:r>
      <w:r>
        <w:rPr>
          <w:rFonts w:hint="eastAsia" w:ascii="宋体" w:hAnsi="宋体" w:cs="宋体"/>
          <w:b/>
          <w:bCs/>
          <w:color w:val="000000" w:themeColor="text1"/>
          <w:sz w:val="24"/>
          <w14:textFill>
            <w14:solidFill>
              <w14:schemeClr w14:val="tx1"/>
            </w14:solidFill>
          </w14:textFill>
        </w:rPr>
        <w:t>《放射性同位素与射线装置安全和防护条例》第十七条例：</w:t>
      </w:r>
      <w:r>
        <w:rPr>
          <w:rFonts w:ascii="宋体" w:hAnsi="宋体" w:cs="宋体"/>
          <w:b/>
          <w:bCs/>
          <w:color w:val="000000" w:themeColor="text1"/>
          <w:sz w:val="24"/>
          <w14:textFill>
            <w14:solidFill>
              <w14:schemeClr w14:val="tx1"/>
            </w14:solidFill>
          </w14:textFill>
        </w:rPr>
        <w:t>公布Ⅰ类、Ⅱ类、Ⅲ类放射源的标号应当刻制在放射源本体或者密封包壳体上，Ⅳ类、Ⅴ类放射源的标号应当记录在相应说明文件中</w:t>
      </w:r>
      <w:r>
        <w:rPr>
          <w:rFonts w:hint="eastAsia" w:ascii="宋体" w:hAnsi="宋体" w:cs="宋体"/>
          <w:b/>
          <w:bCs/>
          <w:color w:val="000000" w:themeColor="text1"/>
          <w:sz w:val="24"/>
          <w:lang w:eastAsia="zh-CN"/>
          <w14:textFill>
            <w14:solidFill>
              <w14:schemeClr w14:val="tx1"/>
            </w14:solidFill>
          </w14:textFill>
        </w:rPr>
        <w:t>。</w:t>
      </w:r>
    </w:p>
    <w:p>
      <w:pPr>
        <w:rPr>
          <w:rFonts w:hint="eastAsia" w:ascii="宋体" w:hAnsi="宋体" w:cs="宋体"/>
          <w:color w:val="000000" w:themeColor="text1"/>
          <w:sz w:val="32"/>
          <w:szCs w:val="40"/>
          <w14:textFill>
            <w14:solidFill>
              <w14:schemeClr w14:val="tx1"/>
            </w14:solidFill>
          </w14:textFill>
        </w:rPr>
      </w:pPr>
    </w:p>
    <w:p>
      <w:pPr>
        <w:keepNext w:val="0"/>
        <w:keepLines w:val="0"/>
        <w:pageBreakBefore w:val="0"/>
        <w:kinsoku/>
        <w:wordWrap/>
        <w:overflowPunct/>
        <w:topLinePunct w:val="0"/>
        <w:autoSpaceDE/>
        <w:autoSpaceDN/>
        <w:bidi w:val="0"/>
        <w:adjustRightInd/>
        <w:spacing w:line="480" w:lineRule="exact"/>
        <w:rPr>
          <w:color w:val="000000" w:themeColor="text1"/>
          <w14:textFill>
            <w14:solidFill>
              <w14:schemeClr w14:val="tx1"/>
            </w14:solidFill>
          </w14:textFill>
        </w:rPr>
      </w:pPr>
    </w:p>
    <w:p>
      <w:pPr>
        <w:keepNext w:val="0"/>
        <w:keepLines w:val="0"/>
        <w:pageBreakBefore w:val="0"/>
        <w:kinsoku/>
        <w:wordWrap/>
        <w:overflowPunct/>
        <w:topLinePunct w:val="0"/>
        <w:autoSpaceDE/>
        <w:autoSpaceDN/>
        <w:bidi w:val="0"/>
        <w:adjustRightInd/>
        <w:spacing w:line="480" w:lineRule="exact"/>
        <w:rPr>
          <w:rFonts w:ascii="仿宋" w:hAnsi="仿宋" w:eastAsia="仿宋" w:cs="仿宋"/>
          <w:b/>
          <w:color w:val="000000" w:themeColor="text1"/>
          <w:kern w:val="44"/>
          <w:sz w:val="44"/>
          <w14:textFill>
            <w14:solidFill>
              <w14:schemeClr w14:val="tx1"/>
            </w14:solidFill>
          </w14:textFill>
        </w:rPr>
      </w:pPr>
    </w:p>
    <w:p>
      <w:bookmarkStart w:id="5" w:name="_GoBack"/>
      <w:bookmarkEnd w:id="5"/>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5455605B"/>
    <w:rsid w:val="1BD47A17"/>
    <w:rsid w:val="54556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8">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9">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5">
    <w:name w:val="Default Paragraph Font"/>
    <w:semiHidden/>
    <w:uiPriority w:val="0"/>
  </w:style>
  <w:style w:type="table" w:default="1" w:styleId="14">
    <w:name w:val="Normal Table"/>
    <w:semiHidden/>
    <w:uiPriority w:val="0"/>
    <w:tblPr>
      <w:tblCellMar>
        <w:top w:w="0" w:type="dxa"/>
        <w:left w:w="108" w:type="dxa"/>
        <w:bottom w:w="0" w:type="dxa"/>
        <w:right w:w="108" w:type="dxa"/>
      </w:tblCellMar>
    </w:tblPr>
  </w:style>
  <w:style w:type="paragraph" w:styleId="2">
    <w:name w:val="Body Text First Indent 2"/>
    <w:basedOn w:val="3"/>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3">
    <w:name w:val="Body Text Indent"/>
    <w:basedOn w:val="1"/>
    <w:next w:val="1"/>
    <w:qFormat/>
    <w:uiPriority w:val="99"/>
    <w:pPr>
      <w:spacing w:line="400" w:lineRule="exact"/>
      <w:ind w:left="630"/>
    </w:pPr>
    <w:rPr>
      <w:rFonts w:ascii="楷体_GB2312"/>
      <w:sz w:val="30"/>
      <w:szCs w:val="30"/>
    </w:r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next w:val="6"/>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6">
    <w:name w:val="大标题"/>
    <w:basedOn w:val="1"/>
    <w:next w:val="2"/>
    <w:qFormat/>
    <w:uiPriority w:val="0"/>
    <w:pPr>
      <w:jc w:val="center"/>
    </w:pPr>
    <w:rPr>
      <w:rFonts w:ascii="Arial" w:hAnsi="Arial" w:eastAsia="宋体"/>
      <w:b/>
      <w:sz w:val="28"/>
      <w:szCs w:val="24"/>
    </w:rPr>
  </w:style>
  <w:style w:type="paragraph" w:styleId="10">
    <w:name w:val="Plain Text"/>
    <w:basedOn w:val="1"/>
    <w:qFormat/>
    <w:uiPriority w:val="0"/>
    <w:rPr>
      <w:rFonts w:ascii="宋体" w:hAnsi="Courier New"/>
      <w:szCs w:val="20"/>
    </w:rPr>
  </w:style>
  <w:style w:type="paragraph" w:styleId="11">
    <w:name w:val="footer"/>
    <w:basedOn w:val="1"/>
    <w:qFormat/>
    <w:uiPriority w:val="0"/>
    <w:pPr>
      <w:tabs>
        <w:tab w:val="center" w:pos="4153"/>
        <w:tab w:val="right" w:pos="8306"/>
      </w:tabs>
      <w:snapToGrid w:val="0"/>
      <w:jc w:val="left"/>
    </w:pPr>
    <w:rPr>
      <w:kern w:val="0"/>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Normal (Web)"/>
    <w:basedOn w:val="1"/>
    <w:qFormat/>
    <w:uiPriority w:val="0"/>
    <w:rPr>
      <w:sz w:val="24"/>
    </w:rPr>
  </w:style>
  <w:style w:type="paragraph" w:customStyle="1" w:styleId="16">
    <w:name w:val="列出段落1"/>
    <w:basedOn w:val="1"/>
    <w:qFormat/>
    <w:uiPriority w:val="99"/>
    <w:pPr>
      <w:ind w:firstLine="420" w:firstLineChars="200"/>
    </w:pPr>
  </w:style>
  <w:style w:type="character" w:customStyle="1" w:styleId="17">
    <w:name w:val="NormalCharacter"/>
    <w:semiHidden/>
    <w:qFormat/>
    <w:uiPriority w:val="0"/>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9">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4586</Words>
  <Characters>4794</Characters>
  <Lines>0</Lines>
  <Paragraphs>0</Paragraphs>
  <TotalTime>0</TotalTime>
  <ScaleCrop>false</ScaleCrop>
  <LinksUpToDate>false</LinksUpToDate>
  <CharactersWithSpaces>5393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2023-06-01T07:49:00Z</dcterms:created>
  <dc:creator>是小豹子</dc:creator>
  <cp:lastModifiedBy>是小豹子</cp:lastModifiedBy>
  <dcterms:modified xsi:type="dcterms:W3CDTF">2023-06-01T08:09:22Z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6F500E5CF7AE433A8B934A118F241139_11</vt:lpwstr>
  </property>
</Properties>
</file>