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jc w:val="center"/>
        <w:rPr>
          <w:rFonts w:ascii="Arial" w:hAnsi="Arial" w:eastAsia="方正小标宋简体" w:cs="Arial"/>
          <w:color w:val="auto"/>
          <w:sz w:val="72"/>
          <w:szCs w:val="72"/>
        </w:rPr>
      </w:pPr>
    </w:p>
    <w:p>
      <w:pPr>
        <w:pStyle w:val="6"/>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6"/>
        <w:snapToGrid w:val="0"/>
        <w:jc w:val="center"/>
        <w:rPr>
          <w:rFonts w:ascii="Arial" w:hAnsi="Arial" w:cs="Arial"/>
          <w:sz w:val="32"/>
          <w:szCs w:val="32"/>
        </w:rPr>
      </w:pPr>
    </w:p>
    <w:p>
      <w:pPr>
        <w:pStyle w:val="6"/>
        <w:snapToGrid w:val="0"/>
        <w:jc w:val="center"/>
        <w:rPr>
          <w:rFonts w:ascii="Arial" w:hAnsi="Arial" w:cs="Arial"/>
          <w:sz w:val="32"/>
          <w:szCs w:val="32"/>
        </w:rPr>
      </w:pPr>
    </w:p>
    <w:p>
      <w:pPr>
        <w:pStyle w:val="6"/>
        <w:snapToGrid w:val="0"/>
        <w:jc w:val="center"/>
        <w:rPr>
          <w:rFonts w:ascii="Arial" w:hAnsi="Arial" w:cs="Arial"/>
          <w:sz w:val="32"/>
          <w:szCs w:val="32"/>
        </w:rPr>
      </w:pPr>
    </w:p>
    <w:p>
      <w:pPr>
        <w:spacing w:line="360" w:lineRule="auto"/>
        <w:rPr>
          <w:bCs/>
          <w:sz w:val="32"/>
          <w:szCs w:val="32"/>
        </w:rPr>
      </w:pPr>
    </w:p>
    <w:p>
      <w:pPr>
        <w:pStyle w:val="3"/>
        <w:keepNext w:val="0"/>
        <w:keepLines w:val="0"/>
        <w:widowControl/>
        <w:spacing w:before="120" w:after="0" w:line="27" w:lineRule="atLeast"/>
        <w:jc w:val="center"/>
        <w:rPr>
          <w:bCs/>
          <w:sz w:val="32"/>
          <w:szCs w:val="32"/>
        </w:rPr>
      </w:pPr>
      <w:r>
        <w:rPr>
          <w:rFonts w:hint="eastAsia"/>
          <w:bCs/>
          <w:sz w:val="32"/>
          <w:szCs w:val="32"/>
        </w:rPr>
        <w:t>项目名称：娄底市中心医院零星工程维修改造项目（院内议价）</w:t>
      </w:r>
    </w:p>
    <w:p>
      <w:pPr>
        <w:pStyle w:val="3"/>
        <w:keepNext w:val="0"/>
        <w:keepLines w:val="0"/>
        <w:widowControl/>
        <w:spacing w:before="120" w:after="0" w:line="27" w:lineRule="atLeast"/>
        <w:jc w:val="center"/>
        <w:rPr>
          <w:bCs/>
          <w:sz w:val="32"/>
          <w:szCs w:val="32"/>
        </w:rPr>
      </w:pPr>
    </w:p>
    <w:p>
      <w:pPr>
        <w:spacing w:line="320" w:lineRule="exact"/>
        <w:jc w:val="left"/>
        <w:rPr>
          <w:sz w:val="24"/>
        </w:rPr>
      </w:pPr>
    </w:p>
    <w:p>
      <w:pPr>
        <w:spacing w:line="320" w:lineRule="exact"/>
        <w:ind w:firstLine="3520" w:firstLineChars="1100"/>
        <w:rPr>
          <w:rFonts w:ascii="宋体" w:hAnsi="宋体" w:cs="宋体"/>
          <w:bCs/>
          <w:sz w:val="32"/>
          <w:szCs w:val="32"/>
        </w:rPr>
      </w:pPr>
      <w:r>
        <w:rPr>
          <w:rFonts w:hint="eastAsia" w:ascii="宋体" w:hAnsi="宋体" w:cs="宋体"/>
          <w:bCs/>
          <w:sz w:val="32"/>
          <w:szCs w:val="32"/>
        </w:rPr>
        <w:t>二〇二三年六月</w:t>
      </w:r>
    </w:p>
    <w:p>
      <w:pPr>
        <w:rPr>
          <w:rFonts w:ascii="宋体" w:hAnsi="宋体" w:cs="宋体"/>
          <w:sz w:val="44"/>
          <w:szCs w:val="44"/>
        </w:rPr>
      </w:pPr>
    </w:p>
    <w:p>
      <w:pPr>
        <w:pStyle w:val="8"/>
      </w:pPr>
    </w:p>
    <w:p>
      <w:pPr>
        <w:pStyle w:val="3"/>
        <w:spacing w:line="240" w:lineRule="auto"/>
        <w:jc w:val="center"/>
        <w:rPr>
          <w:szCs w:val="44"/>
        </w:rPr>
      </w:pPr>
      <w:r>
        <w:rPr>
          <w:rFonts w:hint="eastAsia" w:ascii="宋体" w:hAnsi="宋体" w:cs="宋体"/>
          <w:szCs w:val="44"/>
        </w:rPr>
        <w:t>第一章 投标邀请</w:t>
      </w:r>
      <w:bookmarkEnd w:id="0"/>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娄底市中心医院零星工程维修改造项目进行挂网招标，将招标事项公告如下：</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一、项目信息</w:t>
      </w:r>
    </w:p>
    <w:p>
      <w:pPr>
        <w:pStyle w:val="6"/>
        <w:tabs>
          <w:tab w:val="left" w:pos="312"/>
        </w:tabs>
        <w:snapToGrid w:val="0"/>
        <w:spacing w:line="480" w:lineRule="auto"/>
        <w:ind w:firstLine="560" w:firstLineChars="200"/>
        <w:rPr>
          <w:rFonts w:hint="eastAsia" w:eastAsia="仿宋_GB2312"/>
          <w:bCs/>
          <w:color w:val="auto"/>
          <w:sz w:val="28"/>
          <w:szCs w:val="28"/>
          <w:lang w:eastAsia="zh-CN"/>
        </w:rPr>
      </w:pPr>
      <w:r>
        <w:rPr>
          <w:rFonts w:hint="eastAsia"/>
          <w:bCs/>
          <w:color w:val="auto"/>
          <w:sz w:val="28"/>
          <w:szCs w:val="28"/>
        </w:rPr>
        <w:t>项目名称：娄底市中心医院零星工程维修改造项目</w:t>
      </w:r>
    </w:p>
    <w:p>
      <w:pPr>
        <w:spacing w:line="360" w:lineRule="auto"/>
        <w:ind w:firstLine="560" w:firstLineChars="200"/>
        <w:jc w:val="left"/>
        <w:rPr>
          <w:rFonts w:ascii="仿宋_GB2312" w:eastAsia="仿宋_GB2312" w:cs="仿宋_GB2312"/>
          <w:bCs/>
          <w:kern w:val="0"/>
          <w:sz w:val="28"/>
          <w:szCs w:val="28"/>
        </w:rPr>
      </w:pPr>
      <w:r>
        <w:rPr>
          <w:rFonts w:hint="eastAsia" w:ascii="仿宋_GB2312" w:eastAsia="仿宋_GB2312" w:cs="仿宋_GB2312"/>
          <w:bCs/>
          <w:kern w:val="0"/>
          <w:sz w:val="28"/>
          <w:szCs w:val="28"/>
        </w:rPr>
        <w:t>报价：本项目采用费率形式招标，请按费率报价，本项目总费率100%。</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二、采购方式</w:t>
      </w:r>
    </w:p>
    <w:p>
      <w:pPr>
        <w:pStyle w:val="6"/>
        <w:tabs>
          <w:tab w:val="left" w:pos="312"/>
        </w:tabs>
        <w:snapToGrid w:val="0"/>
        <w:spacing w:line="480" w:lineRule="auto"/>
        <w:ind w:firstLine="560" w:firstLineChars="200"/>
        <w:rPr>
          <w:rFonts w:hint="eastAsia"/>
          <w:bCs/>
          <w:color w:val="FF0000"/>
          <w:sz w:val="28"/>
          <w:szCs w:val="28"/>
          <w:lang w:val="en-US" w:eastAsia="zh-CN"/>
        </w:rPr>
      </w:pPr>
      <w:r>
        <w:rPr>
          <w:rFonts w:hint="eastAsia"/>
          <w:bCs/>
          <w:color w:val="auto"/>
          <w:sz w:val="28"/>
          <w:szCs w:val="28"/>
        </w:rPr>
        <w:t>1、院内议价，</w:t>
      </w:r>
      <w:r>
        <w:rPr>
          <w:rFonts w:hint="eastAsia"/>
          <w:bCs/>
          <w:color w:val="auto"/>
          <w:sz w:val="28"/>
          <w:szCs w:val="28"/>
          <w:lang w:val="en-US" w:eastAsia="zh-CN"/>
        </w:rPr>
        <w:t>本次招标将遴选两家投标单位入围，</w:t>
      </w:r>
      <w:r>
        <w:rPr>
          <w:rFonts w:hint="eastAsia"/>
          <w:bCs/>
          <w:color w:val="auto"/>
          <w:sz w:val="28"/>
          <w:szCs w:val="28"/>
        </w:rPr>
        <w:t>按招标文件评分规则进行评审，以评审结果排序</w:t>
      </w:r>
      <w:r>
        <w:rPr>
          <w:rFonts w:hint="eastAsia"/>
          <w:bCs/>
          <w:color w:val="auto"/>
          <w:sz w:val="28"/>
          <w:szCs w:val="28"/>
          <w:lang w:eastAsia="zh-CN"/>
        </w:rPr>
        <w:t>，</w:t>
      </w:r>
      <w:r>
        <w:rPr>
          <w:rFonts w:hint="eastAsia"/>
          <w:bCs/>
          <w:color w:val="FF0000"/>
          <w:sz w:val="28"/>
          <w:szCs w:val="28"/>
          <w:lang w:val="en-US" w:eastAsia="zh-CN"/>
        </w:rPr>
        <w:t>最终排序结果的前两名为中标人，入围供应商投标价为最高限价，工程维修费率不得高于中标价。</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三、投标人资格要求</w:t>
      </w:r>
    </w:p>
    <w:p>
      <w:pPr>
        <w:adjustRightInd w:val="0"/>
        <w:snapToGrid w:val="0"/>
        <w:spacing w:line="6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（1）具有独立承担民事责任能力的企业法人，依法取得企业营业执照并处于有效期，且经营范围包括本公告项目内容。</w:t>
      </w:r>
    </w:p>
    <w:p>
      <w:pPr>
        <w:adjustRightInd w:val="0"/>
        <w:snapToGrid w:val="0"/>
        <w:spacing w:line="6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pPr>
        <w:adjustRightInd w:val="0"/>
        <w:snapToGrid w:val="0"/>
        <w:spacing w:line="6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pPr>
        <w:adjustRightInd w:val="0"/>
        <w:snapToGrid w:val="0"/>
        <w:spacing w:line="6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（4）有依法缴纳税收和社会保险费的良好记录；</w:t>
      </w:r>
    </w:p>
    <w:p>
      <w:pPr>
        <w:adjustRightInd w:val="0"/>
        <w:snapToGrid w:val="0"/>
        <w:spacing w:line="6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（5）参加本次选定活动前三年内，在经营活动中没有重大违法记录；</w:t>
      </w:r>
    </w:p>
    <w:p>
      <w:pPr>
        <w:adjustRightInd w:val="0"/>
        <w:snapToGrid w:val="0"/>
        <w:spacing w:line="6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（6）法律、行政法规规定的其他条件。</w:t>
      </w:r>
    </w:p>
    <w:p>
      <w:pPr>
        <w:adjustRightInd w:val="0"/>
        <w:snapToGrid w:val="0"/>
        <w:spacing w:line="64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2、参与人的特定资格条件：</w:t>
      </w:r>
    </w:p>
    <w:p>
      <w:pPr>
        <w:spacing w:line="64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须具有住房城乡建设主管部门颁发的建筑工程施工总承包三级（含三级）及以上资质或建筑装修装饰工程专业承包二级（含二级）及以上资质、安全生产许可证。</w:t>
      </w:r>
    </w:p>
    <w:p>
      <w:pPr>
        <w:adjustRightInd w:val="0"/>
        <w:snapToGrid w:val="0"/>
        <w:spacing w:line="640" w:lineRule="exact"/>
        <w:ind w:left="-107" w:leftChars="-51" w:firstLine="700" w:firstLineChars="2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（2）项目负责人（项目经理）须具有建筑工程专业</w:t>
      </w:r>
      <w:r>
        <w:rPr>
          <w:rFonts w:hint="eastAsia" w:ascii="仿宋" w:hAnsi="仿宋" w:eastAsia="仿宋" w:cs="仿宋"/>
          <w:color w:val="000000" w:themeColor="text1"/>
          <w:sz w:val="28"/>
          <w:szCs w:val="28"/>
          <w14:textFill>
            <w14:solidFill>
              <w14:schemeClr w14:val="tx1"/>
            </w14:solidFill>
          </w14:textFill>
        </w:rPr>
        <w:t>贰级及以上注册建造师执业资格、安全生产考核合格证书。</w:t>
      </w:r>
    </w:p>
    <w:p>
      <w:pPr>
        <w:adjustRightInd w:val="0"/>
        <w:snapToGrid w:val="0"/>
        <w:spacing w:line="640" w:lineRule="exact"/>
        <w:ind w:left="-107" w:leftChars="-51" w:firstLine="700" w:firstLineChars="2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（3）具有电焊资质的施工人员。</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四、投标截止时间、开标时间及地点：</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1、投标截止时间、开标时间：投标时间详见娄底市中心医院官网公告，开标时间另行通知。</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2、开标地点;另行通知</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五、招标人地址和联系方法：</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1、招标人名称：娄底市中心医院</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2、联系人及联系方式：张思远 15115875288</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3、招标人地址：娄底市中心医院</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六、投标须知</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1、否决投标的情形：</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1.1、投标人以他人名义投标、串通投标、以行贿手段谋取中标的；</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1.2、资格评审时，投标人资格条件不符合国家有关规定或者招标文件要求的，或者拒不按照要求对投标文件进行澄清、说明或补正，或者其说明补正无法证明其为合格投标人的；</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1.3、评标委员会认定投标人以低于成本报价竞标的；</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1.4、投标人未按照要求出席开标会的；</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1.5、投标报价有错误的，评标委员会将要求投标人作出书面澄清说明和确认，投标人拒不作出澄清说明和确认的；</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1.6、投标文件存在弄虚作假或者隐瞒事实，或者未按照招标文件要求如实提供有关情况和文件，以及证明资料且对投标人有利的，应当否决其投标。被列为中标候选人的，应当取消其中标候选人资格。</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2、有下列情形之一的，招标人将重新招标：</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2.1、</w:t>
      </w:r>
      <w:r>
        <w:rPr>
          <w:bCs/>
          <w:color w:val="auto"/>
          <w:sz w:val="28"/>
          <w:szCs w:val="28"/>
        </w:rPr>
        <w:t>投标截止时间止，投标人少于3</w:t>
      </w:r>
      <w:r>
        <w:rPr>
          <w:rFonts w:hint="eastAsia"/>
          <w:bCs/>
          <w:color w:val="auto"/>
          <w:sz w:val="28"/>
          <w:szCs w:val="28"/>
        </w:rPr>
        <w:t>家</w:t>
      </w:r>
      <w:r>
        <w:rPr>
          <w:bCs/>
          <w:color w:val="auto"/>
          <w:sz w:val="28"/>
          <w:szCs w:val="28"/>
        </w:rPr>
        <w:t>的；</w:t>
      </w:r>
    </w:p>
    <w:p>
      <w:pPr>
        <w:pStyle w:val="6"/>
        <w:tabs>
          <w:tab w:val="left" w:pos="312"/>
        </w:tabs>
        <w:snapToGrid w:val="0"/>
        <w:spacing w:line="480" w:lineRule="auto"/>
        <w:ind w:firstLine="560" w:firstLineChars="200"/>
        <w:rPr>
          <w:bCs/>
          <w:color w:val="auto"/>
          <w:sz w:val="28"/>
          <w:szCs w:val="28"/>
        </w:rPr>
      </w:pPr>
      <w:r>
        <w:rPr>
          <w:rFonts w:hint="eastAsia"/>
          <w:bCs/>
          <w:color w:val="auto"/>
          <w:sz w:val="28"/>
          <w:szCs w:val="28"/>
        </w:rPr>
        <w:t>2.2、经评标委员会评审后，符合资格审查的投标人少于3家的。</w:t>
      </w:r>
    </w:p>
    <w:p>
      <w:pPr>
        <w:pStyle w:val="6"/>
        <w:tabs>
          <w:tab w:val="left" w:pos="312"/>
        </w:tabs>
        <w:snapToGrid w:val="0"/>
        <w:spacing w:line="480" w:lineRule="auto"/>
        <w:ind w:firstLine="560" w:firstLineChars="200"/>
        <w:rPr>
          <w:rStyle w:val="24"/>
          <w:rFonts w:ascii="Times New Roman" w:eastAsia="宋体" w:cs="Times New Roman"/>
          <w:color w:val="auto"/>
          <w:kern w:val="2"/>
        </w:rPr>
      </w:pPr>
      <w:r>
        <w:rPr>
          <w:rFonts w:hint="eastAsia"/>
          <w:bCs/>
          <w:color w:val="auto"/>
          <w:sz w:val="28"/>
          <w:szCs w:val="28"/>
        </w:rPr>
        <w:t>3</w:t>
      </w:r>
      <w:r>
        <w:rPr>
          <w:bCs/>
          <w:color w:val="auto"/>
          <w:sz w:val="28"/>
          <w:szCs w:val="28"/>
        </w:rPr>
        <w:t>.</w:t>
      </w:r>
      <w:r>
        <w:rPr>
          <w:rFonts w:hint="eastAsia"/>
        </w:rPr>
        <w:t xml:space="preserve"> </w:t>
      </w:r>
      <w:r>
        <w:rPr>
          <w:rFonts w:hint="eastAsia"/>
          <w:bCs/>
          <w:color w:val="auto"/>
          <w:sz w:val="28"/>
          <w:szCs w:val="28"/>
        </w:rPr>
        <w:t>不组织现场踏勘。施工单位在参与报价前，可自行踏勘现场，有关费用自理，踏勘期间发生的意外自负。</w:t>
      </w:r>
    </w:p>
    <w:p>
      <w:pPr>
        <w:pStyle w:val="6"/>
        <w:tabs>
          <w:tab w:val="left" w:pos="312"/>
        </w:tabs>
        <w:snapToGrid w:val="0"/>
        <w:spacing w:line="480" w:lineRule="auto"/>
        <w:ind w:firstLine="420" w:firstLineChars="200"/>
        <w:rPr>
          <w:rStyle w:val="24"/>
          <w:rFonts w:ascii="Times New Roman" w:eastAsia="宋体" w:cs="Times New Roman"/>
          <w:color w:val="auto"/>
          <w:kern w:val="2"/>
        </w:rPr>
      </w:pPr>
    </w:p>
    <w:p>
      <w:pPr>
        <w:pStyle w:val="6"/>
        <w:tabs>
          <w:tab w:val="left" w:pos="312"/>
        </w:tabs>
        <w:snapToGrid w:val="0"/>
        <w:spacing w:line="480" w:lineRule="auto"/>
        <w:ind w:firstLine="560" w:firstLineChars="200"/>
        <w:rPr>
          <w:bCs/>
          <w:color w:val="auto"/>
          <w:sz w:val="28"/>
          <w:szCs w:val="28"/>
        </w:rPr>
      </w:pPr>
    </w:p>
    <w:p>
      <w:pPr>
        <w:pStyle w:val="6"/>
        <w:tabs>
          <w:tab w:val="left" w:pos="312"/>
        </w:tabs>
        <w:snapToGrid w:val="0"/>
        <w:spacing w:line="480" w:lineRule="auto"/>
        <w:ind w:firstLine="560" w:firstLineChars="200"/>
        <w:rPr>
          <w:bCs/>
          <w:color w:val="auto"/>
          <w:sz w:val="28"/>
          <w:szCs w:val="28"/>
        </w:rPr>
      </w:pPr>
    </w:p>
    <w:p>
      <w:pPr>
        <w:pStyle w:val="6"/>
        <w:tabs>
          <w:tab w:val="left" w:pos="312"/>
        </w:tabs>
        <w:snapToGrid w:val="0"/>
        <w:spacing w:line="480" w:lineRule="auto"/>
        <w:jc w:val="center"/>
        <w:rPr>
          <w:rFonts w:ascii="宋体" w:hAnsi="宋体" w:cs="宋体"/>
          <w:b/>
          <w:bCs/>
          <w:color w:val="auto"/>
          <w:sz w:val="44"/>
          <w:szCs w:val="44"/>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6"/>
        <w:tabs>
          <w:tab w:val="left" w:pos="312"/>
        </w:tabs>
        <w:snapToGrid w:val="0"/>
        <w:spacing w:line="480" w:lineRule="auto"/>
        <w:jc w:val="center"/>
        <w:rPr>
          <w:rFonts w:ascii="宋体" w:hAnsi="宋体" w:cs="宋体"/>
          <w:b/>
          <w:bCs/>
          <w:color w:val="auto"/>
          <w:sz w:val="44"/>
          <w:szCs w:val="44"/>
        </w:rPr>
      </w:pPr>
      <w:r>
        <w:rPr>
          <w:rFonts w:hint="eastAsia" w:ascii="宋体" w:hAnsi="宋体" w:cs="宋体"/>
          <w:b/>
          <w:bCs/>
          <w:color w:val="auto"/>
          <w:sz w:val="44"/>
          <w:szCs w:val="44"/>
        </w:rPr>
        <w:t>第二章采购需求</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一、采购清单、采购项目交付或者实施的时间和地点</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1.采购项目</w:t>
      </w:r>
    </w:p>
    <w:tbl>
      <w:tblPr>
        <w:tblStyle w:val="21"/>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4435"/>
        <w:gridCol w:w="2194"/>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序号</w:t>
            </w:r>
          </w:p>
        </w:tc>
        <w:tc>
          <w:tcPr>
            <w:tcW w:w="4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项目名称</w:t>
            </w:r>
          </w:p>
        </w:tc>
        <w:tc>
          <w:tcPr>
            <w:tcW w:w="2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合同履行期限</w:t>
            </w:r>
          </w:p>
        </w:tc>
        <w:tc>
          <w:tcPr>
            <w:tcW w:w="2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总预算（费率）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1</w:t>
            </w:r>
          </w:p>
        </w:tc>
        <w:tc>
          <w:tcPr>
            <w:tcW w:w="4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娄底市中心医院零星工程维修改造项目</w:t>
            </w:r>
          </w:p>
        </w:tc>
        <w:tc>
          <w:tcPr>
            <w:tcW w:w="2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1年</w:t>
            </w:r>
          </w:p>
        </w:tc>
        <w:tc>
          <w:tcPr>
            <w:tcW w:w="2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100%</w:t>
            </w:r>
          </w:p>
        </w:tc>
      </w:tr>
    </w:tbl>
    <w:p>
      <w:pPr>
        <w:spacing w:line="360" w:lineRule="auto"/>
        <w:rPr>
          <w:rFonts w:ascii="仿宋_GB2312" w:eastAsia="仿宋_GB2312" w:cs="仿宋_GB2312"/>
          <w:bCs/>
          <w:kern w:val="0"/>
          <w:sz w:val="28"/>
          <w:szCs w:val="28"/>
        </w:rPr>
      </w:pP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2、服务时间：双方签订合同时具体约定。</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3、服务地点：娄底市中心医院。</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二、维修改造质量保修期限：质量保修期为一年，但防水防渗漏为五年，均自娄底市中心医院每次验收合格之日起开始计算。</w:t>
      </w:r>
    </w:p>
    <w:p>
      <w:pPr>
        <w:spacing w:line="700" w:lineRule="exact"/>
        <w:ind w:left="752" w:leftChars="229" w:right="23" w:rightChars="11" w:hanging="271" w:hangingChars="97"/>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三、材料运输、保管（包含仓储）</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1.材料到施工地点的运输包括装卸及现场搬运等，全部由施工单位负责。</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2.材料自进入施工地点之日起至项目验收合格期间的保管责任由施工单位负责。</w:t>
      </w:r>
    </w:p>
    <w:p>
      <w:pPr>
        <w:spacing w:line="700" w:lineRule="exact"/>
        <w:ind w:left="752" w:leftChars="229" w:right="23" w:rightChars="11" w:hanging="271" w:hangingChars="97"/>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四、施工要求</w:t>
      </w:r>
    </w:p>
    <w:p>
      <w:pPr>
        <w:pStyle w:val="10"/>
        <w:adjustRightInd w:val="0"/>
        <w:snapToGrid w:val="0"/>
        <w:spacing w:line="7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1.施工单位须加强施工的组织管理，必须严格遵守娄底市中心医院规章制度，遵守文明安全施工的有关规章制度，施工人员持证上岗。</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因娄底市中心医院情况特殊，为不影响医院工作的正常运行，施工单位应遵守医院的要求安全文明施工，尤其建筑垃圾和建筑材料不能随地乱堆放，每天产生的建筑垃圾必须在第二天清理出院外；建筑垃圾、土石方等外运运距按8km结算，建筑垃圾渣土弃置及占用费不另计。</w:t>
      </w:r>
    </w:p>
    <w:p>
      <w:pPr>
        <w:spacing w:line="7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3.白天施工时不得影响医院的正常运行，合理利用节假日、夜间施工。</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零星维修工程任务急、时间紧、琐碎而繁杂，因此要求施工单位全年必须随叫随到（30分钟之内进维修现场处理），服从娄底市中心安排和管理，必须对娄底市中心提出的施工需求及时响应，按时完成设计、预算、维修施工（安装）等零星施工需求，不得以数量少等理由拒绝或拖延，应该在接到娄底市中心医院维修施工通知后迅速组织施工，并及时完成。</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5.施工单位在施工维修中应节约用水用电，施工用水用电费用在审计时按消耗量标准和《娄底工程造价》发布价格在工程款中扣除。</w:t>
      </w:r>
    </w:p>
    <w:p>
      <w:pPr>
        <w:spacing w:line="700" w:lineRule="exact"/>
        <w:ind w:right="23" w:rightChars="11" w:firstLine="560" w:firstLineChars="200"/>
        <w:rPr>
          <w:rFonts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6.按建设部现行的有关施工规范和工程质量检验评定标准或有关行业标准进行施工，使工程达到合格标准；如施工单位违反操作规程、使用不合格产品及粗制滥造，娄底市中心医院有权加以制止、要求停止施工，</w:t>
      </w:r>
      <w:r>
        <w:rPr>
          <w:rFonts w:hint="eastAsia" w:ascii="仿宋" w:hAnsi="仿宋" w:eastAsia="仿宋" w:cs="仿宋"/>
          <w:color w:val="auto"/>
          <w:sz w:val="28"/>
          <w:szCs w:val="28"/>
        </w:rPr>
        <w:t>由此产生的经济损失全部由施工单位负责，且工期不得顺延。</w:t>
      </w:r>
    </w:p>
    <w:p>
      <w:pPr>
        <w:spacing w:line="700" w:lineRule="exact"/>
        <w:ind w:right="23" w:rightChars="11" w:firstLine="560" w:firstLineChars="200"/>
        <w:rPr>
          <w:rFonts w:ascii="仿宋" w:hAnsi="仿宋" w:eastAsia="仿宋" w:cs="仿宋"/>
          <w:color w:val="auto"/>
          <w:sz w:val="28"/>
          <w:szCs w:val="28"/>
        </w:rPr>
      </w:pPr>
      <w:r>
        <w:rPr>
          <w:rFonts w:hint="eastAsia" w:ascii="仿宋" w:hAnsi="仿宋" w:eastAsia="仿宋" w:cs="仿宋"/>
          <w:color w:val="auto"/>
          <w:sz w:val="28"/>
          <w:szCs w:val="28"/>
        </w:rPr>
        <w:t>7.如在施工维修中需要特种作业人员（包括电焊工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高空作业</w:t>
      </w:r>
      <w:r>
        <w:rPr>
          <w:rFonts w:hint="eastAsia" w:ascii="仿宋" w:hAnsi="仿宋" w:eastAsia="仿宋" w:cs="仿宋"/>
          <w:color w:val="auto"/>
          <w:sz w:val="28"/>
          <w:szCs w:val="28"/>
        </w:rPr>
        <w:t>），施工单位</w:t>
      </w:r>
      <w:r>
        <w:rPr>
          <w:rFonts w:hint="eastAsia" w:ascii="仿宋" w:hAnsi="仿宋" w:eastAsia="仿宋" w:cs="仿宋"/>
          <w:color w:val="auto"/>
          <w:sz w:val="28"/>
          <w:szCs w:val="28"/>
          <w:lang w:val="en-US" w:eastAsia="zh-CN"/>
        </w:rPr>
        <w:t>首先必须向</w:t>
      </w:r>
      <w:r>
        <w:rPr>
          <w:rFonts w:hint="eastAsia" w:ascii="仿宋" w:hAnsi="仿宋" w:eastAsia="仿宋" w:cs="仿宋"/>
          <w:color w:val="auto"/>
          <w:sz w:val="28"/>
          <w:szCs w:val="28"/>
        </w:rPr>
        <w:t>娄底市中心医院</w:t>
      </w:r>
      <w:r>
        <w:rPr>
          <w:rFonts w:hint="eastAsia" w:ascii="仿宋" w:hAnsi="仿宋" w:eastAsia="仿宋" w:cs="仿宋"/>
          <w:color w:val="auto"/>
          <w:sz w:val="28"/>
          <w:szCs w:val="28"/>
          <w:lang w:val="en-US" w:eastAsia="zh-CN"/>
        </w:rPr>
        <w:t>申报许可后，</w:t>
      </w:r>
      <w:r>
        <w:rPr>
          <w:rFonts w:hint="eastAsia" w:ascii="仿宋" w:hAnsi="仿宋" w:eastAsia="仿宋" w:cs="仿宋"/>
          <w:color w:val="auto"/>
          <w:sz w:val="28"/>
          <w:szCs w:val="28"/>
        </w:rPr>
        <w:t>指派具有相应资质的人员进行规范操作。</w:t>
      </w:r>
    </w:p>
    <w:p>
      <w:pPr>
        <w:spacing w:line="700" w:lineRule="exact"/>
        <w:ind w:right="23" w:rightChars="11" w:firstLine="560" w:firstLineChars="200"/>
        <w:rPr>
          <w:rFonts w:ascii="仿宋" w:hAnsi="仿宋" w:eastAsia="仿宋" w:cs="仿宋"/>
          <w:color w:val="auto"/>
          <w:sz w:val="28"/>
          <w:szCs w:val="28"/>
        </w:rPr>
      </w:pPr>
      <w:r>
        <w:rPr>
          <w:rFonts w:hint="eastAsia" w:ascii="仿宋" w:hAnsi="仿宋" w:eastAsia="仿宋" w:cs="仿宋"/>
          <w:color w:val="auto"/>
          <w:sz w:val="28"/>
          <w:szCs w:val="28"/>
        </w:rPr>
        <w:t>8.施工单位应</w:t>
      </w:r>
      <w:r>
        <w:rPr>
          <w:rFonts w:hint="eastAsia" w:ascii="仿宋" w:hAnsi="仿宋" w:eastAsia="仿宋" w:cs="仿宋"/>
          <w:color w:val="auto"/>
          <w:sz w:val="28"/>
          <w:szCs w:val="28"/>
          <w:lang w:val="en-US" w:eastAsia="zh-CN"/>
        </w:rPr>
        <w:t>在结算付款前</w:t>
      </w:r>
      <w:r>
        <w:rPr>
          <w:rFonts w:hint="eastAsia" w:ascii="仿宋" w:hAnsi="仿宋" w:eastAsia="仿宋" w:cs="仿宋"/>
          <w:color w:val="auto"/>
          <w:sz w:val="28"/>
          <w:szCs w:val="28"/>
        </w:rPr>
        <w:t>配合院方在“政府采购云平台”上进行直采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否则不予支付</w:t>
      </w:r>
      <w:r>
        <w:rPr>
          <w:rFonts w:hint="eastAsia" w:ascii="仿宋" w:hAnsi="仿宋" w:eastAsia="仿宋" w:cs="仿宋"/>
          <w:color w:val="auto"/>
          <w:sz w:val="28"/>
          <w:szCs w:val="28"/>
        </w:rPr>
        <w:t>。</w:t>
      </w:r>
    </w:p>
    <w:p>
      <w:pPr>
        <w:spacing w:line="700" w:lineRule="exact"/>
        <w:ind w:left="752" w:leftChars="229" w:right="23" w:rightChars="11" w:hanging="271" w:hangingChars="97"/>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五、验收</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1.由娄底市中心医院根据《建筑工程施工质量验收统一标准》和其它相关行业质量标准，组织验收，工程项目须达到合格工程标准。</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2.验收主要内容:①材料质量是否合格、适用；②施工工艺是否满足要求、功能是否恢复、观感是否合格；③施工过程是否有损坏医院其它财产；④施工结束后是否将建筑垃圾清运干</w:t>
      </w:r>
      <w:r>
        <w:rPr>
          <w:rFonts w:hint="eastAsia" w:ascii="仿宋" w:hAnsi="仿宋" w:eastAsia="仿宋" w:cs="仿宋"/>
          <w:color w:val="auto"/>
          <w:sz w:val="28"/>
          <w:szCs w:val="28"/>
        </w:rPr>
        <w:t>净</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。如</w:t>
      </w:r>
      <w:r>
        <w:rPr>
          <w:rFonts w:hint="eastAsia" w:ascii="仿宋" w:hAnsi="仿宋" w:eastAsia="仿宋" w:cs="仿宋"/>
          <w:color w:val="000000" w:themeColor="text1"/>
          <w:sz w:val="28"/>
          <w:szCs w:val="28"/>
          <w14:textFill>
            <w14:solidFill>
              <w14:schemeClr w14:val="tx1"/>
            </w14:solidFill>
          </w14:textFill>
        </w:rPr>
        <w:t>果发现数量不足或有质量等问题，施工单位应负责根据合同及娄底市中心医院的要求采取补足或更换等处理措施，并承担由此发生的一切损失和费用。</w:t>
      </w:r>
    </w:p>
    <w:p>
      <w:pPr>
        <w:pStyle w:val="37"/>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六、工程量签证：</w:t>
      </w:r>
      <w:r>
        <w:rPr>
          <w:rFonts w:hint="eastAsia" w:ascii="仿宋" w:hAnsi="仿宋" w:eastAsia="仿宋" w:cs="仿宋"/>
          <w:color w:val="000000" w:themeColor="text1"/>
          <w:kern w:val="2"/>
          <w:sz w:val="28"/>
          <w:szCs w:val="28"/>
          <w14:textFill>
            <w14:solidFill>
              <w14:schemeClr w14:val="tx1"/>
            </w14:solidFill>
          </w14:textFill>
        </w:rPr>
        <w:t>工程量收方按</w:t>
      </w:r>
      <w:r>
        <w:rPr>
          <w:rFonts w:ascii="仿宋" w:hAnsi="仿宋" w:eastAsia="仿宋" w:cs="仿宋"/>
          <w:color w:val="000000" w:themeColor="text1"/>
          <w:kern w:val="2"/>
          <w:sz w:val="28"/>
          <w:szCs w:val="28"/>
          <w14:textFill>
            <w14:solidFill>
              <w14:schemeClr w14:val="tx1"/>
            </w14:solidFill>
          </w14:textFill>
        </w:rPr>
        <w:t>房屋建筑与装饰工程等专业工程量计算规范</w:t>
      </w:r>
      <w:r>
        <w:rPr>
          <w:rFonts w:hint="eastAsia" w:ascii="仿宋" w:hAnsi="仿宋" w:eastAsia="仿宋" w:cs="仿宋"/>
          <w:color w:val="000000" w:themeColor="text1"/>
          <w:kern w:val="2"/>
          <w:sz w:val="28"/>
          <w:szCs w:val="28"/>
          <w14:textFill>
            <w14:solidFill>
              <w14:schemeClr w14:val="tx1"/>
            </w14:solidFill>
          </w14:textFill>
        </w:rPr>
        <w:t>及相应的消耗量标准的计算规则计量签证；隐蔽工程覆盖前应书面通知娄底市中心医院对完成工程量进行签证确认，经娄底市中心医院确认的签证工程量清单方可作为结算依据。</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结算方法：工程完工验收合格后，双方按实收方完成工程量签证，施工单位按“工程量清单计价，组价、人工工资综合工资单价按施工同期湖南省住建厅及造价管理部门颁布的消耗量标准定额及造价文件规定执行，取费参照施工期间娄底市财政投资评审中心的取费标准，结合施工单位</w:t>
      </w:r>
      <w:r>
        <w:rPr>
          <w:rFonts w:hint="eastAsia" w:ascii="仿宋" w:hAnsi="仿宋" w:eastAsia="仿宋" w:cs="仿宋"/>
          <w:color w:val="000000" w:themeColor="text1"/>
          <w:sz w:val="28"/>
          <w:szCs w:val="28"/>
          <w:lang w:eastAsia="zh-CN"/>
          <w14:textFill>
            <w14:solidFill>
              <w14:schemeClr w14:val="tx1"/>
            </w14:solidFill>
          </w14:textFill>
        </w:rPr>
        <w:t>当季度</w:t>
      </w:r>
      <w:bookmarkStart w:id="9" w:name="_GoBack"/>
      <w:bookmarkEnd w:id="9"/>
      <w:r>
        <w:rPr>
          <w:rFonts w:hint="eastAsia" w:ascii="仿宋" w:hAnsi="仿宋" w:eastAsia="仿宋" w:cs="仿宋"/>
          <w:color w:val="000000" w:themeColor="text1"/>
          <w:sz w:val="28"/>
          <w:szCs w:val="28"/>
          <w14:textFill>
            <w14:solidFill>
              <w14:schemeClr w14:val="tx1"/>
            </w14:solidFill>
          </w14:textFill>
        </w:rPr>
        <w:t>的投标</w:t>
      </w:r>
      <w:r>
        <w:rPr>
          <w:rFonts w:hint="eastAsia" w:ascii="仿宋" w:hAnsi="仿宋" w:eastAsia="仿宋" w:cs="仿宋"/>
          <w:color w:val="000000" w:themeColor="text1"/>
          <w:sz w:val="28"/>
          <w:szCs w:val="28"/>
          <w:lang w:eastAsia="zh-CN"/>
          <w14:textFill>
            <w14:solidFill>
              <w14:schemeClr w14:val="tx1"/>
            </w14:solidFill>
          </w14:textFill>
        </w:rPr>
        <w:t>费</w:t>
      </w:r>
      <w:r>
        <w:rPr>
          <w:rFonts w:hint="eastAsia" w:ascii="仿宋" w:hAnsi="仿宋" w:eastAsia="仿宋" w:cs="仿宋"/>
          <w:color w:val="000000" w:themeColor="text1"/>
          <w:sz w:val="28"/>
          <w:szCs w:val="28"/>
          <w14:textFill>
            <w14:solidFill>
              <w14:schemeClr w14:val="tx1"/>
            </w14:solidFill>
          </w14:textFill>
        </w:rPr>
        <w:t>率。</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编制结算文件，送甲方审核后，由甲方委托娄底市政府投资审计事务中心进行审计，以娄底市政府投资审计事务中心做出的审计结论作为最终工程价款的支付依据。</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八、其他要求</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1、施工单位应自行处理一切工农矛盾、周边矛盾,并承担处理矛盾所发生的一切费用。</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安全责任及风险承担：施工单位在施工时注意安全，并制定相应的安全防护措施，施工单位在履行合同过程中发生的一切事故，给医院、施工单位或第三方的人身和财产造成的损失，均由施工单位负责处理并承担一切责任。</w:t>
      </w:r>
    </w:p>
    <w:p>
      <w:pPr>
        <w:spacing w:line="700" w:lineRule="exact"/>
        <w:ind w:right="23" w:rightChars="11"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施工单位在编制工程项目结算书时，力求准确。如审计核减金额未超过结算送审金额15%（不包含15%）的，审计费由娄底市中心医院承担；如审计核减金额超过结算送审金额15%（包含15%）的，审计费用全部由施工单位负责，并从工程项目结算款中扣除。</w:t>
      </w:r>
    </w:p>
    <w:p>
      <w:pPr>
        <w:pStyle w:val="18"/>
        <w:widowControl/>
        <w:spacing w:line="360" w:lineRule="auto"/>
        <w:ind w:firstLine="562"/>
        <w:rPr>
          <w:rFonts w:hint="eastAsia" w:ascii="仿宋_GB2312" w:eastAsia="仿宋_GB2312" w:cs="仿宋_GB2312"/>
          <w:bCs/>
          <w:color w:val="FF0000"/>
          <w:kern w:val="0"/>
          <w:sz w:val="28"/>
          <w:szCs w:val="28"/>
          <w:lang w:eastAsia="zh-CN"/>
        </w:rPr>
      </w:pPr>
      <w:r>
        <w:rPr>
          <w:rFonts w:hint="eastAsia" w:ascii="仿宋_GB2312" w:eastAsia="仿宋_GB2312" w:cs="仿宋_GB2312"/>
          <w:bCs/>
          <w:color w:val="FF0000"/>
          <w:kern w:val="0"/>
          <w:sz w:val="28"/>
          <w:szCs w:val="28"/>
          <w:lang w:eastAsia="zh-CN"/>
        </w:rPr>
        <w:t>九、入围供应商管理</w:t>
      </w:r>
    </w:p>
    <w:p>
      <w:pPr>
        <w:pStyle w:val="18"/>
        <w:widowControl/>
        <w:spacing w:line="360" w:lineRule="auto"/>
        <w:ind w:firstLine="562"/>
        <w:rPr>
          <w:rFonts w:hint="eastAsia" w:ascii="仿宋_GB2312" w:eastAsia="仿宋_GB2312" w:cs="仿宋_GB2312"/>
          <w:bCs/>
          <w:color w:val="FF0000"/>
          <w:kern w:val="0"/>
          <w:sz w:val="28"/>
          <w:szCs w:val="28"/>
          <w:lang w:val="en-US" w:eastAsia="zh-CN"/>
        </w:rPr>
      </w:pPr>
      <w:r>
        <w:rPr>
          <w:rFonts w:hint="eastAsia" w:ascii="仿宋_GB2312" w:eastAsia="仿宋_GB2312" w:cs="仿宋_GB2312"/>
          <w:bCs/>
          <w:color w:val="FF0000"/>
          <w:kern w:val="0"/>
          <w:sz w:val="28"/>
          <w:szCs w:val="28"/>
          <w:lang w:eastAsia="zh-CN"/>
        </w:rPr>
        <w:t>入围供应商由医院建设管理科负责管理，由建设管理科安排维修任务。</w:t>
      </w:r>
      <w:r>
        <w:rPr>
          <w:rFonts w:hint="eastAsia" w:ascii="仿宋_GB2312" w:eastAsia="仿宋_GB2312" w:cs="仿宋_GB2312"/>
          <w:bCs/>
          <w:color w:val="FF0000"/>
          <w:kern w:val="0"/>
          <w:sz w:val="28"/>
          <w:szCs w:val="28"/>
          <w:lang w:val="en-US" w:eastAsia="zh-CN"/>
        </w:rPr>
        <w:t>入围供应商每季度竞价一次确定本季度费率，竞价投标费率不得超过该供应商中标费率，竞价投标费率低者负责本季度医院零星维修。</w:t>
      </w:r>
    </w:p>
    <w:p>
      <w:pPr>
        <w:pStyle w:val="18"/>
        <w:widowControl/>
        <w:spacing w:line="360" w:lineRule="auto"/>
        <w:ind w:firstLine="562"/>
        <w:rPr>
          <w:rFonts w:hint="eastAsia" w:ascii="仿宋_GB2312" w:eastAsia="仿宋_GB2312" w:cs="仿宋_GB2312"/>
          <w:bCs/>
          <w:color w:val="FF0000"/>
          <w:kern w:val="0"/>
          <w:sz w:val="28"/>
          <w:szCs w:val="28"/>
          <w:lang w:val="en-US" w:eastAsia="zh-CN"/>
        </w:rPr>
      </w:pPr>
      <w:r>
        <w:rPr>
          <w:rFonts w:hint="eastAsia" w:ascii="仿宋_GB2312" w:eastAsia="仿宋_GB2312" w:cs="仿宋_GB2312"/>
          <w:bCs/>
          <w:color w:val="FF0000"/>
          <w:kern w:val="0"/>
          <w:sz w:val="28"/>
          <w:szCs w:val="28"/>
          <w:lang w:val="en-US" w:eastAsia="zh-CN"/>
        </w:rPr>
        <w:t>入围供应商不得拒绝参与每季度竞价。</w:t>
      </w:r>
    </w:p>
    <w:p>
      <w:pPr>
        <w:spacing w:line="360" w:lineRule="auto"/>
        <w:ind w:firstLine="640" w:firstLineChars="200"/>
        <w:rPr>
          <w:rFonts w:hint="eastAsia" w:ascii="仿宋_GB2312" w:eastAsia="仿宋_GB2312" w:cs="仿宋_GB2312"/>
          <w:bCs/>
          <w:color w:val="auto"/>
          <w:kern w:val="0"/>
          <w:sz w:val="32"/>
          <w:szCs w:val="32"/>
          <w:lang w:eastAsia="zh-CN"/>
        </w:rPr>
      </w:pPr>
    </w:p>
    <w:p>
      <w:pPr>
        <w:spacing w:line="360" w:lineRule="auto"/>
        <w:ind w:firstLine="640" w:firstLineChars="200"/>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第二章采购需求内容需全部响应并在招标文件响应表中做出响应承诺，否则视为无效投标</w:t>
      </w:r>
    </w:p>
    <w:p>
      <w:pPr>
        <w:pStyle w:val="20"/>
        <w:rPr>
          <w:rFonts w:ascii="仿宋_GB2312" w:eastAsia="仿宋_GB2312" w:cs="仿宋_GB2312"/>
          <w:bCs/>
          <w:kern w:val="0"/>
          <w:sz w:val="28"/>
          <w:szCs w:val="28"/>
        </w:rPr>
      </w:pPr>
    </w:p>
    <w:p>
      <w:pPr>
        <w:pStyle w:val="5"/>
        <w:rPr>
          <w:rFonts w:ascii="仿宋_GB2312" w:eastAsia="仿宋_GB2312" w:cs="仿宋_GB2312"/>
          <w:bCs/>
          <w:kern w:val="0"/>
          <w:sz w:val="28"/>
          <w:szCs w:val="28"/>
        </w:rPr>
      </w:pPr>
    </w:p>
    <w:p>
      <w:pPr>
        <w:pStyle w:val="6"/>
        <w:rPr>
          <w:rFonts w:ascii="仿宋_GB2312" w:eastAsia="仿宋_GB2312" w:cs="仿宋_GB2312"/>
          <w:bCs/>
          <w:kern w:val="0"/>
          <w:sz w:val="28"/>
          <w:szCs w:val="28"/>
        </w:rPr>
      </w:pPr>
    </w:p>
    <w:p>
      <w:pPr>
        <w:pStyle w:val="6"/>
        <w:rPr>
          <w:rFonts w:ascii="仿宋_GB2312" w:eastAsia="仿宋_GB2312" w:cs="仿宋_GB2312"/>
          <w:bCs/>
          <w:kern w:val="0"/>
          <w:sz w:val="28"/>
          <w:szCs w:val="28"/>
        </w:rPr>
      </w:pPr>
    </w:p>
    <w:p>
      <w:pPr>
        <w:pStyle w:val="6"/>
        <w:rPr>
          <w:rFonts w:ascii="仿宋_GB2312" w:eastAsia="仿宋_GB2312" w:cs="仿宋_GB2312"/>
          <w:bCs/>
          <w:kern w:val="0"/>
          <w:sz w:val="28"/>
          <w:szCs w:val="28"/>
        </w:rPr>
      </w:pPr>
    </w:p>
    <w:p>
      <w:pPr>
        <w:pStyle w:val="6"/>
        <w:rPr>
          <w:rFonts w:ascii="仿宋_GB2312" w:eastAsia="仿宋_GB2312" w:cs="仿宋_GB2312"/>
          <w:bCs/>
          <w:kern w:val="0"/>
          <w:sz w:val="28"/>
          <w:szCs w:val="28"/>
        </w:rPr>
      </w:pPr>
    </w:p>
    <w:p>
      <w:pPr>
        <w:pStyle w:val="6"/>
        <w:rPr>
          <w:rFonts w:ascii="仿宋_GB2312" w:eastAsia="仿宋_GB2312" w:cs="仿宋_GB2312"/>
          <w:bCs/>
          <w:kern w:val="0"/>
          <w:sz w:val="28"/>
          <w:szCs w:val="28"/>
        </w:rPr>
      </w:pPr>
    </w:p>
    <w:p>
      <w:pPr>
        <w:pStyle w:val="6"/>
        <w:rPr>
          <w:rFonts w:ascii="仿宋_GB2312" w:eastAsia="仿宋_GB2312" w:cs="仿宋_GB2312"/>
          <w:bCs/>
          <w:kern w:val="0"/>
          <w:sz w:val="28"/>
          <w:szCs w:val="28"/>
        </w:rPr>
      </w:pPr>
    </w:p>
    <w:p>
      <w:pPr>
        <w:pStyle w:val="6"/>
        <w:rPr>
          <w:rFonts w:ascii="仿宋_GB2312" w:eastAsia="仿宋_GB2312" w:cs="仿宋_GB2312"/>
          <w:bCs/>
          <w:kern w:val="0"/>
          <w:sz w:val="28"/>
          <w:szCs w:val="28"/>
        </w:rPr>
      </w:pPr>
    </w:p>
    <w:p>
      <w:pPr>
        <w:pStyle w:val="6"/>
        <w:rPr>
          <w:rFonts w:ascii="仿宋_GB2312" w:eastAsia="仿宋_GB2312" w:cs="仿宋_GB2312"/>
          <w:bCs/>
          <w:kern w:val="0"/>
          <w:sz w:val="28"/>
          <w:szCs w:val="28"/>
        </w:rPr>
      </w:pPr>
    </w:p>
    <w:p>
      <w:pPr>
        <w:pStyle w:val="14"/>
      </w:pPr>
    </w:p>
    <w:p>
      <w:pPr>
        <w:pStyle w:val="18"/>
        <w:widowControl/>
        <w:spacing w:line="360" w:lineRule="auto"/>
        <w:ind w:left="562"/>
        <w:rPr>
          <w:rFonts w:ascii="仿宋_GB2312" w:eastAsia="仿宋_GB2312" w:cs="仿宋_GB2312"/>
          <w:bCs/>
          <w:kern w:val="0"/>
          <w:sz w:val="28"/>
          <w:szCs w:val="28"/>
        </w:rPr>
      </w:pPr>
      <w:r>
        <w:rPr>
          <w:rFonts w:hint="eastAsia" w:ascii="仿宋_GB2312" w:eastAsia="仿宋_GB2312" w:cs="仿宋_GB2312"/>
          <w:bCs/>
          <w:kern w:val="0"/>
          <w:sz w:val="28"/>
          <w:szCs w:val="28"/>
        </w:rPr>
        <w:t>十、合同</w:t>
      </w:r>
    </w:p>
    <w:p>
      <w:pPr>
        <w:spacing w:line="520" w:lineRule="exact"/>
        <w:rPr>
          <w:rStyle w:val="32"/>
          <w:rFonts w:ascii="仿宋" w:hAnsi="仿宋" w:eastAsia="仿宋" w:cs="仿宋"/>
          <w:color w:val="000000" w:themeColor="text1"/>
          <w:szCs w:val="44"/>
          <w14:textFill>
            <w14:solidFill>
              <w14:schemeClr w14:val="tx1"/>
            </w14:solidFill>
          </w14:textFill>
        </w:rPr>
      </w:pPr>
      <w:r>
        <w:rPr>
          <w:rStyle w:val="32"/>
          <w:rFonts w:hint="eastAsia" w:ascii="仿宋" w:hAnsi="仿宋" w:eastAsia="仿宋" w:cs="仿宋"/>
          <w:b w:val="0"/>
          <w:color w:val="000000" w:themeColor="text1"/>
          <w:sz w:val="28"/>
          <w:szCs w:val="28"/>
          <w14:textFill>
            <w14:solidFill>
              <w14:schemeClr w14:val="tx1"/>
            </w14:solidFill>
          </w14:textFill>
        </w:rPr>
        <w:t xml:space="preserve">   合同编号：</w:t>
      </w:r>
    </w:p>
    <w:p>
      <w:pPr>
        <w:spacing w:before="240" w:beforeLines="100" w:after="240" w:afterLines="100" w:line="520" w:lineRule="exact"/>
        <w:jc w:val="center"/>
        <w:rPr>
          <w:rFonts w:ascii="仿宋" w:hAnsi="仿宋" w:eastAsia="仿宋" w:cs="仿宋"/>
          <w:color w:val="000000" w:themeColor="text1"/>
          <w:sz w:val="32"/>
          <w:szCs w:val="32"/>
          <w14:textFill>
            <w14:solidFill>
              <w14:schemeClr w14:val="tx1"/>
            </w14:solidFill>
          </w14:textFill>
        </w:rPr>
      </w:pPr>
      <w:r>
        <w:rPr>
          <w:rStyle w:val="32"/>
          <w:rFonts w:hint="eastAsia" w:ascii="仿宋" w:hAnsi="仿宋" w:eastAsia="仿宋" w:cs="仿宋"/>
          <w:color w:val="000000" w:themeColor="text1"/>
          <w:szCs w:val="44"/>
          <w14:textFill>
            <w14:solidFill>
              <w14:schemeClr w14:val="tx1"/>
            </w14:solidFill>
          </w14:textFill>
        </w:rPr>
        <w:t>娄底市中心医院零星维修改造工程</w:t>
      </w:r>
      <w:r>
        <w:rPr>
          <w:rFonts w:hint="eastAsia" w:ascii="仿宋" w:hAnsi="仿宋" w:eastAsia="仿宋" w:cs="仿宋"/>
          <w:b/>
          <w:bCs/>
          <w:color w:val="000000" w:themeColor="text1"/>
          <w:sz w:val="44"/>
          <w:szCs w:val="44"/>
          <w14:textFill>
            <w14:solidFill>
              <w14:schemeClr w14:val="tx1"/>
            </w14:solidFill>
          </w14:textFill>
        </w:rPr>
        <w:t>施工合同</w:t>
      </w:r>
      <w:r>
        <w:rPr>
          <w:rFonts w:hint="eastAsia" w:ascii="仿宋" w:hAnsi="仿宋" w:eastAsia="仿宋" w:cs="仿宋"/>
          <w:color w:val="000000" w:themeColor="text1"/>
          <w:sz w:val="32"/>
          <w:szCs w:val="32"/>
          <w14:textFill>
            <w14:solidFill>
              <w14:schemeClr w14:val="tx1"/>
            </w14:solidFill>
          </w14:textFill>
        </w:rPr>
        <w:t xml:space="preserve">                                        </w:t>
      </w:r>
    </w:p>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 xml:space="preserve">娄底市中心医院                        </w:t>
      </w:r>
    </w:p>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法定代表人：李红辉</w:t>
      </w:r>
    </w:p>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统一社会信用代码：12431300447162073W</w:t>
      </w:r>
    </w:p>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地址：湖南省娄底市娄星区长青中街51号</w:t>
      </w:r>
    </w:p>
    <w:p>
      <w:pPr>
        <w:spacing w:line="52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乙方：</w:t>
      </w:r>
    </w:p>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                                  </w:t>
      </w:r>
    </w:p>
    <w:p>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统一社会信用代码：                            </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地址：     </w:t>
      </w:r>
      <w:r>
        <w:rPr>
          <w:rFonts w:hint="eastAsia" w:ascii="仿宋" w:hAnsi="仿宋" w:eastAsia="仿宋" w:cs="仿宋"/>
          <w:color w:val="000000" w:themeColor="text1"/>
          <w:sz w:val="32"/>
          <w:szCs w:val="32"/>
          <w14:textFill>
            <w14:solidFill>
              <w14:schemeClr w14:val="tx1"/>
            </w14:solidFill>
          </w14:textFill>
        </w:rPr>
        <w:t xml:space="preserve">                                                          </w:t>
      </w: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根据实际需要对医院进行零星维修改造工程，通过公开方式选定乙方作为零星维修改造工程施工单位。双方在平等自愿基础上，就医院零星维修改造工程的相关事宜充分协商，达成以下合同条款，以资共同遵守：</w:t>
      </w:r>
    </w:p>
    <w:p>
      <w:pPr>
        <w:numPr>
          <w:ilvl w:val="0"/>
          <w:numId w:val="1"/>
        </w:numPr>
        <w:spacing w:line="520" w:lineRule="exact"/>
        <w:ind w:firstLine="557" w:firstLineChars="198"/>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工程内容</w:t>
      </w:r>
    </w:p>
    <w:p>
      <w:pPr>
        <w:spacing w:line="52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医院不需招标采购的小型维修改造及用工等（维修施工队不具备资质的专业除外）。具体范围以甲方每次现场指定的内容为准。</w:t>
      </w:r>
    </w:p>
    <w:p>
      <w:pPr>
        <w:spacing w:line="520" w:lineRule="exact"/>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第二条 维修服务期限</w:t>
      </w:r>
    </w:p>
    <w:p>
      <w:pPr>
        <w:spacing w:line="520" w:lineRule="exact"/>
        <w:ind w:right="23" w:rightChars="11" w:firstLine="560" w:firstLineChars="200"/>
        <w:jc w:val="left"/>
        <w:rPr>
          <w:rFonts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本合同约定维</w:t>
      </w:r>
      <w:r>
        <w:rPr>
          <w:rFonts w:hint="eastAsia" w:ascii="仿宋" w:hAnsi="仿宋" w:eastAsia="仿宋" w:cs="仿宋"/>
          <w:color w:val="auto"/>
          <w:sz w:val="28"/>
          <w:szCs w:val="28"/>
        </w:rPr>
        <w:t>修服务期限为</w:t>
      </w:r>
      <w:r>
        <w:rPr>
          <w:rFonts w:hint="eastAsia" w:ascii="仿宋" w:hAnsi="仿宋" w:eastAsia="仿宋" w:cs="仿宋"/>
          <w:color w:val="auto"/>
          <w:sz w:val="28"/>
          <w:szCs w:val="28"/>
          <w:u w:val="single"/>
        </w:rPr>
        <w:t>12</w:t>
      </w:r>
      <w:r>
        <w:rPr>
          <w:rFonts w:hint="eastAsia" w:ascii="仿宋" w:hAnsi="仿宋" w:eastAsia="仿宋" w:cs="仿宋"/>
          <w:color w:val="auto"/>
          <w:sz w:val="28"/>
          <w:szCs w:val="28"/>
        </w:rPr>
        <w:t>个月，自</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日起至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日止。</w:t>
      </w:r>
    </w:p>
    <w:p>
      <w:pPr>
        <w:spacing w:line="520" w:lineRule="exact"/>
        <w:ind w:firstLine="576" w:firstLineChars="20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第三条 施工期限</w:t>
      </w:r>
    </w:p>
    <w:p>
      <w:pPr>
        <w:spacing w:line="520" w:lineRule="exact"/>
        <w:ind w:firstLine="574" w:firstLineChars="20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乙方必须在甲方每次规定的期限内完成本次维修改造任务并确保验收合格、正常投入使用。</w:t>
      </w:r>
    </w:p>
    <w:p>
      <w:pPr>
        <w:spacing w:line="520" w:lineRule="exact"/>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第四条 质量标准</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 xml:space="preserve">4.1 </w:t>
      </w:r>
      <w:r>
        <w:rPr>
          <w:rFonts w:hint="eastAsia" w:ascii="仿宋" w:hAnsi="仿宋" w:eastAsia="仿宋" w:cs="仿宋"/>
          <w:color w:val="auto"/>
          <w:sz w:val="28"/>
          <w:szCs w:val="28"/>
        </w:rPr>
        <w:t>乙方按建设部现行的有关施工规范和工程质量检验评定标准或有关行业标准进行施工，维修的项目必须达到国家合格标准。</w:t>
      </w:r>
    </w:p>
    <w:p>
      <w:pPr>
        <w:spacing w:line="520" w:lineRule="exact"/>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4.2 如乙方违反操作规程、使用不合格产品及粗制滥造，甲方有权加以制止、要求停止施工，由此产生的经济损失全部由乙方负责，且工期不得顺延。</w:t>
      </w: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第五条 承包价格</w:t>
      </w:r>
      <w:r>
        <w:rPr>
          <w:rFonts w:hint="eastAsia" w:ascii="仿宋" w:hAnsi="仿宋" w:eastAsia="仿宋" w:cs="仿宋"/>
          <w:color w:val="000000" w:themeColor="text1"/>
          <w:sz w:val="28"/>
          <w:szCs w:val="28"/>
          <w14:textFill>
            <w14:solidFill>
              <w14:schemeClr w14:val="tx1"/>
            </w14:solidFill>
          </w14:textFill>
        </w:rPr>
        <w:t xml:space="preserve">   </w:t>
      </w:r>
    </w:p>
    <w:p>
      <w:pPr>
        <w:spacing w:line="520" w:lineRule="exact"/>
        <w:ind w:firstLine="55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5.1 </w:t>
      </w:r>
      <w:bookmarkStart w:id="1" w:name="_Hlk136878013"/>
      <w:r>
        <w:rPr>
          <w:rFonts w:hint="eastAsia" w:ascii="仿宋" w:hAnsi="仿宋" w:eastAsia="仿宋" w:cs="仿宋"/>
          <w:color w:val="000000" w:themeColor="text1"/>
          <w:sz w:val="28"/>
          <w:szCs w:val="28"/>
          <w14:textFill>
            <w14:solidFill>
              <w14:schemeClr w14:val="tx1"/>
            </w14:solidFill>
          </w14:textFill>
        </w:rPr>
        <w:t>工程量清单计价，组价、人工工资综合工资单价按施工同期湖南省住建厅及造价管理部门颁布的消耗量标准定额及造价文件规定执行，取费参照施工期间娄底市财政投资评审中心的取费标准，结合施工单位的</w:t>
      </w:r>
      <w:r>
        <w:rPr>
          <w:rFonts w:hint="eastAsia" w:ascii="仿宋" w:hAnsi="仿宋" w:eastAsia="仿宋" w:cs="仿宋"/>
          <w:color w:val="0000FF"/>
          <w:sz w:val="28"/>
          <w:szCs w:val="28"/>
          <w:lang w:eastAsia="zh-CN"/>
        </w:rPr>
        <w:t>竞价</w:t>
      </w:r>
      <w:r>
        <w:rPr>
          <w:rFonts w:hint="eastAsia" w:ascii="仿宋" w:hAnsi="仿宋" w:eastAsia="仿宋" w:cs="仿宋"/>
          <w:color w:val="000000" w:themeColor="text1"/>
          <w:sz w:val="28"/>
          <w:szCs w:val="28"/>
          <w:lang w:eastAsia="zh-CN"/>
          <w14:textFill>
            <w14:solidFill>
              <w14:schemeClr w14:val="tx1"/>
            </w14:solidFill>
          </w14:textFill>
        </w:rPr>
        <w:t>费</w:t>
      </w:r>
      <w:r>
        <w:rPr>
          <w:rFonts w:hint="eastAsia" w:ascii="仿宋" w:hAnsi="仿宋" w:eastAsia="仿宋" w:cs="仿宋"/>
          <w:color w:val="000000" w:themeColor="text1"/>
          <w:sz w:val="28"/>
          <w:szCs w:val="28"/>
          <w14:textFill>
            <w14:solidFill>
              <w14:schemeClr w14:val="tx1"/>
            </w14:solidFill>
          </w14:textFill>
        </w:rPr>
        <w:t>率。</w:t>
      </w:r>
      <w:bookmarkEnd w:id="1"/>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5.2 材料价格套用娄底市建设工程造价站同期发布的《娄底工程造价》信息价，没有信息价的按</w:t>
      </w:r>
      <w:r>
        <w:rPr>
          <w:rFonts w:ascii="仿宋" w:hAnsi="仿宋" w:eastAsia="仿宋" w:cs="仿宋"/>
          <w:color w:val="000000" w:themeColor="text1"/>
          <w:sz w:val="28"/>
          <w:szCs w:val="28"/>
          <w14:textFill>
            <w14:solidFill>
              <w14:schemeClr w14:val="tx1"/>
            </w14:solidFill>
          </w14:textFill>
        </w:rPr>
        <w:t>按市场价</w:t>
      </w:r>
      <w:r>
        <w:rPr>
          <w:rFonts w:hint="eastAsia" w:ascii="仿宋" w:hAnsi="仿宋" w:eastAsia="仿宋" w:cs="仿宋"/>
          <w:color w:val="000000" w:themeColor="text1"/>
          <w:sz w:val="28"/>
          <w:szCs w:val="28"/>
          <w14:textFill>
            <w14:solidFill>
              <w14:schemeClr w14:val="tx1"/>
            </w14:solidFill>
          </w14:textFill>
        </w:rPr>
        <w:t>。</w:t>
      </w:r>
    </w:p>
    <w:p>
      <w:pPr>
        <w:spacing w:line="520" w:lineRule="exact"/>
        <w:ind w:firstLine="555"/>
        <w:jc w:val="left"/>
        <w:rPr>
          <w:rFonts w:ascii="仿宋" w:hAnsi="仿宋" w:eastAsia="仿宋" w:cs="仿宋"/>
          <w:color w:val="auto"/>
          <w:sz w:val="28"/>
          <w:szCs w:val="28"/>
        </w:rPr>
      </w:pPr>
      <w:r>
        <w:rPr>
          <w:rFonts w:hint="eastAsia" w:ascii="仿宋" w:hAnsi="仿宋" w:eastAsia="仿宋" w:cs="仿宋"/>
          <w:color w:val="auto"/>
          <w:sz w:val="28"/>
          <w:szCs w:val="28"/>
        </w:rPr>
        <w:t>5.3 乙方施工用水用电费用在审计时按消耗量标准和《娄底工程造价》发布价格在工程款中扣除。</w:t>
      </w: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_GB2312" w:hAnsi="宋体" w:eastAsia="仿宋_GB2312"/>
          <w:sz w:val="28"/>
          <w:szCs w:val="28"/>
        </w:rPr>
        <w:t>5.4 计日工200元/工日。</w:t>
      </w:r>
    </w:p>
    <w:p>
      <w:pPr>
        <w:spacing w:line="520" w:lineRule="exact"/>
        <w:ind w:firstLine="557" w:firstLineChars="198"/>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第六条 工程量签证</w:t>
      </w:r>
    </w:p>
    <w:p>
      <w:pPr>
        <w:spacing w:line="520" w:lineRule="exact"/>
        <w:ind w:firstLine="554" w:firstLineChars="198"/>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6.1 工程量收方按房屋建筑与装饰工程等专业工程量计算规范及相应的消耗量标准的计算规则计量签证；隐蔽工程覆盖前应书面通知娄底市中心医院对完成工程量进行签证确认，经娄底市中心医院确认的签证工程量清单方可作为结算依据。</w:t>
      </w:r>
    </w:p>
    <w:p>
      <w:pPr>
        <w:spacing w:line="520" w:lineRule="exact"/>
        <w:ind w:firstLine="554" w:firstLineChars="198"/>
        <w:rPr>
          <w:rFonts w:ascii="仿宋" w:hAnsi="仿宋" w:eastAsia="仿宋" w:cs="仿宋"/>
          <w:color w:val="auto"/>
          <w:sz w:val="28"/>
          <w:szCs w:val="28"/>
        </w:rPr>
      </w:pPr>
      <w:r>
        <w:rPr>
          <w:rFonts w:hint="eastAsia" w:ascii="仿宋" w:hAnsi="仿宋" w:eastAsia="仿宋" w:cs="仿宋"/>
          <w:color w:val="auto"/>
          <w:sz w:val="28"/>
          <w:szCs w:val="28"/>
        </w:rPr>
        <w:t>6.2 工程量清单、竣工图等必须经甲方确认后方可作为结算依据。</w:t>
      </w:r>
    </w:p>
    <w:p>
      <w:pPr>
        <w:spacing w:line="520" w:lineRule="exact"/>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第七条 结算及付款方式</w:t>
      </w:r>
    </w:p>
    <w:p>
      <w:pPr>
        <w:spacing w:line="520" w:lineRule="exact"/>
        <w:ind w:firstLine="555"/>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rPr>
        <w:t xml:space="preserve">7.1 </w:t>
      </w:r>
      <w:r>
        <w:rPr>
          <w:rFonts w:hint="eastAsia" w:ascii="仿宋" w:hAnsi="仿宋" w:eastAsia="仿宋" w:cs="仿宋"/>
          <w:b/>
          <w:bCs/>
          <w:color w:val="0000FF"/>
          <w:sz w:val="28"/>
          <w:szCs w:val="28"/>
          <w:u w:val="none"/>
          <w:lang w:val="en-US" w:eastAsia="zh-CN"/>
        </w:rPr>
        <w:t>项目结算费率不得高出乙方中选费率</w:t>
      </w:r>
      <w:r>
        <w:rPr>
          <w:rFonts w:hint="eastAsia" w:ascii="仿宋" w:hAnsi="仿宋" w:eastAsia="仿宋" w:cs="仿宋"/>
          <w:b/>
          <w:bCs/>
          <w:color w:val="0000FF"/>
          <w:sz w:val="28"/>
          <w:szCs w:val="28"/>
          <w:u w:val="single"/>
        </w:rPr>
        <w:t xml:space="preserve">     </w:t>
      </w:r>
      <w:r>
        <w:rPr>
          <w:rFonts w:hint="eastAsia" w:ascii="仿宋" w:hAnsi="仿宋" w:eastAsia="仿宋" w:cs="仿宋"/>
          <w:b/>
          <w:bCs/>
          <w:color w:val="0000FF"/>
          <w:sz w:val="28"/>
          <w:szCs w:val="28"/>
          <w:u w:val="none"/>
          <w:lang w:val="en-US" w:eastAsia="zh-CN"/>
        </w:rPr>
        <w:t>，具体结算时按乙方每季度竞价</w:t>
      </w:r>
      <w:r>
        <w:rPr>
          <w:rFonts w:hint="eastAsia" w:ascii="仿宋" w:hAnsi="仿宋" w:eastAsia="仿宋" w:cs="仿宋"/>
          <w:b/>
          <w:bCs/>
          <w:color w:val="0000FF"/>
          <w:sz w:val="28"/>
          <w:szCs w:val="28"/>
          <w:lang w:eastAsia="zh-CN"/>
        </w:rPr>
        <w:t>费</w:t>
      </w:r>
      <w:r>
        <w:rPr>
          <w:rFonts w:hint="eastAsia" w:ascii="仿宋" w:hAnsi="仿宋" w:eastAsia="仿宋" w:cs="仿宋"/>
          <w:b/>
          <w:bCs/>
          <w:color w:val="0000FF"/>
          <w:sz w:val="28"/>
          <w:szCs w:val="28"/>
        </w:rPr>
        <w:t>率</w:t>
      </w:r>
      <w:r>
        <w:rPr>
          <w:rFonts w:hint="eastAsia" w:ascii="仿宋" w:hAnsi="仿宋" w:eastAsia="仿宋" w:cs="仿宋"/>
          <w:b/>
          <w:bCs/>
          <w:color w:val="0000FF"/>
          <w:sz w:val="28"/>
          <w:szCs w:val="28"/>
          <w:u w:val="none"/>
          <w:lang w:eastAsia="zh-CN"/>
        </w:rPr>
        <w:t>确定</w:t>
      </w:r>
      <w:r>
        <w:rPr>
          <w:rFonts w:hint="eastAsia" w:ascii="仿宋" w:hAnsi="仿宋" w:eastAsia="仿宋" w:cs="仿宋"/>
          <w:b/>
          <w:bCs/>
          <w:color w:val="0000FF"/>
          <w:sz w:val="28"/>
          <w:szCs w:val="28"/>
          <w:u w:val="none"/>
          <w:lang w:val="en-US" w:eastAsia="zh-CN"/>
        </w:rPr>
        <w:t>。</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7.2 甲、乙双方结算方法：</w:t>
      </w:r>
      <w:bookmarkStart w:id="2" w:name="_Hlk136877972"/>
      <w:r>
        <w:rPr>
          <w:rFonts w:hint="eastAsia" w:ascii="仿宋" w:hAnsi="仿宋" w:eastAsia="仿宋" w:cs="仿宋"/>
          <w:color w:val="auto"/>
          <w:sz w:val="28"/>
          <w:szCs w:val="28"/>
        </w:rPr>
        <w:t>工程完工验收合格后，双方按实收方完成工程量签证，施工单位按本合同第五条5</w:t>
      </w:r>
      <w:r>
        <w:rPr>
          <w:rFonts w:ascii="仿宋" w:hAnsi="仿宋" w:eastAsia="仿宋" w:cs="仿宋"/>
          <w:color w:val="auto"/>
          <w:sz w:val="28"/>
          <w:szCs w:val="28"/>
        </w:rPr>
        <w:t>.1</w:t>
      </w:r>
      <w:r>
        <w:rPr>
          <w:rFonts w:hint="eastAsia" w:ascii="仿宋" w:hAnsi="仿宋" w:eastAsia="仿宋" w:cs="仿宋"/>
          <w:color w:val="auto"/>
          <w:sz w:val="28"/>
          <w:szCs w:val="28"/>
        </w:rPr>
        <w:t>编制结算文件，送甲方审核后，由甲方委托娄底市政府投资审计事务中心进行审计，以娄底市政府投资审计事务中心做出的审计结论作为最终工程价款的支付依据。</w:t>
      </w:r>
    </w:p>
    <w:bookmarkEnd w:id="2"/>
    <w:p>
      <w:pPr>
        <w:spacing w:line="520" w:lineRule="exact"/>
        <w:ind w:firstLine="555"/>
        <w:rPr>
          <w:rFonts w:hint="default" w:ascii="仿宋" w:hAnsi="仿宋" w:eastAsia="仿宋" w:cs="仿宋"/>
          <w:b/>
          <w:bCs/>
          <w:color w:val="auto"/>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7.3 乙方每次收到审计结论后，向甲方开具与本次最终结算价款全额的增值税普通发票；甲方收到乙方提供的增值税普通发票之日起</w:t>
      </w:r>
      <w:r>
        <w:rPr>
          <w:rFonts w:hint="eastAsia" w:ascii="仿宋" w:hAnsi="仿宋" w:eastAsia="仿宋" w:cs="仿宋"/>
          <w:color w:val="000000" w:themeColor="text1"/>
          <w:sz w:val="28"/>
          <w:szCs w:val="28"/>
          <w:u w:val="single"/>
          <w14:textFill>
            <w14:solidFill>
              <w14:schemeClr w14:val="tx1"/>
            </w14:solidFill>
          </w14:textFill>
        </w:rPr>
        <w:t xml:space="preserve"> 15 </w:t>
      </w:r>
      <w:r>
        <w:rPr>
          <w:rFonts w:hint="eastAsia" w:ascii="仿宋" w:hAnsi="仿宋" w:eastAsia="仿宋" w:cs="仿宋"/>
          <w:color w:val="000000" w:themeColor="text1"/>
          <w:sz w:val="28"/>
          <w:szCs w:val="28"/>
          <w14:textFill>
            <w14:solidFill>
              <w14:schemeClr w14:val="tx1"/>
            </w14:solidFill>
          </w14:textFill>
        </w:rPr>
        <w:t>个工作日内，向乙方支付最终结算价款的97%；余款3%，作为质保金，甲方在该次工程质保修期均届满且无质量问题之日起</w:t>
      </w:r>
      <w:r>
        <w:rPr>
          <w:rFonts w:hint="eastAsia" w:ascii="仿宋" w:hAnsi="仿宋" w:eastAsia="仿宋" w:cs="仿宋"/>
          <w:color w:val="000000" w:themeColor="text1"/>
          <w:sz w:val="28"/>
          <w:szCs w:val="28"/>
          <w:u w:val="single"/>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个工作日内，一次性无息退还给乙方。</w:t>
      </w:r>
      <w:r>
        <w:rPr>
          <w:rFonts w:hint="eastAsia" w:ascii="仿宋" w:hAnsi="仿宋" w:eastAsia="仿宋" w:cs="仿宋"/>
          <w:b/>
          <w:bCs/>
          <w:color w:val="auto"/>
          <w:sz w:val="28"/>
          <w:szCs w:val="28"/>
          <w:lang w:val="en-US" w:eastAsia="zh-CN"/>
        </w:rPr>
        <w:t>如乙方未及时开具符合约定的发票，甲方有权拒付款项，由此产生的责任均由乙方承担。</w:t>
      </w:r>
    </w:p>
    <w:p>
      <w:pPr>
        <w:spacing w:line="52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7.4 乙方在每次编制维修改造项目结算书时，力求准确。如审计核减金额未超过结算送审金额15%（不含15%）的，审计费用由甲方承担；如审计核减金额超过结算送审金额15%（含15%）的，审计费用全部由乙方负责，并从维修改造项目结算款中扣除。</w:t>
      </w:r>
    </w:p>
    <w:p>
      <w:pPr>
        <w:spacing w:line="52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7.5 甲方通过银行转账向乙方支付价款，乙方指定收款的开户银行为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，户名为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，帐号为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520" w:lineRule="exact"/>
        <w:ind w:firstLine="557" w:firstLineChars="198"/>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第八条 安全责任及风险承担</w:t>
      </w:r>
    </w:p>
    <w:p>
      <w:pPr>
        <w:spacing w:line="52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8.1 乙方</w:t>
      </w:r>
      <w:r>
        <w:rPr>
          <w:rFonts w:hint="eastAsia" w:ascii="仿宋" w:hAnsi="仿宋" w:eastAsia="仿宋" w:cs="仿宋"/>
          <w:color w:val="auto"/>
          <w:sz w:val="28"/>
          <w:szCs w:val="28"/>
        </w:rPr>
        <w:t>在施工时应当遵守安全生产要求，制订和采取可靠的安全防护措施，设立安全警示标志，乙方施工人员及机械设备安全均由乙方</w:t>
      </w:r>
      <w:r>
        <w:rPr>
          <w:rFonts w:hint="eastAsia" w:ascii="仿宋" w:hAnsi="仿宋" w:eastAsia="仿宋" w:cs="仿宋"/>
          <w:color w:val="000000" w:themeColor="text1"/>
          <w:sz w:val="28"/>
          <w:szCs w:val="28"/>
          <w14:textFill>
            <w14:solidFill>
              <w14:schemeClr w14:val="tx1"/>
            </w14:solidFill>
          </w14:textFill>
        </w:rPr>
        <w:t>负责。</w:t>
      </w:r>
    </w:p>
    <w:p>
      <w:pPr>
        <w:pStyle w:val="15"/>
        <w:adjustRightInd w:val="0"/>
        <w:snapToGrid w:val="0"/>
        <w:spacing w:line="520" w:lineRule="exact"/>
        <w:ind w:left="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8.2 乙方在履行本合同过程中发生的一切事故，给甲方、乙方（包括乙方指派履行本合同人员）或第三方的人身和财产损失，均由乙方负责处理并承担所有费用。</w:t>
      </w:r>
    </w:p>
    <w:p>
      <w:pPr>
        <w:spacing w:line="520" w:lineRule="exact"/>
        <w:ind w:firstLine="557" w:firstLineChars="198"/>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第九条 验收</w:t>
      </w:r>
    </w:p>
    <w:p>
      <w:pPr>
        <w:spacing w:line="520" w:lineRule="exact"/>
        <w:ind w:firstLine="554" w:firstLineChars="198"/>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9.1 </w:t>
      </w:r>
      <w:r>
        <w:rPr>
          <w:rFonts w:hint="eastAsia" w:ascii="仿宋" w:hAnsi="仿宋" w:eastAsia="仿宋" w:cs="仿宋"/>
          <w:bCs/>
          <w:color w:val="000000" w:themeColor="text1"/>
          <w:sz w:val="28"/>
          <w:szCs w:val="28"/>
          <w14:textFill>
            <w14:solidFill>
              <w14:schemeClr w14:val="tx1"/>
            </w14:solidFill>
          </w14:textFill>
        </w:rPr>
        <w:t>材料验收。乙方采购的材料、设备及构配件要符合节能、环保的相关标准和规范要求，并提供产品合格证和相关环保检测报告，经甲方相关人员验收合格后方可使用。如经甲方验收不合格，乙方应无条件予以更换，由此产生的费用由乙方承担。</w:t>
      </w:r>
    </w:p>
    <w:p>
      <w:pPr>
        <w:spacing w:line="520" w:lineRule="exact"/>
        <w:ind w:firstLine="554" w:firstLineChars="198"/>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9.2 隐蔽工程等验收。未经甲方批准，工程的任何部分都不能覆盖，当任何部分的隐蔽工程或达到中间验收部位已经具备检验条件时，乙方应在隐蔽工程或中间验收前12小时以书面形式通知甲方。甲方应参加对这部分工程的检查和验收，并且不得无故拖延。甲方在接到乙方通知12小时后没有回复，乙方可以覆盖这部分工程。验收不合格，乙方在甲方限定的时间内整改后重新验收，发生的费用由乙方承担。</w:t>
      </w:r>
    </w:p>
    <w:p>
      <w:pPr>
        <w:spacing w:line="5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9.3 完工验收：</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bCs/>
          <w:color w:val="000000" w:themeColor="text1"/>
          <w:sz w:val="28"/>
          <w:szCs w:val="28"/>
          <w14:textFill>
            <w14:solidFill>
              <w14:schemeClr w14:val="tx1"/>
            </w14:solidFill>
          </w14:textFill>
        </w:rPr>
        <w:t>9.3.1乙方每次完成甲方规定的维修改造任务时书面通知甲方</w:t>
      </w:r>
      <w:r>
        <w:rPr>
          <w:rFonts w:hint="eastAsia" w:ascii="仿宋" w:hAnsi="仿宋" w:eastAsia="仿宋" w:cs="仿宋"/>
          <w:color w:val="000000" w:themeColor="text1"/>
          <w:sz w:val="28"/>
          <w:szCs w:val="28"/>
          <w14:textFill>
            <w14:solidFill>
              <w14:schemeClr w14:val="tx1"/>
            </w14:solidFill>
          </w14:textFill>
        </w:rPr>
        <w:t>进行验收，</w:t>
      </w:r>
      <w:r>
        <w:rPr>
          <w:rFonts w:hint="eastAsia" w:ascii="仿宋" w:hAnsi="仿宋" w:eastAsia="仿宋" w:cs="仿宋"/>
          <w:color w:val="auto"/>
          <w:sz w:val="28"/>
          <w:szCs w:val="28"/>
        </w:rPr>
        <w:t>甲方收到乙方通知之日起</w:t>
      </w:r>
      <w:r>
        <w:rPr>
          <w:rFonts w:hint="eastAsia" w:ascii="仿宋" w:hAnsi="仿宋" w:eastAsia="仿宋" w:cs="仿宋"/>
          <w:color w:val="auto"/>
          <w:sz w:val="28"/>
          <w:szCs w:val="28"/>
          <w:u w:val="single"/>
        </w:rPr>
        <w:t xml:space="preserve"> 3 </w:t>
      </w:r>
      <w:r>
        <w:rPr>
          <w:rFonts w:hint="eastAsia" w:ascii="仿宋" w:hAnsi="仿宋" w:eastAsia="仿宋" w:cs="仿宋"/>
          <w:color w:val="auto"/>
          <w:sz w:val="28"/>
          <w:szCs w:val="28"/>
        </w:rPr>
        <w:t>个工作日内按本合同约定进行验收。甲方根据《建筑工程施工质量验收统一标准》和其它相关行业质量标准组织验收，工程项目须达到合格工程标准，包括维修后与原样一致而且完好、标准美观、施工过程是否有损坏医院其它财产、施工结束后及时将建筑垃圾清运干净等。</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9.3.2 如甲方验收合格，乙方将项目交付甲方使用。</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9.3.3 如甲方验收不合格（包括但不限于数量不足或有质量等问题），乙方应无条件返工（包括但不限于根据合同及甲方要求采取补足或更换等处理措施）直至验收合格为止，并承担由此发生的一切损失和费用。</w:t>
      </w:r>
    </w:p>
    <w:p>
      <w:pPr>
        <w:spacing w:line="520" w:lineRule="exact"/>
        <w:ind w:firstLine="557" w:firstLineChars="198"/>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第十条 质量保修服务</w:t>
      </w:r>
    </w:p>
    <w:p>
      <w:pPr>
        <w:spacing w:line="52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10.1 本合同约定项目的质量保修期为</w:t>
      </w:r>
      <w:r>
        <w:rPr>
          <w:rFonts w:hint="eastAsia" w:ascii="仿宋" w:hAnsi="仿宋" w:eastAsia="仿宋" w:cs="仿宋"/>
          <w:color w:val="000000" w:themeColor="text1"/>
          <w:sz w:val="28"/>
          <w:szCs w:val="28"/>
          <w:u w:val="single"/>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年，但防水防渗漏质量保修期为</w:t>
      </w:r>
      <w:r>
        <w:rPr>
          <w:rFonts w:hint="eastAsia" w:ascii="仿宋" w:hAnsi="仿宋" w:eastAsia="仿宋" w:cs="仿宋"/>
          <w:color w:val="000000" w:themeColor="text1"/>
          <w:sz w:val="28"/>
          <w:szCs w:val="28"/>
          <w:u w:val="single"/>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年，每次完工工程的质量保修期自甲方每次完工验收合格并交付甲方使用之日起开始计算。</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bCs/>
          <w:color w:val="000000" w:themeColor="text1"/>
          <w:sz w:val="28"/>
          <w:szCs w:val="28"/>
          <w14:textFill>
            <w14:solidFill>
              <w14:schemeClr w14:val="tx1"/>
            </w14:solidFill>
          </w14:textFill>
        </w:rPr>
        <w:t>10.2</w:t>
      </w:r>
      <w:r>
        <w:rPr>
          <w:rFonts w:hint="eastAsia" w:ascii="仿宋" w:hAnsi="仿宋" w:eastAsia="仿宋" w:cs="仿宋"/>
          <w:bCs/>
          <w:color w:val="auto"/>
          <w:sz w:val="28"/>
          <w:szCs w:val="28"/>
        </w:rPr>
        <w:t xml:space="preserve"> 如乙方维修工程在</w:t>
      </w:r>
      <w:r>
        <w:rPr>
          <w:rFonts w:hint="eastAsia" w:ascii="仿宋" w:hAnsi="仿宋" w:eastAsia="仿宋" w:cs="仿宋"/>
          <w:color w:val="auto"/>
          <w:sz w:val="28"/>
          <w:szCs w:val="28"/>
        </w:rPr>
        <w:t>质量保修期内出现质量问题，乙方应在接到甲方通知（包括电话通知）时起</w:t>
      </w:r>
      <w:r>
        <w:rPr>
          <w:rFonts w:hint="eastAsia" w:ascii="仿宋" w:hAnsi="仿宋" w:eastAsia="仿宋" w:cs="仿宋"/>
          <w:color w:val="auto"/>
          <w:sz w:val="28"/>
          <w:szCs w:val="28"/>
          <w:u w:val="single"/>
        </w:rPr>
        <w:t xml:space="preserve"> 60 </w:t>
      </w:r>
      <w:r>
        <w:rPr>
          <w:rFonts w:hint="eastAsia" w:ascii="仿宋" w:hAnsi="仿宋" w:eastAsia="仿宋" w:cs="仿宋"/>
          <w:color w:val="auto"/>
          <w:sz w:val="28"/>
          <w:szCs w:val="28"/>
        </w:rPr>
        <w:t>分钟内赶到现场进行维修或更换，相关费用由乙方承担。如乙方不及时履行保修义务，甲方有权委托第三方进行维修，由此产生的相关费用在乙方的质保金内予以扣除。</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10.3 乙方须指派</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）专门负责与甲方联系质量保修服务事宜，如人员发生变动，应及时通知甲方。</w:t>
      </w:r>
    </w:p>
    <w:p>
      <w:pPr>
        <w:spacing w:line="520" w:lineRule="exact"/>
        <w:ind w:firstLine="555"/>
        <w:jc w:val="left"/>
        <w:rPr>
          <w:rFonts w:ascii="仿宋" w:hAnsi="仿宋" w:eastAsia="仿宋" w:cs="仿宋"/>
          <w:b/>
          <w:bCs/>
          <w:color w:val="auto"/>
          <w:sz w:val="28"/>
          <w:szCs w:val="28"/>
        </w:rPr>
      </w:pPr>
      <w:r>
        <w:rPr>
          <w:rFonts w:hint="eastAsia" w:ascii="仿宋" w:hAnsi="仿宋" w:eastAsia="仿宋" w:cs="仿宋"/>
          <w:b/>
          <w:bCs/>
          <w:color w:val="auto"/>
          <w:sz w:val="28"/>
          <w:szCs w:val="28"/>
        </w:rPr>
        <w:t>第十一条 其他</w:t>
      </w:r>
    </w:p>
    <w:p>
      <w:pPr>
        <w:pStyle w:val="10"/>
        <w:adjustRightInd w:val="0"/>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 乙方必须加强施工的组织管理，严格遵照国家现行施工操作规程、施工规范、文明安全施工要求、甲方规章制度，确保施工人员在甲方管理人员监管之下高标准、高质量进行施工。</w:t>
      </w:r>
    </w:p>
    <w:p>
      <w:pPr>
        <w:pStyle w:val="10"/>
        <w:adjustRightInd w:val="0"/>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11.2 乙方施工人员必须持证上岗。如维修工作需要使用电焊和特种专业，乙方</w:t>
      </w:r>
      <w:r>
        <w:rPr>
          <w:rFonts w:hint="eastAsia" w:ascii="仿宋" w:hAnsi="仿宋" w:eastAsia="仿宋" w:cs="仿宋"/>
          <w:color w:val="auto"/>
          <w:sz w:val="28"/>
          <w:szCs w:val="28"/>
          <w:lang w:val="en-US" w:eastAsia="zh-CN"/>
        </w:rPr>
        <w:t>必须首先向甲方申报同意后</w:t>
      </w:r>
      <w:r>
        <w:rPr>
          <w:rFonts w:hint="eastAsia" w:ascii="仿宋" w:hAnsi="仿宋" w:eastAsia="仿宋" w:cs="仿宋"/>
          <w:color w:val="auto"/>
          <w:sz w:val="28"/>
          <w:szCs w:val="28"/>
        </w:rPr>
        <w:t>指派具有电焊、特种专业资质的施工人员进行规范操作。</w:t>
      </w:r>
    </w:p>
    <w:p>
      <w:pPr>
        <w:tabs>
          <w:tab w:val="left" w:pos="180"/>
        </w:tabs>
        <w:adjustRightInd w:val="0"/>
        <w:snapToGrid w:val="0"/>
        <w:spacing w:line="52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auto"/>
          <w:sz w:val="28"/>
          <w:szCs w:val="28"/>
        </w:rPr>
        <w:t>11.3 在施工过程中，如涉及到隐蔽和拆除方面的施工内容，乙方</w:t>
      </w:r>
      <w:r>
        <w:rPr>
          <w:rFonts w:hint="eastAsia" w:ascii="仿宋" w:hAnsi="仿宋" w:eastAsia="仿宋" w:cs="仿宋"/>
          <w:color w:val="000000" w:themeColor="text1"/>
          <w:sz w:val="28"/>
          <w:szCs w:val="28"/>
          <w14:textFill>
            <w14:solidFill>
              <w14:schemeClr w14:val="tx1"/>
            </w14:solidFill>
          </w14:textFill>
        </w:rPr>
        <w:t>应提前通知甲方，</w:t>
      </w:r>
      <w:r>
        <w:rPr>
          <w:rFonts w:hint="eastAsia" w:ascii="仿宋" w:hAnsi="仿宋" w:eastAsia="仿宋" w:cs="仿宋"/>
          <w:color w:val="000000" w:themeColor="text1"/>
          <w:kern w:val="0"/>
          <w:sz w:val="28"/>
          <w:szCs w:val="28"/>
          <w14:textFill>
            <w14:solidFill>
              <w14:schemeClr w14:val="tx1"/>
            </w14:solidFill>
          </w14:textFill>
        </w:rPr>
        <w:t>经甲方签字确认后再施工。如未按本合同约定提前通知，甲方不予办理签证，由此产生的费用由乙方自行承担。</w:t>
      </w: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11.4 在施工过程中产生的工农矛盾概由乙方负责并承担相应费用，甲方予以必要的协助。</w:t>
      </w:r>
    </w:p>
    <w:p>
      <w:pPr>
        <w:spacing w:line="520" w:lineRule="exact"/>
        <w:ind w:firstLine="555"/>
        <w:jc w:val="left"/>
        <w:rPr>
          <w:rFonts w:ascii="仿宋" w:hAnsi="仿宋" w:eastAsia="仿宋" w:cs="仿宋"/>
          <w:color w:val="auto"/>
          <w:sz w:val="28"/>
          <w:szCs w:val="28"/>
        </w:rPr>
      </w:pPr>
      <w:r>
        <w:rPr>
          <w:rFonts w:hint="eastAsia" w:ascii="仿宋" w:hAnsi="仿宋" w:eastAsia="仿宋" w:cs="仿宋"/>
          <w:color w:val="auto"/>
          <w:sz w:val="28"/>
          <w:szCs w:val="28"/>
        </w:rPr>
        <w:t>11.5 乙方施工时不得影响医院的正常运行，合理利用节假日、夜间施工。乙方应遵守医院的要求安全文明施工，施工完成后必须及时将现场清理干净，尤其建筑垃圾和建筑材料不能随地乱堆放，每天产生的建筑垃圾必须在第二天清理出院外，否则由乙方承担全部责任；建筑垃圾、土石方等外运运距按8km结算，建筑垃圾渣土弃置及占用费不另计。</w:t>
      </w:r>
    </w:p>
    <w:p>
      <w:pPr>
        <w:spacing w:line="52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11.6 乙方对自行采购的材料、设备、构配件及施工机具等承担保管责任，并负责运输、装卸、搬运、仓储和承担全部费用。</w:t>
      </w:r>
    </w:p>
    <w:p>
      <w:pPr>
        <w:spacing w:line="52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11.7 乙方在发生突发重大公共卫生事件和应急抢修、抢险时应该及时按照甲方要求提供施工服务，结算及付款方式参照本合同第七条规定，甲方不再额外支付其他费用（政策另有规定的除外）。</w:t>
      </w:r>
    </w:p>
    <w:p>
      <w:pPr>
        <w:pStyle w:val="15"/>
        <w:adjustRightInd w:val="0"/>
        <w:snapToGrid w:val="0"/>
        <w:spacing w:line="520" w:lineRule="exact"/>
        <w:ind w:left="1"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11.8 乙方应为参与履行本合同的施工人员缴纳工伤保险费、购买人身意外商业保险。</w:t>
      </w:r>
    </w:p>
    <w:p>
      <w:pPr>
        <w:pStyle w:val="15"/>
        <w:adjustRightInd w:val="0"/>
        <w:snapToGrid w:val="0"/>
        <w:spacing w:line="520" w:lineRule="exact"/>
        <w:ind w:left="1"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11.9 乙方承诺提供全年每日24小时服务，服从甲方安排和管理，对甲方提出的施工需求及时响应、随叫随到，在接到维修施工通知后迅速组织施工，按时完成设计、预算、维修施工（安装）等零星施工需求，绝对不以数量少等理由拒绝或拖延。乙方应当自接到甲方维修通知（包括电话通知）后30分钟内到达现场处理，应急维修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分钟内到达现场处理。</w:t>
      </w:r>
    </w:p>
    <w:p>
      <w:pPr>
        <w:pStyle w:val="15"/>
        <w:adjustRightInd w:val="0"/>
        <w:snapToGrid w:val="0"/>
        <w:spacing w:line="520" w:lineRule="exact"/>
        <w:ind w:left="1"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11.10 甲方指定现场管理人员为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pStyle w:val="15"/>
        <w:adjustRightInd w:val="0"/>
        <w:snapToGrid w:val="0"/>
        <w:spacing w:line="520" w:lineRule="exact"/>
        <w:ind w:left="1"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11.11 乙方指定现场管理人员为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pStyle w:val="15"/>
        <w:adjustRightInd w:val="0"/>
        <w:snapToGrid w:val="0"/>
        <w:spacing w:line="520" w:lineRule="exact"/>
        <w:ind w:left="1"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11.12 乙方</w:t>
      </w:r>
      <w:r>
        <w:rPr>
          <w:rFonts w:hint="eastAsia" w:ascii="仿宋" w:hAnsi="仿宋" w:eastAsia="仿宋" w:cs="仿宋"/>
          <w:color w:val="auto"/>
          <w:sz w:val="28"/>
          <w:szCs w:val="28"/>
          <w:lang w:val="en-US" w:eastAsia="zh-CN"/>
        </w:rPr>
        <w:t>在结算付款前</w:t>
      </w:r>
      <w:r>
        <w:rPr>
          <w:rFonts w:hint="eastAsia" w:ascii="仿宋" w:hAnsi="仿宋" w:eastAsia="仿宋" w:cs="仿宋"/>
          <w:color w:val="auto"/>
          <w:sz w:val="28"/>
          <w:szCs w:val="28"/>
        </w:rPr>
        <w:t>应配合甲方在“政府采购云平台”上完成直采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否则不予结算</w:t>
      </w:r>
      <w:r>
        <w:rPr>
          <w:rFonts w:hint="eastAsia" w:ascii="仿宋" w:hAnsi="仿宋" w:eastAsia="仿宋" w:cs="仿宋"/>
          <w:color w:val="auto"/>
          <w:sz w:val="28"/>
          <w:szCs w:val="28"/>
        </w:rPr>
        <w:t>。</w:t>
      </w:r>
    </w:p>
    <w:p>
      <w:pPr>
        <w:shd w:val="clear" w:color="auto" w:fill="FFFFFF"/>
        <w:spacing w:line="520" w:lineRule="exact"/>
        <w:ind w:firstLine="562" w:firstLineChars="200"/>
        <w:jc w:val="left"/>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第十二条 </w:t>
      </w:r>
      <w:r>
        <w:rPr>
          <w:rFonts w:hint="eastAsia" w:ascii="仿宋" w:hAnsi="仿宋" w:eastAsia="仿宋" w:cs="仿宋"/>
          <w:b/>
          <w:color w:val="000000" w:themeColor="text1"/>
          <w:kern w:val="0"/>
          <w:sz w:val="28"/>
          <w:szCs w:val="28"/>
          <w14:textFill>
            <w14:solidFill>
              <w14:schemeClr w14:val="tx1"/>
            </w14:solidFill>
          </w14:textFill>
        </w:rPr>
        <w:t xml:space="preserve">通知与送达 </w:t>
      </w:r>
    </w:p>
    <w:p>
      <w:pPr>
        <w:spacing w:line="520" w:lineRule="exact"/>
        <w:ind w:firstLine="560" w:firstLineChars="200"/>
        <w:jc w:val="left"/>
        <w:rPr>
          <w:rFonts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12.1 </w:t>
      </w:r>
      <w:r>
        <w:rPr>
          <w:rFonts w:hint="eastAsia" w:ascii="仿宋" w:hAnsi="仿宋" w:eastAsia="仿宋" w:cs="仿宋"/>
          <w:color w:val="000000" w:themeColor="text1"/>
          <w:sz w:val="28"/>
          <w:szCs w:val="28"/>
          <w:lang w:val="zh-CN"/>
          <w14:textFill>
            <w14:solidFill>
              <w14:schemeClr w14:val="tx1"/>
            </w14:solidFill>
          </w14:textFill>
        </w:rPr>
        <w:t>本合同任何一方给另一方的通知，都应以书面（包括手机短信、传真、特快专递、电子邮件等）形式发送，而另一方应以书面形式确认。</w:t>
      </w:r>
    </w:p>
    <w:p>
      <w:pPr>
        <w:spacing w:line="520" w:lineRule="exact"/>
        <w:ind w:firstLine="560" w:firstLineChars="200"/>
        <w:jc w:val="left"/>
        <w:rPr>
          <w:rFonts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12.2 </w:t>
      </w:r>
      <w:r>
        <w:rPr>
          <w:rFonts w:hint="eastAsia" w:ascii="仿宋" w:hAnsi="仿宋" w:eastAsia="仿宋" w:cs="仿宋"/>
          <w:color w:val="000000" w:themeColor="text1"/>
          <w:sz w:val="28"/>
          <w:szCs w:val="28"/>
          <w:lang w:val="zh-CN"/>
          <w14:textFill>
            <w14:solidFill>
              <w14:schemeClr w14:val="tx1"/>
            </w14:solidFill>
          </w14:textFill>
        </w:rPr>
        <w:t>双方确认的文书（包括法院或仲裁机构的法律文书）送达地址：</w:t>
      </w:r>
    </w:p>
    <w:p>
      <w:pPr>
        <w:spacing w:line="52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12.2.1 甲方的联系地址：</w:t>
      </w:r>
      <w:r>
        <w:rPr>
          <w:rFonts w:hint="eastAsia" w:ascii="仿宋" w:hAnsi="仿宋" w:eastAsia="仿宋" w:cs="仿宋"/>
          <w:color w:val="000000" w:themeColor="text1"/>
          <w:sz w:val="28"/>
          <w:szCs w:val="28"/>
          <w:u w:val="single"/>
          <w14:textFill>
            <w14:solidFill>
              <w14:schemeClr w14:val="tx1"/>
            </w14:solidFill>
          </w14:textFill>
        </w:rPr>
        <w:t>娄底市中心医院建设管理科</w:t>
      </w:r>
      <w:r>
        <w:rPr>
          <w:rFonts w:hint="eastAsia" w:ascii="仿宋" w:hAnsi="仿宋" w:eastAsia="仿宋" w:cs="仿宋"/>
          <w:color w:val="000000" w:themeColor="text1"/>
          <w:sz w:val="28"/>
          <w:szCs w:val="28"/>
          <w14:textFill>
            <w14:solidFill>
              <w14:schemeClr w14:val="tx1"/>
            </w14:solidFill>
          </w14:textFill>
        </w:rPr>
        <w:t>，收件人</w:t>
      </w:r>
      <w:r>
        <w:rPr>
          <w:rFonts w:hint="eastAsia" w:ascii="仿宋" w:hAnsi="仿宋" w:eastAsia="仿宋" w:cs="仿宋"/>
          <w:color w:val="000000" w:themeColor="text1"/>
          <w:sz w:val="28"/>
          <w:szCs w:val="28"/>
          <w:u w:val="single"/>
          <w14:textFill>
            <w14:solidFill>
              <w14:schemeClr w14:val="tx1"/>
            </w14:solidFill>
          </w14:textFill>
        </w:rPr>
        <w:t>聂东庚</w:t>
      </w:r>
      <w:r>
        <w:rPr>
          <w:rFonts w:hint="eastAsia" w:ascii="仿宋" w:hAnsi="仿宋" w:eastAsia="仿宋" w:cs="仿宋"/>
          <w:color w:val="000000" w:themeColor="text1"/>
          <w:sz w:val="28"/>
          <w:szCs w:val="28"/>
          <w14:textFill>
            <w14:solidFill>
              <w14:schemeClr w14:val="tx1"/>
            </w14:solidFill>
          </w14:textFill>
        </w:rPr>
        <w:t>，联系电话：</w:t>
      </w:r>
      <w:r>
        <w:rPr>
          <w:rFonts w:hint="eastAsia" w:ascii="仿宋" w:hAnsi="仿宋" w:eastAsia="仿宋" w:cs="仿宋"/>
          <w:color w:val="000000" w:themeColor="text1"/>
          <w:sz w:val="28"/>
          <w:szCs w:val="28"/>
          <w:u w:val="single"/>
          <w14:textFill>
            <w14:solidFill>
              <w14:schemeClr w14:val="tx1"/>
            </w14:solidFill>
          </w14:textFill>
        </w:rPr>
        <w:t>13873869596</w:t>
      </w:r>
      <w:r>
        <w:rPr>
          <w:rFonts w:hint="eastAsia" w:ascii="仿宋" w:hAnsi="仿宋" w:eastAsia="仿宋" w:cs="仿宋"/>
          <w:color w:val="000000" w:themeColor="text1"/>
          <w:sz w:val="28"/>
          <w:szCs w:val="28"/>
          <w14:textFill>
            <w14:solidFill>
              <w14:schemeClr w14:val="tx1"/>
            </w14:solidFill>
          </w14:textFill>
        </w:rPr>
        <w:t>。</w:t>
      </w:r>
    </w:p>
    <w:p>
      <w:pPr>
        <w:spacing w:line="52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12.2.2 乙方的联系地址：</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，收件人：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，联系电话：</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52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 一方在本合同中指定的联系地址、联系人员、联系方式等若发生变更，须及时以书面形式通知另一方，怠于通知的一方应当承担对其不利的法律后果。</w:t>
      </w:r>
    </w:p>
    <w:p>
      <w:pPr>
        <w:spacing w:line="520" w:lineRule="exact"/>
        <w:ind w:firstLine="57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 双方确认并保证其提供的上述联系方式可以有效送达相关通知等往来函件，任何一方通过上述联系方式向对方发出（包括通过快递公司成功投递）通知等往来函件3日后，不论是否收到（签收），均视为履行了通知义务。</w:t>
      </w:r>
    </w:p>
    <w:p>
      <w:pPr>
        <w:spacing w:line="52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第十三条  合同变更、解除</w:t>
      </w:r>
    </w:p>
    <w:p>
      <w:pPr>
        <w:spacing w:line="52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13.1 经甲乙双方协商一致可变更或解除本合同。</w:t>
      </w:r>
    </w:p>
    <w:p>
      <w:pPr>
        <w:spacing w:line="52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13.2 如乙方出现下列情形之一时，甲方可以单方解除合同：</w:t>
      </w:r>
    </w:p>
    <w:p>
      <w:pPr>
        <w:spacing w:line="520" w:lineRule="exact"/>
        <w:ind w:firstLine="560"/>
        <w:jc w:val="left"/>
        <w:rPr>
          <w:rFonts w:hint="eastAsia" w:ascii="仿宋" w:hAnsi="仿宋" w:eastAsia="仿宋" w:cs="仿宋"/>
          <w:color w:val="0000FF"/>
          <w:sz w:val="28"/>
          <w:szCs w:val="28"/>
          <w:lang w:eastAsia="zh-CN"/>
        </w:rPr>
      </w:pPr>
      <w:r>
        <w:rPr>
          <w:rFonts w:hint="eastAsia" w:ascii="仿宋" w:hAnsi="仿宋" w:eastAsia="仿宋" w:cs="仿宋"/>
          <w:color w:val="0000FF"/>
          <w:sz w:val="28"/>
          <w:szCs w:val="28"/>
        </w:rPr>
        <w:t xml:space="preserve">13.2.1 </w:t>
      </w:r>
      <w:r>
        <w:rPr>
          <w:rFonts w:hint="eastAsia" w:ascii="仿宋" w:hAnsi="仿宋" w:eastAsia="仿宋" w:cs="仿宋"/>
          <w:color w:val="0000FF"/>
          <w:sz w:val="28"/>
          <w:szCs w:val="28"/>
          <w:lang w:eastAsia="zh-CN"/>
        </w:rPr>
        <w:t>乙方拒绝参与每季度竞价，或竞价费率高于中选费率的。</w:t>
      </w:r>
    </w:p>
    <w:p>
      <w:pPr>
        <w:spacing w:line="52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13.2.2 </w:t>
      </w:r>
      <w:r>
        <w:rPr>
          <w:rFonts w:hint="eastAsia" w:ascii="仿宋" w:hAnsi="仿宋" w:eastAsia="仿宋" w:cs="仿宋"/>
          <w:color w:val="auto"/>
          <w:sz w:val="28"/>
          <w:szCs w:val="28"/>
        </w:rPr>
        <w:t>如乙方未按甲方规定时间完成零星维修改造任务累计达三次的。</w:t>
      </w:r>
    </w:p>
    <w:p>
      <w:pPr>
        <w:spacing w:line="52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13.2.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乙方完成的维修改造任务经验收不合格，经甲方提出拒不返工的。</w:t>
      </w:r>
    </w:p>
    <w:p>
      <w:pPr>
        <w:spacing w:line="52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13.2.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 乙方在应急维修任务中未按时到场处理累计达3次的。</w:t>
      </w:r>
    </w:p>
    <w:p>
      <w:pPr>
        <w:spacing w:line="52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13.2.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乙方未在本合同约定时间内完成并经甲方验收合格，逾期7天以上（包括本数）。</w:t>
      </w:r>
    </w:p>
    <w:p>
      <w:pPr>
        <w:spacing w:line="52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13.3 除本条约定情形外，任何一方不得单方解除本合同。</w:t>
      </w:r>
    </w:p>
    <w:p>
      <w:pPr>
        <w:spacing w:line="520" w:lineRule="exact"/>
        <w:ind w:firstLine="562" w:firstLineChars="200"/>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第十四条 </w:t>
      </w:r>
      <w:r>
        <w:rPr>
          <w:rFonts w:hint="eastAsia" w:ascii="仿宋" w:hAnsi="仿宋" w:eastAsia="仿宋" w:cs="仿宋"/>
          <w:b/>
          <w:color w:val="000000" w:themeColor="text1"/>
          <w:sz w:val="28"/>
          <w:szCs w:val="28"/>
          <w14:textFill>
            <w14:solidFill>
              <w14:schemeClr w14:val="tx1"/>
            </w14:solidFill>
          </w14:textFill>
        </w:rPr>
        <w:t>违约责任</w:t>
      </w:r>
    </w:p>
    <w:p>
      <w:pPr>
        <w:spacing w:line="52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14.1 如乙方因施工不当需返工造成的损失费用全部由乙方承担。</w:t>
      </w:r>
    </w:p>
    <w:p>
      <w:pPr>
        <w:spacing w:line="520" w:lineRule="exact"/>
        <w:ind w:firstLine="555"/>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auto"/>
          <w:sz w:val="28"/>
          <w:szCs w:val="28"/>
        </w:rPr>
        <w:t xml:space="preserve">14.2 </w:t>
      </w:r>
      <w:r>
        <w:rPr>
          <w:rFonts w:hint="eastAsia" w:ascii="仿宋" w:hAnsi="仿宋" w:eastAsia="仿宋" w:cs="仿宋"/>
          <w:color w:val="auto"/>
          <w:sz w:val="28"/>
          <w:szCs w:val="28"/>
        </w:rPr>
        <w:t>乙方不得以任何理由拒绝应急、抢险维修任务，否则每拖延4小时，扣减违约金500元/4小时，以甲方书面、微信、电话通知开始计算。</w:t>
      </w:r>
      <w:r>
        <w:rPr>
          <w:rFonts w:hint="eastAsia" w:ascii="仿宋" w:hAnsi="仿宋" w:eastAsia="仿宋" w:cs="仿宋"/>
          <w:bCs/>
          <w:color w:val="auto"/>
          <w:sz w:val="28"/>
          <w:szCs w:val="28"/>
        </w:rPr>
        <w:t>如乙方</w:t>
      </w:r>
      <w:r>
        <w:rPr>
          <w:rFonts w:hint="eastAsia" w:ascii="仿宋" w:hAnsi="仿宋" w:eastAsia="仿宋" w:cs="仿宋"/>
          <w:color w:val="auto"/>
          <w:sz w:val="28"/>
          <w:szCs w:val="28"/>
        </w:rPr>
        <w:t>日常常规维修中</w:t>
      </w:r>
      <w:r>
        <w:rPr>
          <w:rFonts w:hint="eastAsia" w:ascii="仿宋" w:hAnsi="仿宋" w:eastAsia="仿宋" w:cs="仿宋"/>
          <w:bCs/>
          <w:color w:val="auto"/>
          <w:sz w:val="28"/>
          <w:szCs w:val="28"/>
        </w:rPr>
        <w:t>未在甲方规定时间内完</w:t>
      </w:r>
      <w:r>
        <w:rPr>
          <w:rFonts w:hint="eastAsia" w:ascii="仿宋" w:hAnsi="仿宋" w:eastAsia="仿宋" w:cs="仿宋"/>
          <w:bCs/>
          <w:color w:val="000000" w:themeColor="text1"/>
          <w:sz w:val="28"/>
          <w:szCs w:val="28"/>
          <w14:textFill>
            <w14:solidFill>
              <w14:schemeClr w14:val="tx1"/>
            </w14:solidFill>
          </w14:textFill>
        </w:rPr>
        <w:t>成施工任务，每逾期</w:t>
      </w:r>
      <w:r>
        <w:rPr>
          <w:rFonts w:hint="eastAsia" w:ascii="仿宋" w:hAnsi="仿宋" w:eastAsia="仿宋" w:cs="仿宋"/>
          <w:bCs/>
          <w:color w:val="auto"/>
          <w:sz w:val="28"/>
          <w:szCs w:val="28"/>
        </w:rPr>
        <w:t>一日须向甲</w:t>
      </w:r>
      <w:r>
        <w:rPr>
          <w:rFonts w:hint="eastAsia" w:ascii="仿宋" w:hAnsi="仿宋" w:eastAsia="仿宋" w:cs="仿宋"/>
          <w:bCs/>
          <w:color w:val="000000" w:themeColor="text1"/>
          <w:sz w:val="28"/>
          <w:szCs w:val="28"/>
          <w14:textFill>
            <w14:solidFill>
              <w14:schemeClr w14:val="tx1"/>
            </w14:solidFill>
          </w14:textFill>
        </w:rPr>
        <w:t>方支付违约金</w:t>
      </w:r>
      <w:r>
        <w:rPr>
          <w:rFonts w:hint="eastAsia" w:ascii="仿宋" w:hAnsi="仿宋" w:eastAsia="仿宋" w:cs="仿宋"/>
          <w:bCs/>
          <w:color w:val="000000" w:themeColor="text1"/>
          <w:sz w:val="28"/>
          <w:szCs w:val="28"/>
          <w:u w:val="single"/>
          <w14:textFill>
            <w14:solidFill>
              <w14:schemeClr w14:val="tx1"/>
            </w14:solidFill>
          </w14:textFill>
        </w:rPr>
        <w:t>200</w:t>
      </w:r>
      <w:r>
        <w:rPr>
          <w:rFonts w:hint="eastAsia" w:ascii="仿宋" w:hAnsi="仿宋" w:eastAsia="仿宋" w:cs="仿宋"/>
          <w:bCs/>
          <w:color w:val="000000" w:themeColor="text1"/>
          <w:sz w:val="28"/>
          <w:szCs w:val="28"/>
          <w14:textFill>
            <w14:solidFill>
              <w14:schemeClr w14:val="tx1"/>
            </w14:solidFill>
          </w14:textFill>
        </w:rPr>
        <w:t>元。</w:t>
      </w:r>
    </w:p>
    <w:p>
      <w:pPr>
        <w:spacing w:line="52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14.3 如乙方未及时将施工现场清理干净，由此产生的法律责任和造成的损失均由乙方承担。</w:t>
      </w:r>
    </w:p>
    <w:p>
      <w:pPr>
        <w:spacing w:line="520" w:lineRule="exact"/>
        <w:ind w:firstLine="555"/>
        <w:jc w:val="left"/>
        <w:rPr>
          <w:rFonts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14:textFill>
            <w14:solidFill>
              <w14:schemeClr w14:val="tx1"/>
            </w14:solidFill>
          </w14:textFill>
        </w:rPr>
        <w:t xml:space="preserve">14.4 </w:t>
      </w:r>
      <w:r>
        <w:rPr>
          <w:rFonts w:hint="eastAsia" w:ascii="仿宋" w:hAnsi="仿宋" w:eastAsia="仿宋" w:cs="仿宋"/>
          <w:b/>
          <w:bCs w:val="0"/>
          <w:color w:val="000000" w:themeColor="text1"/>
          <w:sz w:val="28"/>
          <w:szCs w:val="28"/>
          <w:lang w:eastAsia="zh-CN"/>
          <w14:textFill>
            <w14:solidFill>
              <w14:schemeClr w14:val="tx1"/>
            </w14:solidFill>
          </w14:textFill>
        </w:rPr>
        <w:t>如因本合同</w:t>
      </w:r>
      <w:r>
        <w:rPr>
          <w:rFonts w:hint="eastAsia" w:ascii="仿宋" w:hAnsi="仿宋" w:eastAsia="仿宋" w:cs="仿宋"/>
          <w:b/>
          <w:bCs w:val="0"/>
          <w:color w:val="0000FF"/>
          <w:sz w:val="28"/>
          <w:szCs w:val="28"/>
        </w:rPr>
        <w:t>13.2.1</w:t>
      </w:r>
      <w:r>
        <w:rPr>
          <w:rFonts w:hint="eastAsia" w:ascii="仿宋" w:hAnsi="仿宋" w:eastAsia="仿宋" w:cs="仿宋"/>
          <w:b/>
          <w:bCs w:val="0"/>
          <w:color w:val="0000FF"/>
          <w:sz w:val="28"/>
          <w:szCs w:val="28"/>
          <w:lang w:eastAsia="zh-CN"/>
        </w:rPr>
        <w:t>情形导致甲方单方解除本合同，</w:t>
      </w:r>
      <w:r>
        <w:rPr>
          <w:rFonts w:hint="eastAsia" w:ascii="仿宋" w:hAnsi="仿宋" w:eastAsia="仿宋" w:cs="仿宋"/>
          <w:b/>
          <w:bCs w:val="0"/>
          <w:color w:val="000000" w:themeColor="text1"/>
          <w:sz w:val="28"/>
          <w:szCs w:val="28"/>
          <w14:textFill>
            <w14:solidFill>
              <w14:schemeClr w14:val="tx1"/>
            </w14:solidFill>
          </w14:textFill>
        </w:rPr>
        <w:t>乙方除赔偿甲方由此造成的损失外，还应向甲方支付违约金</w:t>
      </w:r>
      <w:r>
        <w:rPr>
          <w:rFonts w:hint="eastAsia" w:ascii="仿宋" w:hAnsi="仿宋" w:eastAsia="仿宋" w:cs="仿宋"/>
          <w:b/>
          <w:bCs w:val="0"/>
          <w:color w:val="000000" w:themeColor="text1"/>
          <w:sz w:val="28"/>
          <w:szCs w:val="28"/>
          <w:u w:val="single"/>
          <w:lang w:val="en-US" w:eastAsia="zh-CN"/>
          <w14:textFill>
            <w14:solidFill>
              <w14:schemeClr w14:val="tx1"/>
            </w14:solidFill>
          </w14:textFill>
        </w:rPr>
        <w:t>800000.00</w:t>
      </w:r>
      <w:r>
        <w:rPr>
          <w:rFonts w:hint="eastAsia" w:ascii="仿宋" w:hAnsi="仿宋" w:eastAsia="仿宋" w:cs="仿宋"/>
          <w:b/>
          <w:bCs w:val="0"/>
          <w:color w:val="000000" w:themeColor="text1"/>
          <w:sz w:val="28"/>
          <w:szCs w:val="28"/>
          <w14:textFill>
            <w14:solidFill>
              <w14:schemeClr w14:val="tx1"/>
            </w14:solidFill>
          </w14:textFill>
        </w:rPr>
        <w:t>元。</w:t>
      </w:r>
    </w:p>
    <w:p>
      <w:pPr>
        <w:spacing w:line="520" w:lineRule="exact"/>
        <w:ind w:firstLine="555"/>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14.5 </w:t>
      </w:r>
      <w:r>
        <w:rPr>
          <w:rFonts w:hint="eastAsia" w:ascii="仿宋" w:hAnsi="仿宋" w:eastAsia="仿宋" w:cs="仿宋"/>
          <w:bCs/>
          <w:color w:val="000000" w:themeColor="text1"/>
          <w:sz w:val="28"/>
          <w:szCs w:val="28"/>
          <w14:textFill>
            <w14:solidFill>
              <w14:schemeClr w14:val="tx1"/>
            </w14:solidFill>
          </w14:textFill>
        </w:rPr>
        <w:t>如因</w:t>
      </w:r>
      <w:r>
        <w:rPr>
          <w:rFonts w:hint="eastAsia" w:ascii="仿宋" w:hAnsi="仿宋" w:eastAsia="仿宋" w:cs="仿宋"/>
          <w:bCs/>
          <w:color w:val="000000" w:themeColor="text1"/>
          <w:sz w:val="28"/>
          <w:szCs w:val="28"/>
          <w:lang w:eastAsia="zh-CN"/>
          <w14:textFill>
            <w14:solidFill>
              <w14:schemeClr w14:val="tx1"/>
            </w14:solidFill>
          </w14:textFill>
        </w:rPr>
        <w:t>乙方</w:t>
      </w:r>
      <w:r>
        <w:rPr>
          <w:rFonts w:hint="eastAsia" w:ascii="仿宋" w:hAnsi="仿宋" w:eastAsia="仿宋" w:cs="仿宋"/>
          <w:bCs/>
          <w:color w:val="000000" w:themeColor="text1"/>
          <w:sz w:val="28"/>
          <w:szCs w:val="28"/>
          <w14:textFill>
            <w14:solidFill>
              <w14:schemeClr w14:val="tx1"/>
            </w14:solidFill>
          </w14:textFill>
        </w:rPr>
        <w:t>原因</w:t>
      </w:r>
      <w:r>
        <w:rPr>
          <w:rFonts w:hint="eastAsia" w:ascii="仿宋" w:hAnsi="仿宋" w:eastAsia="仿宋" w:cs="仿宋"/>
          <w:bCs/>
          <w:color w:val="0000FF"/>
          <w:sz w:val="28"/>
          <w:szCs w:val="28"/>
          <w:lang w:eastAsia="zh-CN"/>
        </w:rPr>
        <w:t>（</w:t>
      </w:r>
      <w:r>
        <w:rPr>
          <w:rFonts w:hint="eastAsia" w:ascii="仿宋" w:hAnsi="仿宋" w:eastAsia="仿宋" w:cs="仿宋"/>
          <w:bCs/>
          <w:color w:val="0000FF"/>
          <w:sz w:val="28"/>
          <w:szCs w:val="28"/>
          <w:lang w:val="en-US" w:eastAsia="zh-CN"/>
        </w:rPr>
        <w:t>13.2.1情形除外</w:t>
      </w:r>
      <w:r>
        <w:rPr>
          <w:rFonts w:hint="eastAsia" w:ascii="仿宋" w:hAnsi="仿宋" w:eastAsia="仿宋" w:cs="仿宋"/>
          <w:bCs/>
          <w:color w:val="0000FF"/>
          <w:sz w:val="28"/>
          <w:szCs w:val="28"/>
          <w:lang w:eastAsia="zh-CN"/>
        </w:rPr>
        <w:t>）</w:t>
      </w:r>
      <w:r>
        <w:rPr>
          <w:rFonts w:hint="eastAsia" w:ascii="仿宋" w:hAnsi="仿宋" w:eastAsia="仿宋" w:cs="仿宋"/>
          <w:bCs/>
          <w:color w:val="000000" w:themeColor="text1"/>
          <w:sz w:val="28"/>
          <w:szCs w:val="28"/>
          <w14:textFill>
            <w14:solidFill>
              <w14:schemeClr w14:val="tx1"/>
            </w14:solidFill>
          </w14:textFill>
        </w:rPr>
        <w:t>导致甲方单方解除本合同，乙方除赔偿甲方由此造成的损失外，还应向甲方支付违约金</w:t>
      </w:r>
      <w:r>
        <w:rPr>
          <w:rFonts w:hint="eastAsia" w:ascii="仿宋" w:hAnsi="仿宋" w:eastAsia="仿宋" w:cs="仿宋"/>
          <w:bCs/>
          <w:color w:val="000000" w:themeColor="text1"/>
          <w:sz w:val="28"/>
          <w:szCs w:val="28"/>
          <w:u w:val="single"/>
          <w14:textFill>
            <w14:solidFill>
              <w14:schemeClr w14:val="tx1"/>
            </w14:solidFill>
          </w14:textFill>
        </w:rPr>
        <w:t>20000</w:t>
      </w:r>
      <w:r>
        <w:rPr>
          <w:rFonts w:hint="eastAsia" w:ascii="仿宋" w:hAnsi="仿宋" w:eastAsia="仿宋" w:cs="仿宋"/>
          <w:bCs/>
          <w:color w:val="000000" w:themeColor="text1"/>
          <w:sz w:val="28"/>
          <w:szCs w:val="28"/>
          <w:u w:val="single"/>
          <w:lang w:val="en-US" w:eastAsia="zh-CN"/>
          <w14:textFill>
            <w14:solidFill>
              <w14:schemeClr w14:val="tx1"/>
            </w14:solidFill>
          </w14:textFill>
        </w:rPr>
        <w:t>.00</w:t>
      </w:r>
      <w:r>
        <w:rPr>
          <w:rFonts w:hint="eastAsia" w:ascii="仿宋" w:hAnsi="仿宋" w:eastAsia="仿宋" w:cs="仿宋"/>
          <w:bCs/>
          <w:color w:val="000000" w:themeColor="text1"/>
          <w:sz w:val="28"/>
          <w:szCs w:val="28"/>
          <w14:textFill>
            <w14:solidFill>
              <w14:schemeClr w14:val="tx1"/>
            </w14:solidFill>
          </w14:textFill>
        </w:rPr>
        <w:t>元。</w:t>
      </w:r>
    </w:p>
    <w:p>
      <w:pPr>
        <w:spacing w:line="520" w:lineRule="exact"/>
        <w:ind w:firstLine="555"/>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第十五条 争议解决方式</w:t>
      </w: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如双方在履行本合同过程中发生一切争议，任何一方均可向甲方所在地人民法院提起诉讼。</w:t>
      </w:r>
    </w:p>
    <w:p>
      <w:pPr>
        <w:spacing w:line="520" w:lineRule="exact"/>
        <w:ind w:firstLine="555"/>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第十六条 附则</w:t>
      </w:r>
    </w:p>
    <w:p>
      <w:pPr>
        <w:spacing w:line="520" w:lineRule="exact"/>
        <w:ind w:firstLine="57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16.1 甲、乙双方确认的工程量清单、工程量签证单、竣工图、每次结算的审计结论等作为本合同附件。</w:t>
      </w:r>
    </w:p>
    <w:p>
      <w:pPr>
        <w:spacing w:line="520" w:lineRule="exact"/>
        <w:ind w:firstLine="570"/>
        <w:jc w:val="left"/>
        <w:rPr>
          <w:rFonts w:ascii="仿宋" w:hAnsi="仿宋" w:eastAsia="仿宋" w:cs="仿宋"/>
          <w:color w:val="auto"/>
          <w:sz w:val="28"/>
          <w:szCs w:val="28"/>
        </w:rPr>
      </w:pPr>
      <w:r>
        <w:rPr>
          <w:rFonts w:hint="eastAsia" w:ascii="仿宋" w:hAnsi="仿宋" w:eastAsia="仿宋" w:cs="仿宋"/>
          <w:color w:val="auto"/>
          <w:sz w:val="28"/>
          <w:szCs w:val="28"/>
        </w:rPr>
        <w:t>16.2 本合同组成文件及解释顺序：</w:t>
      </w:r>
      <w:r>
        <w:rPr>
          <w:rFonts w:hint="eastAsia" w:ascii="仿宋" w:hAnsi="仿宋" w:eastAsia="仿宋" w:cs="仿宋"/>
          <w:color w:val="0000FF"/>
          <w:sz w:val="28"/>
          <w:szCs w:val="28"/>
        </w:rPr>
        <w:t>乙方</w:t>
      </w:r>
      <w:r>
        <w:rPr>
          <w:rFonts w:hint="eastAsia" w:ascii="仿宋" w:hAnsi="仿宋" w:eastAsia="仿宋" w:cs="仿宋"/>
          <w:color w:val="0000FF"/>
          <w:sz w:val="28"/>
          <w:szCs w:val="28"/>
          <w:lang w:eastAsia="zh-CN"/>
        </w:rPr>
        <w:t>每季度竞价文件、</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在履行本合同中作出的承诺；本合同补充协议；本合同及附件；成交公告、采购需求、响应文件；其他与本合同有关的资料。</w:t>
      </w:r>
    </w:p>
    <w:p>
      <w:pPr>
        <w:spacing w:line="520" w:lineRule="exact"/>
        <w:ind w:firstLine="57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16.3 本合同一式十</w:t>
      </w: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份，甲方</w:t>
      </w:r>
      <w:r>
        <w:rPr>
          <w:rFonts w:hint="eastAsia" w:ascii="仿宋" w:hAnsi="仿宋" w:eastAsia="仿宋" w:cs="仿宋"/>
          <w:color w:val="000000" w:themeColor="text1"/>
          <w:sz w:val="28"/>
          <w:szCs w:val="28"/>
          <w:lang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份、乙方</w:t>
      </w:r>
      <w:r>
        <w:rPr>
          <w:rFonts w:hint="eastAsia" w:ascii="仿宋" w:hAnsi="仿宋" w:eastAsia="仿宋" w:cs="仿宋"/>
          <w:color w:val="000000" w:themeColor="text1"/>
          <w:sz w:val="28"/>
          <w:szCs w:val="28"/>
          <w:lang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份，自双方签字盖章</w:t>
      </w:r>
      <w:r>
        <w:rPr>
          <w:rFonts w:hint="eastAsia" w:ascii="仿宋" w:hAnsi="仿宋" w:eastAsia="仿宋" w:cs="仿宋"/>
          <w:color w:val="FF0000"/>
          <w:sz w:val="28"/>
          <w:szCs w:val="28"/>
        </w:rPr>
        <w:t>后</w:t>
      </w:r>
      <w:r>
        <w:rPr>
          <w:rFonts w:hint="eastAsia" w:ascii="仿宋" w:hAnsi="仿宋" w:eastAsia="仿宋" w:cs="仿宋"/>
          <w:color w:val="000000" w:themeColor="text1"/>
          <w:sz w:val="28"/>
          <w:szCs w:val="28"/>
          <w14:textFill>
            <w14:solidFill>
              <w14:schemeClr w14:val="tx1"/>
            </w14:solidFill>
          </w14:textFill>
        </w:rPr>
        <w:t>生效。</w:t>
      </w: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乙方（盖章）：  </w:t>
      </w: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                  法定代表人或</w:t>
      </w:r>
    </w:p>
    <w:p>
      <w:pPr>
        <w:spacing w:line="520" w:lineRule="exact"/>
        <w:jc w:val="left"/>
        <w:rPr>
          <w:rFonts w:ascii="仿宋" w:hAnsi="仿宋" w:eastAsia="仿宋" w:cs="仿宋"/>
          <w:color w:val="000000" w:themeColor="text1"/>
          <w:sz w:val="28"/>
          <w:szCs w:val="28"/>
          <w14:textFill>
            <w14:solidFill>
              <w14:schemeClr w14:val="tx1"/>
            </w14:solidFill>
          </w14:textFill>
        </w:rPr>
      </w:pPr>
    </w:p>
    <w:p>
      <w:pPr>
        <w:spacing w:line="520" w:lineRule="exact"/>
        <w:ind w:firstLine="555"/>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委托代理人（签字）：           委托代理人（签字）：                                                                         </w:t>
      </w:r>
    </w:p>
    <w:p>
      <w:pPr>
        <w:spacing w:line="520" w:lineRule="exact"/>
        <w:jc w:val="left"/>
        <w:rPr>
          <w:rFonts w:ascii="仿宋" w:hAnsi="仿宋" w:eastAsia="仿宋" w:cs="仿宋"/>
          <w:color w:val="000000" w:themeColor="text1"/>
          <w:sz w:val="28"/>
          <w:szCs w:val="28"/>
          <w14:textFill>
            <w14:solidFill>
              <w14:schemeClr w14:val="tx1"/>
            </w14:solidFill>
          </w14:textFill>
        </w:rPr>
      </w:pPr>
    </w:p>
    <w:p>
      <w:pPr>
        <w:spacing w:line="520" w:lineRule="exact"/>
        <w:jc w:val="left"/>
        <w:rPr>
          <w:rFonts w:ascii="仿宋" w:hAnsi="仿宋" w:eastAsia="仿宋" w:cs="仿宋"/>
          <w:color w:val="000000" w:themeColor="text1"/>
          <w:sz w:val="28"/>
          <w:szCs w:val="28"/>
          <w14:textFill>
            <w14:solidFill>
              <w14:schemeClr w14:val="tx1"/>
            </w14:solidFill>
          </w14:textFill>
        </w:rPr>
      </w:pPr>
    </w:p>
    <w:p>
      <w:pPr>
        <w:spacing w:line="52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合同签订地、履行地：</w:t>
      </w:r>
      <w:r>
        <w:rPr>
          <w:rFonts w:hint="eastAsia" w:ascii="仿宋_GB2312" w:eastAsia="仿宋_GB2312"/>
          <w:sz w:val="28"/>
          <w:szCs w:val="28"/>
        </w:rPr>
        <w:t>娄底市娄星区</w:t>
      </w:r>
      <w:r>
        <w:rPr>
          <w:rFonts w:hint="eastAsia" w:ascii="仿宋" w:hAnsi="仿宋" w:eastAsia="仿宋" w:cs="仿宋"/>
          <w:color w:val="000000" w:themeColor="text1"/>
          <w:sz w:val="28"/>
          <w:szCs w:val="28"/>
          <w14:textFill>
            <w14:solidFill>
              <w14:schemeClr w14:val="tx1"/>
            </w14:solidFill>
          </w14:textFill>
        </w:rPr>
        <w:t xml:space="preserve">  签订时间：      年   月  日</w:t>
      </w:r>
    </w:p>
    <w:p>
      <w:pPr>
        <w:rPr>
          <w:rFonts w:ascii="宋体" w:hAnsi="宋体" w:cs="宋体"/>
          <w:sz w:val="44"/>
          <w:szCs w:val="44"/>
        </w:rPr>
      </w:pPr>
      <w:r>
        <w:rPr>
          <w:rFonts w:hint="eastAsia" w:ascii="宋体" w:hAnsi="宋体" w:cs="宋体"/>
          <w:sz w:val="44"/>
          <w:szCs w:val="44"/>
        </w:rPr>
        <w:br w:type="page"/>
      </w:r>
    </w:p>
    <w:p>
      <w:pPr>
        <w:pStyle w:val="8"/>
        <w:rPr>
          <w:rFonts w:ascii="宋体" w:hAnsi="宋体" w:cs="宋体"/>
          <w:sz w:val="44"/>
          <w:szCs w:val="44"/>
        </w:rPr>
      </w:pPr>
    </w:p>
    <w:p>
      <w:pPr>
        <w:pStyle w:val="2"/>
        <w:adjustRightInd w:val="0"/>
        <w:snapToGrid w:val="0"/>
        <w:jc w:val="center"/>
        <w:rPr>
          <w:rStyle w:val="24"/>
          <w:b w:val="0"/>
          <w:kern w:val="2"/>
        </w:rPr>
      </w:pPr>
      <w:r>
        <w:rPr>
          <w:rFonts w:hint="eastAsia" w:ascii="宋体" w:hAnsi="宋体" w:cs="宋体"/>
          <w:szCs w:val="44"/>
        </w:rPr>
        <w:t>第三章</w:t>
      </w:r>
      <w:bookmarkStart w:id="3" w:name="_Toc16523573"/>
      <w:r>
        <w:rPr>
          <w:rFonts w:hint="eastAsia" w:ascii="宋体" w:hAnsi="宋体" w:cs="宋体"/>
          <w:szCs w:val="44"/>
        </w:rPr>
        <w:t>评标方法及标准</w:t>
      </w:r>
      <w:bookmarkEnd w:id="3"/>
    </w:p>
    <w:p>
      <w:pPr>
        <w:pStyle w:val="2"/>
        <w:adjustRightInd w:val="0"/>
        <w:snapToGrid w:val="0"/>
        <w:jc w:val="center"/>
        <w:rPr>
          <w:rFonts w:ascii="黑体" w:hAnsi="华文中宋" w:eastAsia="黑体"/>
          <w:sz w:val="28"/>
          <w:szCs w:val="28"/>
        </w:rPr>
      </w:pPr>
      <w:r>
        <w:rPr>
          <w:rFonts w:hint="eastAsia" w:ascii="黑体" w:hAnsi="华文中宋" w:eastAsia="黑体"/>
          <w:sz w:val="28"/>
          <w:szCs w:val="28"/>
        </w:rPr>
        <w:t>投标文件的比较与评价（综合评分法）</w:t>
      </w:r>
    </w:p>
    <w:p>
      <w:pPr>
        <w:widowControl/>
        <w:adjustRightInd w:val="0"/>
        <w:snapToGrid w:val="0"/>
        <w:spacing w:before="156" w:beforeLines="50" w:line="360" w:lineRule="auto"/>
        <w:jc w:val="left"/>
        <w:rPr>
          <w:rFonts w:ascii="黑体" w:hAnsi="黑体" w:eastAsia="黑体"/>
          <w:b/>
          <w:color w:val="000000"/>
          <w:sz w:val="24"/>
        </w:rPr>
      </w:pPr>
      <w:r>
        <w:rPr>
          <w:rFonts w:hint="eastAsia" w:ascii="黑体" w:hAnsi="黑体" w:eastAsia="黑体"/>
          <w:b/>
          <w:color w:val="000000"/>
          <w:sz w:val="24"/>
        </w:rPr>
        <w:t>1.</w:t>
      </w:r>
      <w:r>
        <w:rPr>
          <w:rFonts w:hint="eastAsia"/>
          <w:color w:val="000000"/>
        </w:rPr>
        <w:t xml:space="preserve"> </w:t>
      </w:r>
      <w:r>
        <w:rPr>
          <w:rFonts w:hint="eastAsia" w:ascii="黑体" w:hAnsi="黑体" w:eastAsia="黑体"/>
          <w:b/>
          <w:color w:val="000000"/>
          <w:sz w:val="24"/>
        </w:rPr>
        <w:t>综合评分法</w:t>
      </w:r>
    </w:p>
    <w:p>
      <w:pPr>
        <w:adjustRightInd w:val="0"/>
        <w:snapToGrid w:val="0"/>
        <w:spacing w:before="156" w:beforeLines="50" w:line="360" w:lineRule="auto"/>
        <w:ind w:firstLine="420" w:firstLineChars="200"/>
        <w:jc w:val="left"/>
        <w:rPr>
          <w:rFonts w:ascii="宋体" w:hAnsi="宋体"/>
          <w:bCs/>
          <w:color w:val="000000"/>
          <w:szCs w:val="21"/>
        </w:rPr>
      </w:pPr>
      <w:r>
        <w:rPr>
          <w:rFonts w:hint="eastAsia" w:ascii="宋体" w:hAnsi="宋体"/>
          <w:bCs/>
          <w:color w:val="000000"/>
          <w:szCs w:val="21"/>
        </w:rPr>
        <w:t>1.1综合评分法，指投标文件满足招标文件全部实质性要求，且按照评审因素的量化指标评审得分最高的投标人为中标候选人的评标方法。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ascii="宋体" w:hAnsi="宋体"/>
          <w:bCs/>
          <w:color w:val="000000"/>
          <w:szCs w:val="21"/>
        </w:rPr>
      </w:pPr>
      <w:r>
        <w:rPr>
          <w:rFonts w:hint="eastAsia" w:ascii="宋体" w:hAnsi="宋体"/>
          <w:bCs/>
          <w:color w:val="000000"/>
          <w:szCs w:val="21"/>
        </w:rPr>
        <w:t>1.2评标因素：评审因素的设定应当与投标人所提供货物服务的质量相关，包括投标报价、技术或者服务水平、履约能力、售后服务等，但不包括投标人的资格要求。</w:t>
      </w:r>
    </w:p>
    <w:p>
      <w:pPr>
        <w:adjustRightInd w:val="0"/>
        <w:snapToGrid w:val="0"/>
        <w:spacing w:before="156" w:beforeLines="50" w:line="360" w:lineRule="auto"/>
        <w:ind w:firstLine="420" w:firstLineChars="200"/>
        <w:jc w:val="left"/>
        <w:rPr>
          <w:rFonts w:ascii="宋体" w:hAnsi="宋体"/>
          <w:bCs/>
          <w:color w:val="000000"/>
          <w:szCs w:val="21"/>
        </w:rPr>
      </w:pPr>
      <w:r>
        <w:rPr>
          <w:rFonts w:hint="eastAsia" w:ascii="宋体" w:hAnsi="宋体"/>
          <w:bCs/>
          <w:color w:val="000000"/>
          <w:szCs w:val="21"/>
        </w:rPr>
        <w:t>1.3未通过符合性审查的投标文件不得进入比较与评价。</w:t>
      </w:r>
    </w:p>
    <w:p>
      <w:pPr>
        <w:adjustRightInd w:val="0"/>
        <w:snapToGrid w:val="0"/>
        <w:spacing w:before="156" w:beforeLines="50" w:line="360" w:lineRule="auto"/>
        <w:jc w:val="left"/>
        <w:rPr>
          <w:rFonts w:ascii="黑体" w:hAnsi="黑体" w:eastAsia="黑体"/>
          <w:b/>
          <w:bCs/>
          <w:sz w:val="24"/>
        </w:rPr>
      </w:pPr>
      <w:r>
        <w:rPr>
          <w:rFonts w:hint="eastAsia" w:ascii="黑体" w:hAnsi="黑体" w:eastAsia="黑体"/>
          <w:b/>
          <w:bCs/>
          <w:sz w:val="24"/>
          <w:lang w:val="en-US" w:eastAsia="zh-CN"/>
        </w:rPr>
        <w:t>2</w:t>
      </w:r>
      <w:r>
        <w:rPr>
          <w:rFonts w:hint="eastAsia" w:ascii="黑体" w:hAnsi="黑体" w:eastAsia="黑体"/>
          <w:b/>
          <w:bCs/>
          <w:sz w:val="24"/>
        </w:rPr>
        <w:t>.</w:t>
      </w:r>
      <w:r>
        <w:rPr>
          <w:rFonts w:hint="eastAsia"/>
        </w:rPr>
        <w:t xml:space="preserve"> </w:t>
      </w:r>
      <w:r>
        <w:rPr>
          <w:rFonts w:hint="eastAsia" w:ascii="黑体" w:hAnsi="黑体" w:eastAsia="黑体"/>
          <w:b/>
          <w:bCs/>
          <w:sz w:val="24"/>
        </w:rPr>
        <w:t>投标报价评价</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.1投标报价评价：价格分应当采用低价优先法计算，即满足招标文件要求且投标价格最低的投标报价为评标基准价，其价格分为满分（报价权重分）。其他投标人的价格分统一按照下列公式计算：</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投标报价得分=（评标基准价</w:t>
      </w:r>
      <w:r>
        <w:rPr>
          <w:rFonts w:hint="eastAsia" w:ascii="宋体" w:hAnsi="宋体"/>
          <w:szCs w:val="21"/>
          <w:vertAlign w:val="subscript"/>
        </w:rPr>
        <w:t>修正或调整</w:t>
      </w:r>
      <w:r>
        <w:rPr>
          <w:rFonts w:hint="eastAsia" w:ascii="宋体" w:hAnsi="宋体"/>
          <w:szCs w:val="21"/>
        </w:rPr>
        <w:t>／投标报价</w:t>
      </w:r>
      <w:r>
        <w:rPr>
          <w:rFonts w:hint="eastAsia" w:ascii="宋体" w:hAnsi="宋体"/>
          <w:szCs w:val="21"/>
          <w:vertAlign w:val="subscript"/>
        </w:rPr>
        <w:t>修正或调整</w:t>
      </w:r>
      <w:r>
        <w:rPr>
          <w:rFonts w:hint="eastAsia" w:ascii="宋体" w:hAnsi="宋体"/>
          <w:szCs w:val="21"/>
        </w:rPr>
        <w:t>） × 报价权重分</w:t>
      </w:r>
    </w:p>
    <w:p>
      <w:pPr>
        <w:adjustRightInd w:val="0"/>
        <w:snapToGrid w:val="0"/>
        <w:spacing w:before="156" w:beforeLines="50" w:line="360" w:lineRule="auto"/>
        <w:jc w:val="left"/>
        <w:rPr>
          <w:rFonts w:ascii="黑体" w:hAnsi="黑体" w:eastAsia="黑体"/>
          <w:b/>
          <w:sz w:val="24"/>
        </w:rPr>
      </w:pPr>
      <w:r>
        <w:rPr>
          <w:rFonts w:hint="eastAsia" w:ascii="黑体" w:hAnsi="黑体" w:eastAsia="黑体"/>
          <w:b/>
          <w:sz w:val="24"/>
          <w:lang w:val="en-US" w:eastAsia="zh-CN"/>
        </w:rPr>
        <w:t>3</w:t>
      </w:r>
      <w:r>
        <w:rPr>
          <w:rFonts w:hint="eastAsia" w:ascii="黑体" w:hAnsi="黑体" w:eastAsia="黑体"/>
          <w:b/>
          <w:sz w:val="24"/>
        </w:rPr>
        <w:t>.评标总得分</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.1评标总得分为投标报价、技术、商务等评分项得分(含优先采购政策加分)之和。</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评标总得分＝A</w:t>
      </w:r>
      <w:r>
        <w:rPr>
          <w:rFonts w:hint="eastAsia" w:ascii="宋体" w:hAnsi="宋体"/>
          <w:szCs w:val="21"/>
          <w:vertAlign w:val="subscript"/>
        </w:rPr>
        <w:t>投标报价得分</w:t>
      </w:r>
      <w:r>
        <w:rPr>
          <w:rFonts w:hint="eastAsia" w:ascii="宋体" w:hAnsi="宋体"/>
          <w:szCs w:val="21"/>
        </w:rPr>
        <w:t>＋A</w:t>
      </w:r>
      <w:r>
        <w:rPr>
          <w:rFonts w:hint="eastAsia" w:ascii="宋体" w:hAnsi="宋体"/>
          <w:szCs w:val="21"/>
          <w:vertAlign w:val="subscript"/>
        </w:rPr>
        <w:t>技术项得分</w:t>
      </w:r>
      <w:r>
        <w:rPr>
          <w:rFonts w:hint="eastAsia" w:ascii="宋体" w:hAnsi="宋体"/>
          <w:szCs w:val="21"/>
        </w:rPr>
        <w:t>＋A</w:t>
      </w:r>
      <w:r>
        <w:rPr>
          <w:rFonts w:hint="eastAsia" w:ascii="宋体" w:hAnsi="宋体"/>
          <w:szCs w:val="21"/>
          <w:vertAlign w:val="subscript"/>
        </w:rPr>
        <w:t>商务项得分</w:t>
      </w:r>
      <w:r>
        <w:rPr>
          <w:rFonts w:hint="eastAsia" w:ascii="宋体" w:hAnsi="宋体"/>
          <w:szCs w:val="21"/>
        </w:rPr>
        <w:t>＋A</w:t>
      </w:r>
      <w:r>
        <w:rPr>
          <w:rFonts w:hint="eastAsia" w:ascii="宋体" w:hAnsi="宋体"/>
          <w:szCs w:val="21"/>
          <w:vertAlign w:val="subscript"/>
        </w:rPr>
        <w:t>优先采购加分</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.2评分分值计算保留小数点后两位，小数点后第三位“四舍五入”。</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cs="宋体"/>
          <w:kern w:val="0"/>
          <w:szCs w:val="21"/>
          <w:lang w:val="en-US" w:eastAsia="zh-CN"/>
        </w:rPr>
        <w:t>3</w:t>
      </w:r>
      <w:r>
        <w:rPr>
          <w:rFonts w:hint="eastAsia" w:ascii="宋体" w:hAnsi="宋体" w:cs="宋体"/>
          <w:kern w:val="0"/>
          <w:szCs w:val="21"/>
        </w:rPr>
        <w:t>.3</w:t>
      </w:r>
      <w:r>
        <w:rPr>
          <w:rFonts w:hint="eastAsia" w:ascii="宋体" w:hAnsi="宋体"/>
          <w:szCs w:val="21"/>
        </w:rPr>
        <w:t>评标时，评标委员会成员应当独立对满足招标文件全部实质性要求投标人的</w:t>
      </w:r>
      <w:r>
        <w:rPr>
          <w:rFonts w:hint="eastAsia" w:ascii="宋体" w:hAnsi="宋体"/>
          <w:bCs/>
          <w:szCs w:val="21"/>
        </w:rPr>
        <w:t>投标文件</w:t>
      </w:r>
      <w:r>
        <w:rPr>
          <w:rFonts w:hint="eastAsia" w:ascii="宋体" w:hAnsi="宋体"/>
          <w:szCs w:val="21"/>
        </w:rPr>
        <w:t>进行评价、评分，然后汇总每个投标人每项评分因素的得分。每个投标人的最终得分为所有评标委员会成员评分的算术平均值。</w:t>
      </w:r>
    </w:p>
    <w:p>
      <w:pPr>
        <w:adjustRightInd w:val="0"/>
        <w:snapToGrid w:val="0"/>
        <w:spacing w:before="156" w:beforeLines="50" w:line="360" w:lineRule="auto"/>
        <w:jc w:val="left"/>
        <w:rPr>
          <w:rFonts w:ascii="黑体" w:hAnsi="黑体" w:eastAsia="黑体"/>
          <w:b/>
          <w:bCs/>
          <w:sz w:val="24"/>
        </w:rPr>
      </w:pPr>
      <w:r>
        <w:rPr>
          <w:rFonts w:hint="eastAsia" w:ascii="黑体" w:hAnsi="黑体" w:eastAsia="黑体"/>
          <w:b/>
          <w:bCs/>
          <w:sz w:val="24"/>
          <w:lang w:val="en-US" w:eastAsia="zh-CN"/>
        </w:rPr>
        <w:t>4</w:t>
      </w:r>
      <w:r>
        <w:rPr>
          <w:rFonts w:hint="eastAsia" w:ascii="黑体" w:hAnsi="黑体" w:eastAsia="黑体"/>
          <w:b/>
          <w:bCs/>
          <w:sz w:val="24"/>
        </w:rPr>
        <w:t>.中标候选人的推荐方法</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lang w:val="en-US" w:eastAsia="zh-CN"/>
        </w:rPr>
        <w:t>4</w:t>
      </w:r>
      <w:r>
        <w:rPr>
          <w:rFonts w:hint="eastAsia" w:ascii="宋体" w:hAnsi="宋体"/>
          <w:bCs/>
          <w:szCs w:val="21"/>
        </w:rPr>
        <w:t>.1评标结果按评审后得分由高到低顺序排列。得分相同的，按投标报价由低到高顺序排列。得分且投标报价相同的并列。投标文件满足招标文件全部实质性要求，且按照评审因素的量化指标评审得分最高的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bCs/>
          <w:szCs w:val="21"/>
          <w:lang w:val="en-US" w:eastAsia="zh-CN"/>
        </w:rPr>
        <w:t>两名</w:t>
      </w:r>
      <w:r>
        <w:rPr>
          <w:rFonts w:hint="eastAsia" w:ascii="宋体" w:hAnsi="宋体"/>
          <w:bCs/>
          <w:szCs w:val="21"/>
        </w:rPr>
        <w:t>投标人为排名第一</w:t>
      </w:r>
      <w:r>
        <w:rPr>
          <w:rFonts w:hint="eastAsia" w:ascii="宋体" w:hAnsi="宋体"/>
          <w:bCs/>
          <w:szCs w:val="21"/>
          <w:lang w:eastAsia="zh-CN"/>
        </w:rPr>
        <w:t>、</w:t>
      </w:r>
      <w:r>
        <w:rPr>
          <w:rFonts w:hint="eastAsia" w:ascii="宋体" w:hAnsi="宋体"/>
          <w:bCs/>
          <w:szCs w:val="21"/>
          <w:lang w:val="en-US" w:eastAsia="zh-CN"/>
        </w:rPr>
        <w:t>二</w:t>
      </w:r>
      <w:r>
        <w:rPr>
          <w:rFonts w:hint="eastAsia" w:ascii="宋体" w:hAnsi="宋体"/>
          <w:bCs/>
          <w:szCs w:val="21"/>
        </w:rPr>
        <w:t>的中标候选人。</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lang w:val="en-US" w:eastAsia="zh-CN"/>
        </w:rPr>
        <w:t>4</w:t>
      </w:r>
      <w:r>
        <w:rPr>
          <w:rFonts w:hint="eastAsia" w:ascii="宋体" w:hAnsi="宋体"/>
          <w:bCs/>
          <w:szCs w:val="21"/>
        </w:rPr>
        <w:t>.2得分且投标报价相同的并列</w:t>
      </w:r>
      <w:r>
        <w:rPr>
          <w:rFonts w:hint="eastAsia" w:ascii="宋体" w:hAnsi="宋体"/>
          <w:bCs/>
          <w:szCs w:val="21"/>
          <w:lang w:val="en-US" w:eastAsia="zh-CN"/>
        </w:rPr>
        <w:t>第一</w:t>
      </w:r>
      <w:r>
        <w:rPr>
          <w:rFonts w:hint="eastAsia" w:ascii="宋体" w:hAnsi="宋体"/>
          <w:bCs/>
          <w:szCs w:val="21"/>
        </w:rPr>
        <w:t>，</w:t>
      </w:r>
      <w:r>
        <w:rPr>
          <w:rFonts w:hint="eastAsia" w:ascii="宋体" w:hAnsi="宋体"/>
          <w:bCs/>
          <w:szCs w:val="21"/>
          <w:lang w:val="en-US" w:eastAsia="zh-CN"/>
        </w:rPr>
        <w:t>如并列人数为两人，那二人都为中标候选人，如并列人数为两人以上，则由招标人从并列投标人中自主选择两人为中标候选人。</w:t>
      </w:r>
    </w:p>
    <w:p>
      <w:pPr>
        <w:adjustRightInd w:val="0"/>
        <w:snapToGrid w:val="0"/>
        <w:spacing w:line="360" w:lineRule="auto"/>
        <w:jc w:val="center"/>
        <w:rPr>
          <w:rFonts w:ascii="宋体" w:hAnsi="宋体" w:cs="宋体"/>
          <w:b/>
          <w:sz w:val="36"/>
        </w:rPr>
      </w:pPr>
      <w:r>
        <w:rPr>
          <w:rFonts w:hint="eastAsia" w:ascii="宋体" w:hAnsi="宋体" w:cs="宋体"/>
          <w:b/>
          <w:sz w:val="36"/>
        </w:rPr>
        <w:t>综合评分表</w:t>
      </w:r>
    </w:p>
    <w:tbl>
      <w:tblPr>
        <w:tblStyle w:val="21"/>
        <w:tblW w:w="9356"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97"/>
        <w:gridCol w:w="1262"/>
        <w:gridCol w:w="668"/>
        <w:gridCol w:w="62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2410" w:type="dxa"/>
            <w:gridSpan w:val="3"/>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评审因素</w:t>
            </w:r>
          </w:p>
        </w:tc>
        <w:tc>
          <w:tcPr>
            <w:tcW w:w="668" w:type="dxa"/>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分值</w:t>
            </w:r>
          </w:p>
        </w:tc>
        <w:tc>
          <w:tcPr>
            <w:tcW w:w="6278" w:type="dxa"/>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851" w:type="dxa"/>
            <w:vMerge w:val="restart"/>
            <w:tcBorders>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lang w:val="en-US" w:eastAsia="zh-CN"/>
              </w:rPr>
              <w:t>技术</w:t>
            </w:r>
            <w:r>
              <w:rPr>
                <w:rFonts w:hint="eastAsia" w:ascii="宋体" w:hAnsi="宋体" w:cs="宋体"/>
                <w:sz w:val="28"/>
                <w:szCs w:val="28"/>
              </w:rPr>
              <w:t xml:space="preserve"> </w:t>
            </w:r>
          </w:p>
          <w:p>
            <w:pPr>
              <w:spacing w:before="120" w:beforeLines="50" w:after="120" w:afterLines="50" w:line="360" w:lineRule="auto"/>
              <w:rPr>
                <w:rFonts w:ascii="宋体" w:hAnsi="宋体" w:cs="宋体"/>
                <w:sz w:val="28"/>
                <w:szCs w:val="28"/>
              </w:rPr>
            </w:pPr>
            <w:r>
              <w:rPr>
                <w:rFonts w:hint="eastAsia" w:ascii="宋体" w:hAnsi="宋体" w:cs="宋体"/>
                <w:sz w:val="28"/>
                <w:szCs w:val="28"/>
              </w:rPr>
              <w:t>F</w:t>
            </w:r>
            <w:r>
              <w:rPr>
                <w:rFonts w:hint="eastAsia" w:ascii="宋体" w:hAnsi="宋体" w:cs="宋体"/>
                <w:sz w:val="28"/>
                <w:szCs w:val="28"/>
                <w:lang w:val="en-US" w:eastAsia="zh-CN"/>
              </w:rPr>
              <w:t>技术</w:t>
            </w:r>
            <w:r>
              <w:rPr>
                <w:rFonts w:hint="eastAsia" w:ascii="宋体" w:hAnsi="宋体" w:cs="宋体"/>
                <w:sz w:val="28"/>
                <w:szCs w:val="28"/>
              </w:rPr>
              <w:t>＝</w:t>
            </w:r>
          </w:p>
          <w:p>
            <w:pPr>
              <w:spacing w:before="120" w:beforeLines="50" w:after="120" w:afterLines="50" w:line="360" w:lineRule="auto"/>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0 分</w:t>
            </w:r>
          </w:p>
        </w:tc>
        <w:tc>
          <w:tcPr>
            <w:tcW w:w="1559" w:type="dxa"/>
            <w:gridSpan w:val="2"/>
            <w:tcBorders>
              <w:left w:val="single" w:color="auto" w:sz="4" w:space="0"/>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应急方案</w:t>
            </w:r>
          </w:p>
        </w:tc>
        <w:tc>
          <w:tcPr>
            <w:tcW w:w="668" w:type="dxa"/>
            <w:tcBorders>
              <w:left w:val="single" w:color="auto" w:sz="4" w:space="0"/>
            </w:tcBorders>
            <w:vAlign w:val="center"/>
          </w:tcPr>
          <w:p>
            <w:pPr>
              <w:spacing w:before="120" w:beforeLines="50" w:after="120" w:afterLines="50" w:line="360" w:lineRule="auto"/>
              <w:rPr>
                <w:rFonts w:hint="eastAsia" w:ascii="宋体" w:hAnsi="宋体" w:eastAsia="宋体" w:cs="宋体"/>
                <w:sz w:val="28"/>
                <w:szCs w:val="28"/>
                <w:lang w:eastAsia="zh-CN"/>
              </w:rPr>
            </w:pPr>
            <w:r>
              <w:rPr>
                <w:rFonts w:hint="eastAsia" w:ascii="宋体" w:hAnsi="宋体" w:cs="宋体"/>
                <w:sz w:val="28"/>
                <w:szCs w:val="28"/>
                <w:lang w:val="en-US" w:eastAsia="zh-CN"/>
              </w:rPr>
              <w:t>4</w:t>
            </w:r>
          </w:p>
        </w:tc>
        <w:tc>
          <w:tcPr>
            <w:tcW w:w="6278" w:type="dxa"/>
            <w:tcBorders>
              <w:lef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应急方案完善合理，可操作性强，符合实际情况的计</w:t>
            </w:r>
            <w:r>
              <w:rPr>
                <w:rFonts w:hint="eastAsia" w:ascii="宋体" w:hAnsi="宋体" w:cs="宋体"/>
                <w:sz w:val="28"/>
                <w:szCs w:val="28"/>
                <w:lang w:val="en-US" w:eastAsia="zh-CN"/>
              </w:rPr>
              <w:t>4</w:t>
            </w:r>
            <w:r>
              <w:rPr>
                <w:rFonts w:hint="eastAsia" w:ascii="宋体" w:hAnsi="宋体" w:cs="宋体"/>
                <w:sz w:val="28"/>
                <w:szCs w:val="28"/>
              </w:rPr>
              <w:t>分，有缺漏项、不合理的，每处扣1分，扣完为止；没有提供的不计分。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09" w:hRule="atLeast"/>
        </w:trPr>
        <w:tc>
          <w:tcPr>
            <w:tcW w:w="851" w:type="dxa"/>
            <w:vMerge w:val="continue"/>
            <w:tcBorders>
              <w:right w:val="single" w:color="auto" w:sz="4" w:space="0"/>
            </w:tcBorders>
            <w:vAlign w:val="center"/>
          </w:tcPr>
          <w:p>
            <w:pPr>
              <w:spacing w:before="120" w:beforeLines="50" w:after="120" w:afterLines="50" w:line="360" w:lineRule="auto"/>
              <w:rPr>
                <w:rFonts w:ascii="宋体" w:hAnsi="宋体" w:cs="宋体"/>
                <w:sz w:val="28"/>
                <w:szCs w:val="28"/>
              </w:rPr>
            </w:pPr>
          </w:p>
        </w:tc>
        <w:tc>
          <w:tcPr>
            <w:tcW w:w="1559" w:type="dxa"/>
            <w:gridSpan w:val="2"/>
            <w:tcBorders>
              <w:top w:val="single" w:color="auto" w:sz="4" w:space="0"/>
              <w:left w:val="single" w:color="auto" w:sz="4" w:space="0"/>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施工方案与技术措施</w:t>
            </w:r>
          </w:p>
        </w:tc>
        <w:tc>
          <w:tcPr>
            <w:tcW w:w="668" w:type="dxa"/>
            <w:tcBorders>
              <w:top w:val="single" w:color="auto" w:sz="4" w:space="0"/>
              <w:lef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10</w:t>
            </w:r>
          </w:p>
        </w:tc>
        <w:tc>
          <w:tcPr>
            <w:tcW w:w="6278" w:type="dxa"/>
            <w:tcBorders>
              <w:top w:val="single" w:color="auto" w:sz="4" w:space="0"/>
              <w:lef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项目总体概况表述清晰、完整，施工部署及技术措施先进、可靠，对项目主要单项工程施工技术方案有深入的表述，具有透彻的重点、难点分析，具有切实可行的重点、难点解决方案，施工平面布置有针对性的满足施工需要，符合国家安全、文明生产要求的计10分，每缺漏一项或不合理一项或不满足一项的扣1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8" w:hRule="atLeast"/>
        </w:trPr>
        <w:tc>
          <w:tcPr>
            <w:tcW w:w="851" w:type="dxa"/>
            <w:vMerge w:val="continue"/>
            <w:tcBorders>
              <w:right w:val="single" w:color="auto" w:sz="4" w:space="0"/>
            </w:tcBorders>
            <w:vAlign w:val="center"/>
          </w:tcPr>
          <w:p>
            <w:pPr>
              <w:spacing w:before="120" w:beforeLines="50" w:after="120" w:afterLines="50" w:line="360" w:lineRule="auto"/>
              <w:rPr>
                <w:rFonts w:ascii="宋体" w:hAnsi="宋体" w:cs="宋体"/>
                <w:sz w:val="28"/>
                <w:szCs w:val="28"/>
              </w:rPr>
            </w:pPr>
          </w:p>
        </w:tc>
        <w:tc>
          <w:tcPr>
            <w:tcW w:w="1559" w:type="dxa"/>
            <w:gridSpan w:val="2"/>
            <w:tcBorders>
              <w:top w:val="single" w:color="auto" w:sz="4" w:space="0"/>
              <w:left w:val="single" w:color="auto" w:sz="4" w:space="0"/>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质量管理体系与措施</w:t>
            </w:r>
          </w:p>
        </w:tc>
        <w:tc>
          <w:tcPr>
            <w:tcW w:w="668" w:type="dxa"/>
            <w:tcBorders>
              <w:top w:val="single" w:color="auto" w:sz="4" w:space="0"/>
              <w:left w:val="single" w:color="auto" w:sz="4" w:space="0"/>
            </w:tcBorders>
            <w:vAlign w:val="center"/>
          </w:tcPr>
          <w:p>
            <w:pPr>
              <w:spacing w:before="120" w:beforeLines="50" w:after="120" w:afterLines="50" w:line="360" w:lineRule="auto"/>
              <w:rPr>
                <w:rFonts w:hint="eastAsia" w:ascii="宋体" w:hAnsi="宋体" w:eastAsia="宋体" w:cs="宋体"/>
                <w:sz w:val="28"/>
                <w:szCs w:val="28"/>
                <w:lang w:eastAsia="zh-CN"/>
              </w:rPr>
            </w:pPr>
            <w:r>
              <w:rPr>
                <w:rFonts w:hint="eastAsia" w:ascii="宋体" w:hAnsi="宋体" w:cs="宋体"/>
                <w:sz w:val="28"/>
                <w:szCs w:val="28"/>
                <w:lang w:val="en-US" w:eastAsia="zh-CN"/>
              </w:rPr>
              <w:t>6</w:t>
            </w:r>
          </w:p>
        </w:tc>
        <w:tc>
          <w:tcPr>
            <w:tcW w:w="6278" w:type="dxa"/>
            <w:tcBorders>
              <w:top w:val="single" w:color="auto" w:sz="4" w:space="0"/>
              <w:lef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具有明确的质量管理目标，优于招标文件的质量要求，具有健全的质量人员管理机构，管理人员有明确的岗位职责分工，管理制度齐全，实施与控制措施全面、有效的计</w:t>
            </w:r>
            <w:r>
              <w:rPr>
                <w:rFonts w:hint="eastAsia" w:ascii="宋体" w:hAnsi="宋体" w:cs="宋体"/>
                <w:sz w:val="28"/>
                <w:szCs w:val="28"/>
                <w:lang w:val="en-US" w:eastAsia="zh-CN"/>
              </w:rPr>
              <w:t>6</w:t>
            </w:r>
            <w:r>
              <w:rPr>
                <w:rFonts w:hint="eastAsia" w:ascii="宋体" w:hAnsi="宋体" w:cs="宋体"/>
                <w:sz w:val="28"/>
                <w:szCs w:val="28"/>
              </w:rPr>
              <w:t>分，每缺漏一项或不合理一项或不满足一项的扣1分，扣完为止。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9" w:hRule="atLeast"/>
        </w:trPr>
        <w:tc>
          <w:tcPr>
            <w:tcW w:w="851" w:type="dxa"/>
            <w:vMerge w:val="continue"/>
            <w:tcBorders>
              <w:right w:val="single" w:color="auto" w:sz="4" w:space="0"/>
            </w:tcBorders>
            <w:vAlign w:val="center"/>
          </w:tcPr>
          <w:p>
            <w:pPr>
              <w:spacing w:before="120" w:beforeLines="50" w:after="120" w:afterLines="50" w:line="360" w:lineRule="auto"/>
              <w:rPr>
                <w:rFonts w:ascii="宋体" w:hAnsi="宋体" w:cs="宋体"/>
                <w:sz w:val="28"/>
                <w:szCs w:val="28"/>
              </w:rPr>
            </w:pPr>
          </w:p>
        </w:tc>
        <w:tc>
          <w:tcPr>
            <w:tcW w:w="1559" w:type="dxa"/>
            <w:gridSpan w:val="2"/>
            <w:tcBorders>
              <w:bottom w:val="single" w:color="auto" w:sz="4" w:space="0"/>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安全管理体系与措施</w:t>
            </w:r>
          </w:p>
        </w:tc>
        <w:tc>
          <w:tcPr>
            <w:tcW w:w="668" w:type="dxa"/>
            <w:tcBorders>
              <w:left w:val="single" w:color="auto" w:sz="4" w:space="0"/>
              <w:bottom w:val="single" w:color="auto" w:sz="4" w:space="0"/>
            </w:tcBorders>
            <w:vAlign w:val="center"/>
          </w:tcPr>
          <w:p>
            <w:pPr>
              <w:spacing w:before="120" w:beforeLines="50" w:after="120" w:afterLines="50" w:line="360" w:lineRule="auto"/>
              <w:rPr>
                <w:rFonts w:hint="eastAsia" w:ascii="宋体" w:hAnsi="宋体" w:eastAsia="宋体" w:cs="宋体"/>
                <w:sz w:val="28"/>
                <w:szCs w:val="28"/>
                <w:lang w:eastAsia="zh-CN"/>
              </w:rPr>
            </w:pPr>
            <w:r>
              <w:rPr>
                <w:rFonts w:hint="eastAsia" w:ascii="宋体" w:hAnsi="宋体" w:cs="宋体"/>
                <w:sz w:val="28"/>
                <w:szCs w:val="28"/>
                <w:lang w:val="en-US" w:eastAsia="zh-CN"/>
              </w:rPr>
              <w:t>6</w:t>
            </w:r>
          </w:p>
        </w:tc>
        <w:tc>
          <w:tcPr>
            <w:tcW w:w="6278" w:type="dxa"/>
            <w:tcBorders>
              <w:left w:val="single" w:color="auto" w:sz="4" w:space="0"/>
              <w:bottom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具有明确的安全目管理目标，优于招标文件的安全要求，具有健全的安全人员管理机构，管理人员职责分工明确，管理制度齐全，实施与控制措施全面、有效的计</w:t>
            </w:r>
            <w:r>
              <w:rPr>
                <w:rFonts w:hint="eastAsia" w:ascii="宋体" w:hAnsi="宋体" w:cs="宋体"/>
                <w:sz w:val="28"/>
                <w:szCs w:val="28"/>
                <w:lang w:val="en-US" w:eastAsia="zh-CN"/>
              </w:rPr>
              <w:t>6</w:t>
            </w:r>
            <w:r>
              <w:rPr>
                <w:rFonts w:hint="eastAsia" w:ascii="宋体" w:hAnsi="宋体" w:cs="宋体"/>
                <w:sz w:val="28"/>
                <w:szCs w:val="28"/>
              </w:rPr>
              <w:t>分，每缺漏一项或不合理或不满足一项的扣1分，扣完为止。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851" w:type="dxa"/>
            <w:vMerge w:val="continue"/>
            <w:tcBorders>
              <w:right w:val="single" w:color="auto" w:sz="4" w:space="0"/>
            </w:tcBorders>
            <w:vAlign w:val="center"/>
          </w:tcPr>
          <w:p>
            <w:pPr>
              <w:spacing w:before="120" w:beforeLines="50" w:after="120" w:afterLines="50" w:line="360" w:lineRule="auto"/>
              <w:rPr>
                <w:rFonts w:ascii="宋体" w:hAnsi="宋体" w:cs="宋体"/>
                <w:sz w:val="28"/>
                <w:szCs w:val="28"/>
              </w:rPr>
            </w:pPr>
          </w:p>
        </w:tc>
        <w:tc>
          <w:tcPr>
            <w:tcW w:w="1559" w:type="dxa"/>
            <w:gridSpan w:val="2"/>
            <w:tcBorders>
              <w:bottom w:val="single" w:color="auto" w:sz="4" w:space="0"/>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环境保护管理体系与措施</w:t>
            </w:r>
          </w:p>
        </w:tc>
        <w:tc>
          <w:tcPr>
            <w:tcW w:w="668" w:type="dxa"/>
            <w:tcBorders>
              <w:left w:val="single" w:color="auto" w:sz="4" w:space="0"/>
              <w:bottom w:val="single" w:color="auto" w:sz="4" w:space="0"/>
            </w:tcBorders>
            <w:vAlign w:val="center"/>
          </w:tcPr>
          <w:p>
            <w:pPr>
              <w:spacing w:before="120" w:beforeLines="50" w:after="120" w:afterLines="50" w:line="360" w:lineRule="auto"/>
              <w:rPr>
                <w:rFonts w:hint="eastAsia" w:ascii="宋体" w:hAnsi="宋体" w:eastAsia="宋体" w:cs="宋体"/>
                <w:sz w:val="28"/>
                <w:szCs w:val="28"/>
                <w:lang w:eastAsia="zh-CN"/>
              </w:rPr>
            </w:pPr>
            <w:r>
              <w:rPr>
                <w:rFonts w:hint="eastAsia" w:ascii="宋体" w:hAnsi="宋体" w:cs="宋体"/>
                <w:sz w:val="28"/>
                <w:szCs w:val="28"/>
                <w:lang w:val="en-US" w:eastAsia="zh-CN"/>
              </w:rPr>
              <w:t>6</w:t>
            </w:r>
          </w:p>
        </w:tc>
        <w:tc>
          <w:tcPr>
            <w:tcW w:w="6278" w:type="dxa"/>
            <w:tcBorders>
              <w:left w:val="single" w:color="auto" w:sz="4" w:space="0"/>
              <w:bottom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具有明确的环境管理目标，优于招标文件的环境保护管理要求；具有健全的环境保护人员管理机构，管理人员职责分工明确，管理制度齐全，施工期间环境影响因素、施工期间的环保、环境绿化控制有效且全面的计</w:t>
            </w:r>
            <w:r>
              <w:rPr>
                <w:rFonts w:hint="eastAsia" w:ascii="宋体" w:hAnsi="宋体" w:cs="宋体"/>
                <w:sz w:val="28"/>
                <w:szCs w:val="28"/>
                <w:lang w:val="en-US" w:eastAsia="zh-CN"/>
              </w:rPr>
              <w:t>6</w:t>
            </w:r>
            <w:r>
              <w:rPr>
                <w:rFonts w:hint="eastAsia" w:ascii="宋体" w:hAnsi="宋体" w:cs="宋体"/>
                <w:sz w:val="28"/>
                <w:szCs w:val="28"/>
              </w:rPr>
              <w:t>分，每缺漏一项或不满足一项或不合理一项的扣1分，扣完为止。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51" w:type="dxa"/>
            <w:vMerge w:val="continue"/>
            <w:tcBorders>
              <w:right w:val="single" w:color="auto" w:sz="4" w:space="0"/>
            </w:tcBorders>
            <w:vAlign w:val="center"/>
          </w:tcPr>
          <w:p>
            <w:pPr>
              <w:spacing w:before="120" w:beforeLines="50" w:after="120" w:afterLines="50" w:line="360" w:lineRule="auto"/>
              <w:rPr>
                <w:rFonts w:ascii="宋体" w:hAnsi="宋体" w:cs="宋体"/>
                <w:sz w:val="28"/>
                <w:szCs w:val="28"/>
              </w:rPr>
            </w:pPr>
          </w:p>
        </w:tc>
        <w:tc>
          <w:tcPr>
            <w:tcW w:w="1559" w:type="dxa"/>
            <w:gridSpan w:val="2"/>
            <w:tcBorders>
              <w:bottom w:val="single" w:color="auto" w:sz="4" w:space="0"/>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响应时间保障措施</w:t>
            </w:r>
          </w:p>
        </w:tc>
        <w:tc>
          <w:tcPr>
            <w:tcW w:w="668" w:type="dxa"/>
            <w:tcBorders>
              <w:left w:val="single" w:color="auto" w:sz="4" w:space="0"/>
              <w:bottom w:val="single" w:color="auto" w:sz="4" w:space="0"/>
            </w:tcBorders>
            <w:vAlign w:val="center"/>
          </w:tcPr>
          <w:p>
            <w:pPr>
              <w:spacing w:before="120" w:beforeLines="50" w:after="120" w:afterLines="50" w:line="360" w:lineRule="auto"/>
              <w:rPr>
                <w:rFonts w:hint="eastAsia" w:ascii="宋体" w:hAnsi="宋体" w:eastAsia="宋体" w:cs="宋体"/>
                <w:sz w:val="28"/>
                <w:szCs w:val="28"/>
                <w:lang w:eastAsia="zh-CN"/>
              </w:rPr>
            </w:pPr>
            <w:r>
              <w:rPr>
                <w:rFonts w:hint="eastAsia" w:ascii="宋体" w:hAnsi="宋体" w:cs="宋体"/>
                <w:sz w:val="28"/>
                <w:szCs w:val="28"/>
                <w:lang w:val="en-US" w:eastAsia="zh-CN"/>
              </w:rPr>
              <w:t>6</w:t>
            </w:r>
          </w:p>
        </w:tc>
        <w:tc>
          <w:tcPr>
            <w:tcW w:w="6278" w:type="dxa"/>
            <w:tcBorders>
              <w:left w:val="single" w:color="auto" w:sz="4" w:space="0"/>
              <w:bottom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1小时内到达维修现场（水电维修30分钟内到达）；特别在紧急情况下，可以随时招调至少5名专业维修人员，且在半个小时之内到达指定地点。对紧急任务须在规定时间内保质保量完成并顺利通过验收，需建立24小时保障制度，保障措施全面的计</w:t>
            </w:r>
            <w:r>
              <w:rPr>
                <w:rFonts w:hint="eastAsia" w:ascii="宋体" w:hAnsi="宋体" w:cs="宋体"/>
                <w:sz w:val="28"/>
                <w:szCs w:val="28"/>
                <w:lang w:val="en-US" w:eastAsia="zh-CN"/>
              </w:rPr>
              <w:t>6</w:t>
            </w:r>
            <w:r>
              <w:rPr>
                <w:rFonts w:hint="eastAsia" w:ascii="宋体" w:hAnsi="宋体" w:cs="宋体"/>
                <w:sz w:val="28"/>
                <w:szCs w:val="28"/>
              </w:rPr>
              <w:t>分，每缺漏一项或不满足一项或不合理一项的扣1分，扣完为止。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851" w:type="dxa"/>
            <w:vMerge w:val="continue"/>
            <w:tcBorders>
              <w:right w:val="single" w:color="auto" w:sz="4" w:space="0"/>
            </w:tcBorders>
            <w:vAlign w:val="center"/>
          </w:tcPr>
          <w:p>
            <w:pPr>
              <w:spacing w:before="120" w:beforeLines="50" w:after="120" w:afterLines="50" w:line="360" w:lineRule="auto"/>
              <w:rPr>
                <w:rFonts w:ascii="宋体" w:hAnsi="宋体" w:cs="宋体"/>
                <w:sz w:val="28"/>
                <w:szCs w:val="28"/>
              </w:rPr>
            </w:pPr>
          </w:p>
        </w:tc>
        <w:tc>
          <w:tcPr>
            <w:tcW w:w="1559" w:type="dxa"/>
            <w:gridSpan w:val="2"/>
            <w:tcBorders>
              <w:bottom w:val="single" w:color="auto" w:sz="4" w:space="0"/>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资源配备</w:t>
            </w:r>
          </w:p>
          <w:p>
            <w:pPr>
              <w:spacing w:before="120" w:beforeLines="50" w:after="120" w:afterLines="50" w:line="360" w:lineRule="auto"/>
              <w:rPr>
                <w:rFonts w:ascii="宋体" w:hAnsi="宋体" w:cs="宋体"/>
                <w:sz w:val="28"/>
                <w:szCs w:val="28"/>
              </w:rPr>
            </w:pPr>
            <w:r>
              <w:rPr>
                <w:rFonts w:hint="eastAsia" w:ascii="宋体" w:hAnsi="宋体" w:cs="宋体"/>
                <w:sz w:val="28"/>
                <w:szCs w:val="28"/>
              </w:rPr>
              <w:t>计划</w:t>
            </w:r>
          </w:p>
        </w:tc>
        <w:tc>
          <w:tcPr>
            <w:tcW w:w="668" w:type="dxa"/>
            <w:tcBorders>
              <w:left w:val="single" w:color="auto" w:sz="4" w:space="0"/>
              <w:bottom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2</w:t>
            </w:r>
          </w:p>
        </w:tc>
        <w:tc>
          <w:tcPr>
            <w:tcW w:w="6278" w:type="dxa"/>
            <w:tcBorders>
              <w:left w:val="single" w:color="auto" w:sz="4" w:space="0"/>
              <w:bottom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材料资源投入计划与施工部署、施工方法及进度计划相呼应，较好满足施工进度需要，主要材料调配投入计划合理、准确的计2分，每缺漏一项或不合理一项或不满足一项的扣</w:t>
            </w:r>
            <w:r>
              <w:rPr>
                <w:rFonts w:hint="eastAsia" w:ascii="宋体" w:hAnsi="宋体" w:cs="宋体"/>
                <w:sz w:val="28"/>
                <w:szCs w:val="28"/>
                <w:lang w:val="en-US" w:eastAsia="zh-CN"/>
              </w:rPr>
              <w:t>0.5</w:t>
            </w:r>
            <w:r>
              <w:rPr>
                <w:rFonts w:hint="eastAsia" w:ascii="宋体" w:hAnsi="宋体" w:cs="宋体"/>
                <w:sz w:val="28"/>
                <w:szCs w:val="28"/>
              </w:rPr>
              <w:t>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51" w:type="dxa"/>
            <w:vMerge w:val="restart"/>
            <w:vAlign w:val="center"/>
          </w:tcPr>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p>
          <w:p>
            <w:pPr>
              <w:spacing w:before="120" w:beforeLines="50" w:after="120" w:afterLines="50" w:line="360" w:lineRule="auto"/>
              <w:rPr>
                <w:rFonts w:ascii="宋体" w:hAnsi="宋体" w:cs="宋体"/>
                <w:sz w:val="28"/>
                <w:szCs w:val="28"/>
              </w:rPr>
            </w:pPr>
            <w:r>
              <w:rPr>
                <w:rFonts w:hint="eastAsia" w:ascii="宋体" w:hAnsi="宋体" w:cs="宋体"/>
                <w:sz w:val="28"/>
                <w:szCs w:val="28"/>
              </w:rPr>
              <w:t xml:space="preserve">商务 </w:t>
            </w:r>
          </w:p>
          <w:p>
            <w:pPr>
              <w:spacing w:before="120" w:beforeLines="50" w:after="120" w:afterLines="50" w:line="360" w:lineRule="auto"/>
              <w:rPr>
                <w:rFonts w:ascii="宋体" w:hAnsi="宋体" w:cs="宋体"/>
                <w:sz w:val="28"/>
                <w:szCs w:val="28"/>
              </w:rPr>
            </w:pPr>
            <w:r>
              <w:rPr>
                <w:rFonts w:hint="eastAsia" w:ascii="宋体" w:hAnsi="宋体" w:cs="宋体"/>
                <w:sz w:val="28"/>
                <w:szCs w:val="28"/>
              </w:rPr>
              <w:t>F商务＝</w:t>
            </w:r>
          </w:p>
          <w:p>
            <w:pPr>
              <w:spacing w:before="120" w:beforeLines="50" w:after="120" w:afterLines="50" w:line="360" w:lineRule="auto"/>
              <w:rPr>
                <w:rFonts w:ascii="宋体" w:hAnsi="宋体" w:cs="宋体"/>
                <w:sz w:val="28"/>
                <w:szCs w:val="28"/>
              </w:rPr>
            </w:pPr>
            <w:r>
              <w:rPr>
                <w:rFonts w:hint="eastAsia" w:ascii="宋体" w:hAnsi="宋体" w:cs="宋体"/>
                <w:sz w:val="28"/>
                <w:szCs w:val="28"/>
              </w:rPr>
              <w:t>30 分</w:t>
            </w:r>
          </w:p>
        </w:tc>
        <w:tc>
          <w:tcPr>
            <w:tcW w:w="1559" w:type="dxa"/>
            <w:gridSpan w:val="2"/>
            <w:vMerge w:val="restart"/>
            <w:tcBorders>
              <w:righ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履约能力</w:t>
            </w:r>
          </w:p>
        </w:tc>
        <w:tc>
          <w:tcPr>
            <w:tcW w:w="668" w:type="dxa"/>
            <w:tcBorders>
              <w:lef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6</w:t>
            </w:r>
          </w:p>
        </w:tc>
        <w:tc>
          <w:tcPr>
            <w:tcW w:w="6278" w:type="dxa"/>
            <w:tcBorders>
              <w:left w:val="single" w:color="auto" w:sz="4" w:space="0"/>
            </w:tcBorders>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供应商提供近三年以来（递交响应文件截止时间前36个月）类似工程施工业绩的每个计3分，共计6分（评审依据：提供合同复印件或中标通知书加盖公章，否则不计分）。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851" w:type="dxa"/>
            <w:vMerge w:val="continue"/>
            <w:vAlign w:val="center"/>
          </w:tcPr>
          <w:p>
            <w:pPr>
              <w:pStyle w:val="34"/>
              <w:ind w:firstLine="0" w:firstLineChars="0"/>
              <w:rPr>
                <w:rFonts w:ascii="宋体" w:hAnsi="宋体" w:cs="宋体"/>
                <w:sz w:val="28"/>
                <w:szCs w:val="28"/>
              </w:rPr>
            </w:pPr>
          </w:p>
        </w:tc>
        <w:tc>
          <w:tcPr>
            <w:tcW w:w="1559" w:type="dxa"/>
            <w:gridSpan w:val="2"/>
            <w:vMerge w:val="continue"/>
            <w:tcBorders>
              <w:right w:val="single" w:color="auto" w:sz="4" w:space="0"/>
            </w:tcBorders>
            <w:vAlign w:val="center"/>
          </w:tcPr>
          <w:p>
            <w:pPr>
              <w:pStyle w:val="34"/>
              <w:ind w:firstLine="0" w:firstLineChars="0"/>
              <w:jc w:val="center"/>
              <w:rPr>
                <w:rFonts w:ascii="宋体" w:hAnsi="宋体" w:cs="宋体"/>
                <w:sz w:val="28"/>
                <w:szCs w:val="28"/>
              </w:rPr>
            </w:pPr>
          </w:p>
        </w:tc>
        <w:tc>
          <w:tcPr>
            <w:tcW w:w="668" w:type="dxa"/>
            <w:tcBorders>
              <w:top w:val="single" w:color="auto" w:sz="4" w:space="0"/>
              <w:left w:val="single" w:color="auto" w:sz="4" w:space="0"/>
            </w:tcBorders>
            <w:vAlign w:val="center"/>
          </w:tcPr>
          <w:p>
            <w:pPr>
              <w:pStyle w:val="34"/>
              <w:ind w:firstLine="0" w:firstLineChars="0"/>
              <w:jc w:val="center"/>
              <w:rPr>
                <w:rFonts w:ascii="宋体" w:hAnsi="宋体" w:cs="宋体"/>
                <w:sz w:val="28"/>
                <w:szCs w:val="28"/>
              </w:rPr>
            </w:pPr>
            <w:r>
              <w:rPr>
                <w:rFonts w:hint="eastAsia" w:ascii="宋体" w:hAnsi="宋体" w:cs="宋体"/>
                <w:sz w:val="28"/>
                <w:szCs w:val="28"/>
              </w:rPr>
              <w:t>4</w:t>
            </w:r>
          </w:p>
        </w:tc>
        <w:tc>
          <w:tcPr>
            <w:tcW w:w="6278" w:type="dxa"/>
            <w:tcBorders>
              <w:top w:val="single" w:color="auto" w:sz="4" w:space="0"/>
              <w:left w:val="single" w:color="auto" w:sz="4" w:space="0"/>
            </w:tcBorders>
            <w:vAlign w:val="center"/>
          </w:tcPr>
          <w:p>
            <w:pPr>
              <w:pStyle w:val="34"/>
              <w:numPr>
                <w:ilvl w:val="0"/>
                <w:numId w:val="2"/>
              </w:numPr>
              <w:ind w:firstLine="0" w:firstLineChars="0"/>
              <w:jc w:val="left"/>
              <w:rPr>
                <w:rFonts w:ascii="宋体" w:hAnsi="宋体" w:cs="宋体"/>
                <w:sz w:val="28"/>
                <w:szCs w:val="28"/>
              </w:rPr>
            </w:pPr>
            <w:r>
              <w:rPr>
                <w:rFonts w:hint="eastAsia" w:ascii="宋体" w:hAnsi="宋体" w:cs="宋体"/>
                <w:sz w:val="28"/>
                <w:szCs w:val="28"/>
              </w:rPr>
              <w:t>获得市级及以上安全质量标准化认证的，市级优秀及以上的计4分，市级合格的计2分，没有不计分。（提供复印件并加盖公章，否则不予计分）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851" w:type="dxa"/>
            <w:vMerge w:val="continue"/>
            <w:vAlign w:val="center"/>
          </w:tcPr>
          <w:p>
            <w:pPr>
              <w:pStyle w:val="34"/>
              <w:ind w:firstLine="0" w:firstLineChars="0"/>
              <w:rPr>
                <w:rFonts w:ascii="宋体" w:hAnsi="宋体" w:cs="宋体"/>
                <w:sz w:val="28"/>
                <w:szCs w:val="28"/>
              </w:rPr>
            </w:pPr>
          </w:p>
        </w:tc>
        <w:tc>
          <w:tcPr>
            <w:tcW w:w="1559" w:type="dxa"/>
            <w:gridSpan w:val="2"/>
            <w:vMerge w:val="continue"/>
            <w:tcBorders>
              <w:right w:val="single" w:color="auto" w:sz="4" w:space="0"/>
            </w:tcBorders>
            <w:vAlign w:val="center"/>
          </w:tcPr>
          <w:p>
            <w:pPr>
              <w:pStyle w:val="34"/>
              <w:ind w:firstLine="0" w:firstLineChars="0"/>
              <w:jc w:val="center"/>
              <w:rPr>
                <w:rFonts w:ascii="宋体" w:hAnsi="宋体" w:cs="宋体"/>
                <w:sz w:val="28"/>
                <w:szCs w:val="28"/>
              </w:rPr>
            </w:pPr>
          </w:p>
        </w:tc>
        <w:tc>
          <w:tcPr>
            <w:tcW w:w="668" w:type="dxa"/>
            <w:tcBorders>
              <w:top w:val="single" w:color="auto" w:sz="4" w:space="0"/>
              <w:left w:val="single" w:color="auto" w:sz="4" w:space="0"/>
            </w:tcBorders>
            <w:vAlign w:val="center"/>
          </w:tcPr>
          <w:p>
            <w:pPr>
              <w:pStyle w:val="34"/>
              <w:ind w:firstLine="0" w:firstLineChars="0"/>
              <w:jc w:val="center"/>
              <w:rPr>
                <w:rFonts w:ascii="宋体" w:hAnsi="宋体" w:cs="宋体"/>
                <w:sz w:val="28"/>
                <w:szCs w:val="28"/>
              </w:rPr>
            </w:pPr>
            <w:r>
              <w:rPr>
                <w:rFonts w:hint="eastAsia" w:ascii="宋体" w:hAnsi="宋体" w:cs="宋体"/>
                <w:sz w:val="28"/>
                <w:szCs w:val="28"/>
              </w:rPr>
              <w:t>2</w:t>
            </w:r>
          </w:p>
        </w:tc>
        <w:tc>
          <w:tcPr>
            <w:tcW w:w="6278" w:type="dxa"/>
            <w:tcBorders>
              <w:top w:val="single" w:color="auto" w:sz="4" w:space="0"/>
              <w:left w:val="single" w:color="auto" w:sz="4" w:space="0"/>
            </w:tcBorders>
            <w:vAlign w:val="center"/>
          </w:tcPr>
          <w:p>
            <w:pPr>
              <w:pStyle w:val="34"/>
              <w:ind w:firstLine="0" w:firstLineChars="0"/>
              <w:jc w:val="left"/>
              <w:rPr>
                <w:rFonts w:ascii="宋体" w:hAnsi="宋体" w:cs="宋体"/>
                <w:sz w:val="28"/>
                <w:szCs w:val="28"/>
              </w:rPr>
            </w:pPr>
            <w:r>
              <w:rPr>
                <w:rFonts w:hint="eastAsia" w:ascii="宋体" w:hAnsi="宋体" w:cs="宋体"/>
                <w:sz w:val="28"/>
                <w:szCs w:val="28"/>
              </w:rPr>
              <w:t>供应商根据合理性、可靠性、安全性、保障措施等方面提出切实可行的合理化建议，方案评定优的为2分，有缺漏项、不合理的，每处扣0.5分，扣完为止。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851" w:type="dxa"/>
            <w:vMerge w:val="continue"/>
            <w:vAlign w:val="center"/>
          </w:tcPr>
          <w:p>
            <w:pPr>
              <w:pStyle w:val="34"/>
              <w:ind w:firstLine="0" w:firstLineChars="0"/>
              <w:rPr>
                <w:rFonts w:ascii="宋体" w:hAnsi="宋体" w:cs="宋体"/>
                <w:sz w:val="28"/>
                <w:szCs w:val="28"/>
              </w:rPr>
            </w:pPr>
          </w:p>
        </w:tc>
        <w:tc>
          <w:tcPr>
            <w:tcW w:w="1559" w:type="dxa"/>
            <w:gridSpan w:val="2"/>
            <w:vMerge w:val="continue"/>
            <w:tcBorders>
              <w:right w:val="single" w:color="auto" w:sz="4" w:space="0"/>
            </w:tcBorders>
            <w:vAlign w:val="center"/>
          </w:tcPr>
          <w:p>
            <w:pPr>
              <w:pStyle w:val="34"/>
              <w:ind w:firstLine="0" w:firstLineChars="0"/>
              <w:jc w:val="center"/>
              <w:rPr>
                <w:rFonts w:ascii="宋体" w:hAnsi="宋体" w:cs="宋体"/>
                <w:sz w:val="28"/>
                <w:szCs w:val="28"/>
              </w:rPr>
            </w:pPr>
          </w:p>
        </w:tc>
        <w:tc>
          <w:tcPr>
            <w:tcW w:w="668" w:type="dxa"/>
            <w:tcBorders>
              <w:top w:val="single" w:color="auto" w:sz="4" w:space="0"/>
              <w:left w:val="single" w:color="auto" w:sz="4" w:space="0"/>
            </w:tcBorders>
            <w:vAlign w:val="center"/>
          </w:tcPr>
          <w:p>
            <w:pPr>
              <w:pStyle w:val="34"/>
              <w:ind w:firstLine="0" w:firstLineChars="0"/>
              <w:jc w:val="center"/>
              <w:rPr>
                <w:rFonts w:ascii="宋体" w:hAnsi="宋体" w:cs="宋体"/>
                <w:sz w:val="28"/>
                <w:szCs w:val="28"/>
              </w:rPr>
            </w:pPr>
            <w:r>
              <w:rPr>
                <w:rFonts w:hint="eastAsia" w:ascii="宋体" w:hAnsi="宋体" w:cs="宋体"/>
                <w:sz w:val="28"/>
                <w:szCs w:val="28"/>
              </w:rPr>
              <w:t>3</w:t>
            </w:r>
          </w:p>
        </w:tc>
        <w:tc>
          <w:tcPr>
            <w:tcW w:w="6278" w:type="dxa"/>
            <w:tcBorders>
              <w:top w:val="single" w:color="auto" w:sz="4" w:space="0"/>
              <w:left w:val="single" w:color="auto" w:sz="4" w:space="0"/>
            </w:tcBorders>
            <w:vAlign w:val="center"/>
          </w:tcPr>
          <w:p>
            <w:pPr>
              <w:pStyle w:val="34"/>
              <w:ind w:firstLine="0" w:firstLineChars="0"/>
              <w:jc w:val="left"/>
              <w:rPr>
                <w:rFonts w:ascii="宋体" w:hAnsi="宋体" w:cs="宋体"/>
                <w:sz w:val="28"/>
                <w:szCs w:val="28"/>
              </w:rPr>
            </w:pPr>
            <w:r>
              <w:rPr>
                <w:rFonts w:hint="eastAsia" w:ascii="宋体" w:hAnsi="宋体" w:cs="宋体"/>
                <w:sz w:val="28"/>
                <w:szCs w:val="28"/>
              </w:rPr>
              <w:t>企业通过ISO 9001质量管理体系认证计1分，</w:t>
            </w:r>
          </w:p>
          <w:p>
            <w:pPr>
              <w:pStyle w:val="34"/>
              <w:ind w:firstLine="0" w:firstLineChars="0"/>
              <w:jc w:val="left"/>
              <w:rPr>
                <w:rFonts w:ascii="宋体" w:hAnsi="宋体" w:cs="宋体"/>
                <w:sz w:val="28"/>
                <w:szCs w:val="28"/>
              </w:rPr>
            </w:pPr>
            <w:r>
              <w:rPr>
                <w:rFonts w:hint="eastAsia" w:ascii="宋体" w:hAnsi="宋体" w:cs="宋体"/>
                <w:sz w:val="28"/>
                <w:szCs w:val="28"/>
              </w:rPr>
              <w:t>通过ISO 14001环境管理体系认证计1分，</w:t>
            </w:r>
          </w:p>
          <w:p>
            <w:pPr>
              <w:pStyle w:val="34"/>
              <w:ind w:firstLine="0" w:firstLineChars="0"/>
              <w:jc w:val="left"/>
              <w:rPr>
                <w:rFonts w:ascii="宋体" w:hAnsi="宋体" w:cs="宋体"/>
                <w:sz w:val="28"/>
                <w:szCs w:val="28"/>
              </w:rPr>
            </w:pPr>
            <w:r>
              <w:rPr>
                <w:rFonts w:hint="eastAsia" w:ascii="宋体" w:hAnsi="宋体" w:cs="宋体"/>
                <w:sz w:val="28"/>
                <w:szCs w:val="28"/>
              </w:rPr>
              <w:t>通过ISO 45001职业健康安全管理体系认证计1分；</w:t>
            </w:r>
          </w:p>
          <w:p>
            <w:pPr>
              <w:pStyle w:val="34"/>
              <w:ind w:firstLine="0" w:firstLineChars="0"/>
              <w:jc w:val="left"/>
              <w:rPr>
                <w:rFonts w:ascii="宋体" w:hAnsi="宋体" w:cs="宋体"/>
                <w:sz w:val="28"/>
                <w:szCs w:val="28"/>
              </w:rPr>
            </w:pPr>
            <w:r>
              <w:rPr>
                <w:rFonts w:hint="eastAsia" w:ascii="宋体" w:hAnsi="宋体" w:cs="宋体"/>
                <w:sz w:val="28"/>
                <w:szCs w:val="28"/>
              </w:rPr>
              <w:t>（提供提供有效期内的证书复印件并加盖公章，否则不计分）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851" w:type="dxa"/>
            <w:vMerge w:val="continue"/>
            <w:vAlign w:val="center"/>
          </w:tcPr>
          <w:p>
            <w:pPr>
              <w:pStyle w:val="34"/>
              <w:ind w:firstLine="0" w:firstLineChars="0"/>
              <w:rPr>
                <w:rFonts w:ascii="宋体" w:hAnsi="宋体" w:cs="宋体"/>
                <w:sz w:val="28"/>
                <w:szCs w:val="28"/>
              </w:rPr>
            </w:pPr>
          </w:p>
        </w:tc>
        <w:tc>
          <w:tcPr>
            <w:tcW w:w="1559" w:type="dxa"/>
            <w:gridSpan w:val="2"/>
            <w:tcBorders>
              <w:right w:val="single" w:color="auto" w:sz="4" w:space="0"/>
            </w:tcBorders>
            <w:vAlign w:val="center"/>
          </w:tcPr>
          <w:p>
            <w:pPr>
              <w:pStyle w:val="34"/>
              <w:ind w:firstLine="0" w:firstLineChars="0"/>
              <w:jc w:val="center"/>
              <w:rPr>
                <w:rFonts w:ascii="宋体" w:hAnsi="宋体" w:cs="宋体"/>
                <w:sz w:val="28"/>
                <w:szCs w:val="28"/>
              </w:rPr>
            </w:pPr>
            <w:r>
              <w:rPr>
                <w:rFonts w:hint="eastAsia" w:ascii="宋体" w:hAnsi="宋体" w:cs="宋体"/>
                <w:sz w:val="28"/>
                <w:szCs w:val="28"/>
              </w:rPr>
              <w:t>后续维保服务承诺</w:t>
            </w:r>
          </w:p>
        </w:tc>
        <w:tc>
          <w:tcPr>
            <w:tcW w:w="668" w:type="dxa"/>
            <w:tcBorders>
              <w:top w:val="single" w:color="auto" w:sz="4" w:space="0"/>
              <w:left w:val="single" w:color="auto" w:sz="4" w:space="0"/>
            </w:tcBorders>
            <w:vAlign w:val="center"/>
          </w:tcPr>
          <w:p>
            <w:pPr>
              <w:pStyle w:val="34"/>
              <w:ind w:firstLine="0" w:firstLineChars="0"/>
              <w:jc w:val="center"/>
              <w:rPr>
                <w:rFonts w:ascii="宋体" w:hAnsi="宋体" w:cs="宋体"/>
                <w:sz w:val="28"/>
                <w:szCs w:val="28"/>
              </w:rPr>
            </w:pPr>
            <w:r>
              <w:rPr>
                <w:rFonts w:hint="eastAsia" w:ascii="宋体" w:hAnsi="宋体" w:cs="宋体"/>
                <w:sz w:val="28"/>
                <w:szCs w:val="28"/>
              </w:rPr>
              <w:t>15</w:t>
            </w:r>
          </w:p>
        </w:tc>
        <w:tc>
          <w:tcPr>
            <w:tcW w:w="6278" w:type="dxa"/>
            <w:tcBorders>
              <w:top w:val="single" w:color="auto" w:sz="4" w:space="0"/>
              <w:left w:val="single" w:color="auto" w:sz="4" w:space="0"/>
            </w:tcBorders>
            <w:vAlign w:val="center"/>
          </w:tcPr>
          <w:p>
            <w:pPr>
              <w:pStyle w:val="34"/>
              <w:ind w:firstLine="0" w:firstLineChars="0"/>
              <w:jc w:val="left"/>
              <w:rPr>
                <w:rFonts w:ascii="宋体" w:hAnsi="宋体" w:cs="宋体"/>
                <w:sz w:val="28"/>
                <w:szCs w:val="28"/>
              </w:rPr>
            </w:pPr>
            <w:r>
              <w:rPr>
                <w:rFonts w:hint="eastAsia" w:ascii="宋体" w:hAnsi="宋体" w:cs="宋体"/>
                <w:sz w:val="28"/>
                <w:szCs w:val="28"/>
              </w:rPr>
              <w:t>供应商所承包项目的对（故障的响应、售后维保人员、售后服务热线、售后服务能力、备品备件情况、质保期后维修服务等内容），缺陷责任期一般情况下为1年，如遇特殊维修项目，则以招标人发包时的规定为准，但最长不超过2年；进行横向比对，全部满足要求的计15分，可每缺漏或不满足一项扣3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4" w:hRule="atLeast"/>
        </w:trPr>
        <w:tc>
          <w:tcPr>
            <w:tcW w:w="9356" w:type="dxa"/>
            <w:gridSpan w:val="5"/>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商务部分注明：（1）类似业绩：是指零星维修。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148" w:type="dxa"/>
            <w:gridSpan w:val="2"/>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投标报价</w:t>
            </w:r>
          </w:p>
          <w:p>
            <w:pPr>
              <w:spacing w:before="120" w:beforeLines="50" w:after="120" w:afterLines="50" w:line="360" w:lineRule="auto"/>
              <w:rPr>
                <w:rFonts w:ascii="宋体" w:hAnsi="宋体" w:cs="宋体"/>
                <w:sz w:val="28"/>
                <w:szCs w:val="28"/>
              </w:rPr>
            </w:pPr>
            <w:r>
              <w:rPr>
                <w:rFonts w:hint="eastAsia" w:ascii="宋体" w:hAnsi="宋体" w:cs="宋体"/>
                <w:sz w:val="28"/>
                <w:szCs w:val="28"/>
              </w:rPr>
              <w:t>F投标报价＝30分</w:t>
            </w:r>
          </w:p>
        </w:tc>
        <w:tc>
          <w:tcPr>
            <w:tcW w:w="1930" w:type="dxa"/>
            <w:gridSpan w:val="2"/>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投标报价</w:t>
            </w:r>
          </w:p>
        </w:tc>
        <w:tc>
          <w:tcPr>
            <w:tcW w:w="6278" w:type="dxa"/>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1、满足招标文件要求，经成本评审后有效的投标报价中的最低价为投标基准价，其价格分为满分。其他供应商的价格分统一按照下列公式计算：</w:t>
            </w:r>
          </w:p>
          <w:p>
            <w:pPr>
              <w:spacing w:before="120" w:beforeLines="50" w:after="120" w:afterLines="50" w:line="360" w:lineRule="auto"/>
              <w:rPr>
                <w:rFonts w:ascii="宋体" w:hAnsi="宋体" w:cs="宋体"/>
                <w:sz w:val="28"/>
                <w:szCs w:val="28"/>
              </w:rPr>
            </w:pPr>
            <w:r>
              <w:rPr>
                <w:rFonts w:hint="eastAsia" w:ascii="宋体" w:hAnsi="宋体" w:cs="宋体"/>
                <w:sz w:val="28"/>
                <w:szCs w:val="28"/>
              </w:rPr>
              <w:t>投标报价得分=（投标基准价/最后投标报价）×价格权值×100</w:t>
            </w:r>
          </w:p>
          <w:p>
            <w:pPr>
              <w:spacing w:before="120" w:beforeLines="50" w:after="120" w:afterLines="50" w:line="360" w:lineRule="auto"/>
              <w:rPr>
                <w:rFonts w:ascii="宋体" w:hAnsi="宋体" w:cs="宋体"/>
                <w:sz w:val="28"/>
                <w:szCs w:val="28"/>
              </w:rPr>
            </w:pPr>
            <w:r>
              <w:rPr>
                <w:rFonts w:hint="eastAsia" w:ascii="宋体" w:hAnsi="宋体" w:cs="宋体"/>
                <w:sz w:val="28"/>
                <w:szCs w:val="28"/>
              </w:rPr>
              <w:t>2、价格评审过程中，不得去掉最后报价中的最高报价和最低报价。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9356" w:type="dxa"/>
            <w:gridSpan w:val="5"/>
            <w:vAlign w:val="center"/>
          </w:tcPr>
          <w:p>
            <w:pPr>
              <w:spacing w:before="120" w:beforeLines="50" w:after="120" w:afterLines="50" w:line="360" w:lineRule="auto"/>
              <w:rPr>
                <w:rFonts w:ascii="宋体" w:hAnsi="宋体" w:cs="宋体"/>
                <w:sz w:val="28"/>
                <w:szCs w:val="28"/>
              </w:rPr>
            </w:pPr>
            <w:r>
              <w:rPr>
                <w:rFonts w:hint="eastAsia" w:ascii="宋体" w:hAnsi="宋体" w:cs="宋体"/>
                <w:sz w:val="28"/>
                <w:szCs w:val="28"/>
              </w:rPr>
              <w:t>注：</w:t>
            </w:r>
            <w:r>
              <w:rPr>
                <w:rFonts w:hint="eastAsia" w:ascii="宋体" w:hAnsi="宋体" w:cs="宋体"/>
                <w:color w:val="00B050"/>
                <w:sz w:val="28"/>
                <w:szCs w:val="28"/>
              </w:rPr>
              <w:t>评审小组认为供应商的报价明显低于其他通过符合性审查供应商的</w:t>
            </w:r>
            <w:r>
              <w:rPr>
                <w:rFonts w:hint="eastAsia" w:ascii="宋体" w:hAnsi="宋体" w:cs="宋体"/>
                <w:sz w:val="28"/>
                <w:szCs w:val="28"/>
              </w:rPr>
              <w:t xml:space="preserve">报价，有可能影响工程质量或者不能诚信履约的，应当要求其在合理的时间内提供书面说明，必要时提交相关证明材料；供应商不能证明其报价合理性的，评审小组应当将其作为无效响应处理。 </w:t>
            </w:r>
          </w:p>
        </w:tc>
      </w:tr>
    </w:tbl>
    <w:p>
      <w:pPr>
        <w:pStyle w:val="26"/>
        <w:rPr>
          <w:rFonts w:ascii="宋体" w:hAnsi="宋体" w:cs="宋体"/>
          <w:szCs w:val="21"/>
        </w:rPr>
      </w:pPr>
    </w:p>
    <w:p>
      <w:pPr>
        <w:pStyle w:val="26"/>
        <w:ind w:firstLine="0" w:firstLineChars="0"/>
        <w:sectPr>
          <w:pgSz w:w="11906" w:h="16838"/>
          <w:pgMar w:top="1191" w:right="1587" w:bottom="1020" w:left="1587" w:header="567" w:footer="283" w:gutter="0"/>
          <w:pgNumType w:start="1"/>
          <w:cols w:space="720" w:num="1"/>
          <w:docGrid w:linePitch="312" w:charSpace="0"/>
        </w:sectPr>
      </w:pPr>
    </w:p>
    <w:p>
      <w:pPr>
        <w:pStyle w:val="3"/>
        <w:numPr>
          <w:ilvl w:val="0"/>
          <w:numId w:val="3"/>
        </w:numPr>
        <w:spacing w:line="240" w:lineRule="auto"/>
        <w:ind w:firstLine="2409" w:firstLineChars="800"/>
        <w:rPr>
          <w:rFonts w:ascii="宋体" w:hAnsi="宋体" w:cs="宋体"/>
          <w:sz w:val="30"/>
          <w:szCs w:val="30"/>
        </w:rPr>
      </w:pPr>
      <w:bookmarkStart w:id="4" w:name="_Toc16523574"/>
      <w:r>
        <w:rPr>
          <w:rFonts w:hint="eastAsia" w:ascii="宋体" w:hAnsi="宋体" w:cs="宋体"/>
          <w:sz w:val="30"/>
          <w:szCs w:val="30"/>
        </w:rPr>
        <w:t xml:space="preserve">   </w:t>
      </w:r>
      <w:bookmarkEnd w:id="4"/>
      <w:r>
        <w:rPr>
          <w:rFonts w:hint="eastAsia" w:ascii="宋体" w:hAnsi="宋体" w:cs="宋体"/>
          <w:sz w:val="30"/>
          <w:szCs w:val="30"/>
        </w:rPr>
        <w:t xml:space="preserve">   投标文件的格式</w:t>
      </w:r>
    </w:p>
    <w:p>
      <w:pPr>
        <w:pStyle w:val="3"/>
        <w:spacing w:line="240" w:lineRule="auto"/>
        <w:ind w:firstLine="2108" w:firstLineChars="700"/>
        <w:rPr>
          <w:rFonts w:ascii="宋体" w:hAnsi="宋体" w:cs="宋体"/>
        </w:rPr>
      </w:pPr>
      <w:r>
        <w:rPr>
          <w:rFonts w:hint="eastAsia" w:ascii="宋体" w:hAnsi="宋体" w:cs="宋体"/>
          <w:sz w:val="30"/>
          <w:szCs w:val="30"/>
        </w:rPr>
        <w:t>（必须按以下标题和顺序进行编制）</w:t>
      </w:r>
    </w:p>
    <w:p/>
    <w:p>
      <w:pPr>
        <w:jc w:val="center"/>
        <w:rPr>
          <w:b/>
          <w:sz w:val="24"/>
        </w:rPr>
      </w:pPr>
      <w:r>
        <w:rPr>
          <w:b/>
          <w:sz w:val="28"/>
          <w:szCs w:val="28"/>
        </w:rPr>
        <w:t>第一部分、开标一览表</w:t>
      </w:r>
    </w:p>
    <w:p>
      <w:pPr>
        <w:jc w:val="center"/>
        <w:rPr>
          <w:b/>
          <w:sz w:val="24"/>
        </w:rPr>
      </w:pPr>
    </w:p>
    <w:p>
      <w:pPr>
        <w:jc w:val="center"/>
        <w:rPr>
          <w:b/>
          <w:sz w:val="24"/>
        </w:rPr>
      </w:pPr>
      <w:r>
        <w:rPr>
          <w:rFonts w:hint="eastAsia"/>
          <w:b/>
          <w:sz w:val="24"/>
        </w:rPr>
        <w:t>注：此项内容需包含投标商品名称、数量、单价、总价、等信息</w:t>
      </w:r>
    </w:p>
    <w:p>
      <w:pPr>
        <w:pStyle w:val="27"/>
      </w:pPr>
    </w:p>
    <w:p>
      <w:pPr>
        <w:adjustRightInd w:val="0"/>
        <w:snapToGrid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报价一览表</w:t>
      </w:r>
    </w:p>
    <w:p>
      <w:pPr>
        <w:adjustRightInd w:val="0"/>
        <w:snapToGrid w:val="0"/>
        <w:rPr>
          <w:rFonts w:ascii="宋体" w:hAnsi="宋体" w:cs="宋体"/>
          <w:color w:val="000000" w:themeColor="text1"/>
          <w:sz w:val="24"/>
          <w14:textFill>
            <w14:solidFill>
              <w14:schemeClr w14:val="tx1"/>
            </w14:solidFill>
          </w14:textFill>
        </w:rPr>
      </w:pPr>
    </w:p>
    <w:tbl>
      <w:tblPr>
        <w:tblStyle w:val="21"/>
        <w:tblW w:w="92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3080"/>
        <w:gridCol w:w="1630"/>
        <w:gridCol w:w="2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31"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项目名称</w:t>
            </w:r>
          </w:p>
        </w:tc>
        <w:tc>
          <w:tcPr>
            <w:tcW w:w="3080"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cs="宋体"/>
                <w:color w:val="000000" w:themeColor="text1"/>
                <w:szCs w:val="21"/>
                <w14:textFill>
                  <w14:solidFill>
                    <w14:schemeClr w14:val="tx1"/>
                  </w14:solidFill>
                </w14:textFill>
              </w:rPr>
            </w:pPr>
          </w:p>
        </w:tc>
        <w:tc>
          <w:tcPr>
            <w:tcW w:w="1630" w:type="dxa"/>
            <w:tcBorders>
              <w:top w:val="double" w:color="auto" w:sz="4" w:space="0"/>
              <w:left w:val="single" w:color="auto" w:sz="6" w:space="0"/>
              <w:right w:val="single" w:color="auto" w:sz="6" w:space="0"/>
            </w:tcBorders>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采购代理编号</w:t>
            </w:r>
          </w:p>
        </w:tc>
        <w:tc>
          <w:tcPr>
            <w:tcW w:w="2859"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31" w:type="dxa"/>
            <w:tcBorders>
              <w:top w:val="single" w:color="auto" w:sz="6" w:space="0"/>
              <w:left w:val="double" w:color="auto" w:sz="4" w:space="0"/>
              <w:right w:val="single" w:color="auto" w:sz="6" w:space="0"/>
            </w:tcBorders>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品目代码</w:t>
            </w:r>
          </w:p>
        </w:tc>
        <w:tc>
          <w:tcPr>
            <w:tcW w:w="7569" w:type="dxa"/>
            <w:gridSpan w:val="3"/>
            <w:tcBorders>
              <w:top w:val="single" w:color="auto" w:sz="6" w:space="0"/>
              <w:left w:val="single" w:color="auto" w:sz="6" w:space="0"/>
              <w:bottom w:val="single" w:color="auto" w:sz="6" w:space="0"/>
              <w:right w:val="doub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31" w:type="dxa"/>
            <w:tcBorders>
              <w:top w:val="single" w:color="auto" w:sz="6" w:space="0"/>
              <w:left w:val="double" w:color="auto" w:sz="4" w:space="0"/>
              <w:right w:val="single" w:color="auto" w:sz="6" w:space="0"/>
            </w:tcBorders>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工程总报价</w:t>
            </w:r>
          </w:p>
        </w:tc>
        <w:tc>
          <w:tcPr>
            <w:tcW w:w="7569"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根据本项目实际情况，我公司的报价费率为：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单个项目结算在按照双方签订的合同约定的取费标准计价后，我公司在此基础上进行优惠。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31"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工期（日历天）</w:t>
            </w:r>
          </w:p>
        </w:tc>
        <w:tc>
          <w:tcPr>
            <w:tcW w:w="7569"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cs="宋体"/>
                <w:i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31"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质量等级</w:t>
            </w:r>
          </w:p>
        </w:tc>
        <w:tc>
          <w:tcPr>
            <w:tcW w:w="7569"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ind w:firstLine="210" w:firstLineChars="100"/>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31"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保修承诺</w:t>
            </w:r>
          </w:p>
        </w:tc>
        <w:tc>
          <w:tcPr>
            <w:tcW w:w="7569"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ind w:firstLine="210" w:firstLineChars="100"/>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31"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7569"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ind w:firstLine="210" w:firstLineChars="100"/>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631" w:type="dxa"/>
            <w:tcBorders>
              <w:top w:val="single" w:color="auto" w:sz="6" w:space="0"/>
              <w:left w:val="double" w:color="auto" w:sz="4" w:space="0"/>
              <w:bottom w:val="double" w:color="auto" w:sz="4" w:space="0"/>
              <w:right w:val="single" w:color="auto" w:sz="6" w:space="0"/>
            </w:tcBorders>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  注</w:t>
            </w:r>
          </w:p>
        </w:tc>
        <w:tc>
          <w:tcPr>
            <w:tcW w:w="7569" w:type="dxa"/>
            <w:gridSpan w:val="3"/>
            <w:tcBorders>
              <w:top w:val="single" w:color="auto" w:sz="6" w:space="0"/>
              <w:left w:val="single" w:color="auto" w:sz="6" w:space="0"/>
              <w:bottom w:val="double" w:color="auto" w:sz="4" w:space="0"/>
              <w:right w:val="double" w:color="auto" w:sz="4"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投标报价请按费率报价，</w:t>
            </w:r>
            <w:r>
              <w:rPr>
                <w:rFonts w:hint="eastAsia" w:ascii="宋体" w:hAnsi="宋体" w:cs="宋体"/>
                <w:color w:val="00B050"/>
                <w:szCs w:val="21"/>
              </w:rPr>
              <w:t>比如投标报价是</w:t>
            </w:r>
            <w:r>
              <w:rPr>
                <w:rFonts w:hint="eastAsia" w:ascii="宋体" w:hAnsi="宋体" w:cs="宋体"/>
                <w:color w:val="00B050"/>
                <w:szCs w:val="21"/>
                <w:lang w:val="en-US" w:eastAsia="zh-CN"/>
              </w:rPr>
              <w:t>综合单价</w:t>
            </w:r>
            <w:r>
              <w:rPr>
                <w:rFonts w:hint="eastAsia" w:ascii="宋体" w:hAnsi="宋体" w:cs="宋体"/>
                <w:color w:val="00B050"/>
                <w:szCs w:val="21"/>
              </w:rPr>
              <w:t>优惠5%</w:t>
            </w:r>
            <w:r>
              <w:rPr>
                <w:rFonts w:hint="eastAsia" w:ascii="宋体" w:hAnsi="宋体" w:cs="宋体"/>
                <w:color w:val="000000" w:themeColor="text1"/>
                <w:szCs w:val="21"/>
                <w14:textFill>
                  <w14:solidFill>
                    <w14:schemeClr w14:val="tx1"/>
                  </w14:solidFill>
                </w14:textFill>
              </w:rPr>
              <w:t>，报价栏填写：投标报价费率为95%；比如投标报价是</w:t>
            </w:r>
            <w:r>
              <w:rPr>
                <w:rFonts w:hint="eastAsia" w:ascii="宋体" w:hAnsi="宋体" w:cs="宋体"/>
                <w:color w:val="000000" w:themeColor="text1"/>
                <w:szCs w:val="21"/>
                <w:lang w:val="en-US" w:eastAsia="zh-CN"/>
                <w14:textFill>
                  <w14:solidFill>
                    <w14:schemeClr w14:val="tx1"/>
                  </w14:solidFill>
                </w14:textFill>
              </w:rPr>
              <w:t>综合单价优惠</w:t>
            </w:r>
            <w:r>
              <w:rPr>
                <w:rFonts w:hint="eastAsia" w:ascii="宋体" w:hAnsi="宋体" w:cs="宋体"/>
                <w:color w:val="000000" w:themeColor="text1"/>
                <w:szCs w:val="21"/>
                <w14:textFill>
                  <w14:solidFill>
                    <w14:schemeClr w14:val="tx1"/>
                  </w14:solidFill>
                </w14:textFill>
              </w:rPr>
              <w:t>10%，报价栏填写：投标报价费率为90%；以此类推。</w:t>
            </w:r>
          </w:p>
        </w:tc>
      </w:tr>
    </w:tbl>
    <w:p>
      <w:pPr>
        <w:adjustRightInd w:val="0"/>
        <w:snapToGrid w:val="0"/>
        <w:spacing w:line="360" w:lineRule="auto"/>
        <w:ind w:left="-88" w:leftChars="-42" w:firstLine="210" w:firstLineChars="100"/>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说明：</w:t>
      </w:r>
      <w:r>
        <w:rPr>
          <w:rFonts w:hint="eastAsia" w:ascii="宋体" w:hAnsi="宋体" w:cs="宋体"/>
          <w:color w:val="000000" w:themeColor="text1"/>
          <w:szCs w:val="21"/>
          <w14:textFill>
            <w14:solidFill>
              <w14:schemeClr w14:val="tx1"/>
            </w14:solidFill>
          </w14:textFill>
        </w:rPr>
        <w:t>报价应包含“其他项目清单费用”不允许减除。</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p>
    <w:p>
      <w:pPr>
        <w:adjustRightInd w:val="0"/>
        <w:snapToGrid w:val="0"/>
        <w:spacing w:line="360" w:lineRule="auto"/>
        <w:rPr>
          <w:rFonts w:ascii="宋体" w:hAnsi="宋体" w:cs="宋体"/>
          <w:color w:val="00B050"/>
          <w:szCs w:val="21"/>
        </w:rPr>
      </w:pPr>
      <w:r>
        <w:rPr>
          <w:rFonts w:hint="eastAsia" w:ascii="宋体" w:hAnsi="宋体" w:cs="宋体"/>
          <w:color w:val="000000" w:themeColor="text1"/>
          <w:szCs w:val="21"/>
          <w14:textFill>
            <w14:solidFill>
              <w14:schemeClr w14:val="tx1"/>
            </w14:solidFill>
          </w14:textFill>
        </w:rPr>
        <w:t>日期：年月日</w:t>
      </w:r>
    </w:p>
    <w:p>
      <w:pPr>
        <w:rPr>
          <w:rFonts w:ascii="宋体" w:hAnsi="宋体" w:cs="宋体"/>
          <w:b/>
          <w:sz w:val="28"/>
          <w:szCs w:val="28"/>
        </w:rPr>
      </w:pPr>
    </w:p>
    <w:p>
      <w:r>
        <w:rPr>
          <w:rFonts w:hint="eastAsia"/>
        </w:rPr>
        <w:br w:type="page"/>
      </w:r>
    </w:p>
    <w:p>
      <w:pPr>
        <w:pStyle w:val="5"/>
      </w:pP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第二部分、资格证明文件</w:t>
      </w:r>
    </w:p>
    <w:p>
      <w:pPr>
        <w:pStyle w:val="26"/>
      </w:pPr>
    </w:p>
    <w:p>
      <w:pPr>
        <w:adjustRightInd w:val="0"/>
        <w:snapToGrid w:val="0"/>
        <w:spacing w:line="360" w:lineRule="auto"/>
        <w:jc w:val="center"/>
        <w:rPr>
          <w:rFonts w:ascii="宋体" w:hAnsi="宋体" w:cs="宋体"/>
          <w:b/>
          <w:sz w:val="24"/>
          <w:szCs w:val="20"/>
        </w:rPr>
      </w:pPr>
    </w:p>
    <w:p>
      <w:pPr>
        <w:adjustRightInd w:val="0"/>
        <w:snapToGrid w:val="0"/>
        <w:spacing w:line="360" w:lineRule="auto"/>
        <w:jc w:val="center"/>
        <w:rPr>
          <w:rFonts w:ascii="宋体" w:hAnsi="宋体" w:cs="宋体"/>
          <w:b/>
          <w:sz w:val="24"/>
          <w:szCs w:val="20"/>
        </w:rPr>
      </w:pPr>
      <w:r>
        <w:rPr>
          <w:rFonts w:hint="eastAsia" w:ascii="宋体" w:hAnsi="宋体" w:cs="宋体"/>
          <w:b/>
          <w:sz w:val="24"/>
          <w:szCs w:val="20"/>
        </w:rPr>
        <w:t>一、法定代表人授权委托书</w:t>
      </w:r>
    </w:p>
    <w:p>
      <w:pPr>
        <w:adjustRightInd w:val="0"/>
        <w:snapToGrid w:val="0"/>
        <w:spacing w:line="360" w:lineRule="auto"/>
        <w:rPr>
          <w:rFonts w:ascii="宋体" w:hAnsi="宋体" w:cs="宋体"/>
          <w:b/>
          <w:sz w:val="28"/>
          <w:szCs w:val="28"/>
        </w:rPr>
      </w:pP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（姓名、职务）</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sz w:val="24"/>
          <w:u w:val="single"/>
        </w:rPr>
        <w:t>投标人</w:t>
      </w:r>
      <w:r>
        <w:rPr>
          <w:rFonts w:hint="eastAsia" w:ascii="宋体" w:hAnsi="宋体" w:cs="宋体"/>
          <w:kern w:val="0"/>
          <w:sz w:val="24"/>
          <w:u w:val="single"/>
        </w:rPr>
        <w:t>名称）</w:t>
      </w:r>
      <w:r>
        <w:rPr>
          <w:rFonts w:hint="eastAsia" w:ascii="宋体" w:hAnsi="宋体" w:cs="宋体"/>
          <w:kern w:val="0"/>
          <w:sz w:val="24"/>
        </w:rPr>
        <w:t>的法定代表人，现授权</w:t>
      </w:r>
      <w:r>
        <w:rPr>
          <w:rFonts w:hint="eastAsia" w:ascii="宋体" w:hAnsi="宋体" w:cs="宋体"/>
          <w:kern w:val="0"/>
          <w:sz w:val="24"/>
          <w:u w:val="single"/>
        </w:rPr>
        <w:t>（姓名、职务）</w:t>
      </w:r>
      <w:r>
        <w:rPr>
          <w:rFonts w:hint="eastAsia" w:ascii="宋体" w:hAnsi="宋体" w:cs="宋体"/>
          <w:kern w:val="0"/>
          <w:sz w:val="24"/>
        </w:rPr>
        <w:t>为我方代理人。代理人根据授权，以我方名义签署、澄清、说明、补正、递交、撤回、修改</w:t>
      </w:r>
      <w:r>
        <w:rPr>
          <w:rFonts w:hint="eastAsia" w:ascii="宋体" w:hAnsi="宋体" w:cs="宋体"/>
          <w:kern w:val="0"/>
          <w:sz w:val="24"/>
          <w:u w:val="single"/>
        </w:rPr>
        <w:t>（项目名称）</w:t>
      </w:r>
      <w:r>
        <w:rPr>
          <w:rFonts w:hint="eastAsia" w:ascii="宋体" w:hAnsi="宋体" w:cs="宋体"/>
          <w:kern w:val="0"/>
          <w:sz w:val="24"/>
        </w:rPr>
        <w:t>（采购编号：</w:t>
      </w:r>
      <w:r>
        <w:rPr>
          <w:rFonts w:hint="eastAsia" w:ascii="宋体" w:hAnsi="宋体" w:cs="宋体"/>
          <w:kern w:val="0"/>
          <w:sz w:val="24"/>
          <w:u w:val="single"/>
        </w:rPr>
        <w:t xml:space="preserve">     </w:t>
      </w:r>
      <w:r>
        <w:rPr>
          <w:rFonts w:hint="eastAsia" w:ascii="宋体" w:hAnsi="宋体" w:cs="宋体"/>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w:t>
      </w:r>
    </w:p>
    <w:p>
      <w:pPr>
        <w:adjustRightInd w:val="0"/>
        <w:snapToGrid w:val="0"/>
        <w:spacing w:line="360" w:lineRule="auto"/>
        <w:ind w:firstLine="435"/>
        <w:rPr>
          <w:rFonts w:ascii="宋体" w:hAnsi="宋体" w:cs="宋体"/>
          <w:kern w:val="0"/>
          <w:sz w:val="24"/>
        </w:rPr>
      </w:pPr>
      <w:r>
        <w:rPr>
          <w:rFonts w:hint="eastAsia" w:ascii="宋体" w:hAnsi="宋体" w:cs="宋体"/>
          <w:kern w:val="0"/>
          <w:sz w:val="24"/>
        </w:rPr>
        <w:t>代理人无转委托权。</w:t>
      </w:r>
    </w:p>
    <w:p>
      <w:pPr>
        <w:adjustRightInd w:val="0"/>
        <w:snapToGrid w:val="0"/>
        <w:spacing w:line="360" w:lineRule="auto"/>
        <w:ind w:firstLine="435"/>
        <w:rPr>
          <w:rFonts w:ascii="宋体" w:hAnsi="宋体" w:cs="宋体"/>
          <w:sz w:val="24"/>
        </w:rPr>
      </w:pPr>
      <w:r>
        <w:rPr>
          <w:rFonts w:hint="eastAsia" w:ascii="宋体" w:hAnsi="宋体" w:cs="宋体"/>
          <w:sz w:val="24"/>
        </w:rPr>
        <w:t>本授权书于日期：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adjustRightInd w:val="0"/>
        <w:snapToGrid w:val="0"/>
        <w:spacing w:line="360" w:lineRule="auto"/>
        <w:ind w:firstLine="480" w:firstLineChars="200"/>
        <w:rPr>
          <w:rFonts w:ascii="宋体" w:hAnsi="宋体" w:cs="宋体"/>
          <w:sz w:val="24"/>
        </w:rPr>
      </w:pPr>
    </w:p>
    <w:tbl>
      <w:tblPr>
        <w:tblStyle w:val="2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委托代理人身份证（正面、反面）复印件</w:t>
            </w:r>
          </w:p>
        </w:tc>
      </w:tr>
    </w:tbl>
    <w:p>
      <w:pPr>
        <w:adjustRightInd w:val="0"/>
        <w:snapToGrid w:val="0"/>
        <w:spacing w:line="360" w:lineRule="auto"/>
        <w:rPr>
          <w:rFonts w:ascii="宋体" w:hAnsi="宋体" w:cs="宋体"/>
          <w:sz w:val="24"/>
        </w:rPr>
      </w:pPr>
    </w:p>
    <w:tbl>
      <w:tblPr>
        <w:tblStyle w:val="2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法定代表人身份证（正面、反面）复印件</w:t>
            </w:r>
          </w:p>
        </w:tc>
      </w:tr>
    </w:tbl>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投标人名称（盖单位章）：</w:t>
      </w:r>
    </w:p>
    <w:p>
      <w:pPr>
        <w:adjustRightInd w:val="0"/>
        <w:snapToGrid w:val="0"/>
        <w:spacing w:line="360" w:lineRule="auto"/>
        <w:ind w:right="420"/>
        <w:rPr>
          <w:rFonts w:ascii="宋体" w:hAnsi="宋体" w:cs="宋体"/>
          <w:sz w:val="24"/>
        </w:rPr>
      </w:pPr>
      <w:r>
        <w:rPr>
          <w:rFonts w:hint="eastAsia" w:ascii="宋体" w:hAnsi="宋体" w:cs="宋体"/>
          <w:sz w:val="24"/>
        </w:rPr>
        <w:t>法定代表人（签字）：</w:t>
      </w:r>
    </w:p>
    <w:p>
      <w:pPr>
        <w:adjustRightInd w:val="0"/>
        <w:snapToGrid w:val="0"/>
        <w:spacing w:line="360" w:lineRule="auto"/>
        <w:ind w:right="420"/>
        <w:rPr>
          <w:rFonts w:ascii="宋体" w:hAnsi="宋体" w:cs="宋体"/>
          <w:sz w:val="24"/>
        </w:rPr>
      </w:pPr>
      <w:r>
        <w:rPr>
          <w:rFonts w:hint="eastAsia" w:ascii="宋体" w:hAnsi="宋体" w:cs="宋体"/>
          <w:sz w:val="24"/>
        </w:rPr>
        <w:t>委托代理人（签字）：</w:t>
      </w:r>
    </w:p>
    <w:p>
      <w:pPr>
        <w:adjustRightInd w:val="0"/>
        <w:snapToGrid w:val="0"/>
        <w:spacing w:line="360" w:lineRule="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6"/>
        <w:ind w:firstLine="562"/>
        <w:rPr>
          <w:rFonts w:ascii="宋体" w:hAnsi="宋体" w:cs="宋体"/>
          <w:b/>
          <w:sz w:val="28"/>
          <w:szCs w:val="28"/>
        </w:rPr>
      </w:pPr>
    </w:p>
    <w:p>
      <w:pPr>
        <w:spacing w:line="360" w:lineRule="atLeast"/>
        <w:jc w:val="center"/>
        <w:rPr>
          <w:rFonts w:ascii="宋体" w:hAnsi="宋体" w:cs="宋体"/>
          <w:b/>
          <w:sz w:val="24"/>
          <w:szCs w:val="20"/>
        </w:rPr>
      </w:pPr>
      <w:r>
        <w:rPr>
          <w:rFonts w:hint="eastAsia" w:ascii="宋体" w:hAnsi="宋体" w:cs="宋体"/>
          <w:b/>
          <w:sz w:val="24"/>
          <w:szCs w:val="20"/>
        </w:rPr>
        <w:br w:type="page"/>
      </w:r>
    </w:p>
    <w:p>
      <w:pPr>
        <w:spacing w:line="360" w:lineRule="atLeast"/>
        <w:rPr>
          <w:rFonts w:ascii="宋体" w:hAnsi="宋体" w:cs="宋体"/>
          <w:b/>
          <w:sz w:val="24"/>
          <w:szCs w:val="20"/>
        </w:rPr>
      </w:pPr>
      <w:r>
        <w:rPr>
          <w:rFonts w:hint="eastAsia" w:ascii="宋体" w:hAnsi="宋体" w:cs="宋体"/>
          <w:b/>
          <w:sz w:val="24"/>
          <w:szCs w:val="20"/>
        </w:rPr>
        <w:t>附件1</w:t>
      </w:r>
    </w:p>
    <w:p>
      <w:pPr>
        <w:spacing w:line="360" w:lineRule="atLeas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主要人员简历表</w:t>
      </w:r>
    </w:p>
    <w:tbl>
      <w:tblPr>
        <w:tblStyle w:val="21"/>
        <w:tblW w:w="9000" w:type="dxa"/>
        <w:tblInd w:w="-9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772"/>
        <w:gridCol w:w="2468"/>
        <w:gridCol w:w="396"/>
        <w:gridCol w:w="1404"/>
        <w:gridCol w:w="540"/>
        <w:gridCol w:w="19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233"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2468"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340"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性别</w:t>
            </w:r>
          </w:p>
        </w:tc>
        <w:tc>
          <w:tcPr>
            <w:tcW w:w="1959"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233"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2468"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340"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959"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233"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毕业学校、专业</w:t>
            </w:r>
          </w:p>
        </w:tc>
        <w:tc>
          <w:tcPr>
            <w:tcW w:w="6767" w:type="dxa"/>
            <w:gridSpan w:val="5"/>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233"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p>
        </w:tc>
        <w:tc>
          <w:tcPr>
            <w:tcW w:w="2468"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340"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拟在本合同任职</w:t>
            </w:r>
          </w:p>
        </w:tc>
        <w:tc>
          <w:tcPr>
            <w:tcW w:w="1959" w:type="dxa"/>
            <w:vAlign w:val="center"/>
          </w:tcPr>
          <w:p>
            <w:pPr>
              <w:spacing w:line="360" w:lineRule="atLeast"/>
              <w:ind w:right="-105" w:rightChars="-50"/>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771" w:hRule="exact"/>
        </w:trPr>
        <w:tc>
          <w:tcPr>
            <w:tcW w:w="2233"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执业资格证</w:t>
            </w:r>
          </w:p>
        </w:tc>
        <w:tc>
          <w:tcPr>
            <w:tcW w:w="2468"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340"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执业资格证书号</w:t>
            </w:r>
          </w:p>
        </w:tc>
        <w:tc>
          <w:tcPr>
            <w:tcW w:w="1959" w:type="dxa"/>
            <w:vAlign w:val="center"/>
          </w:tcPr>
          <w:p>
            <w:pP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9000" w:type="dxa"/>
            <w:gridSpan w:val="7"/>
            <w:vAlign w:val="center"/>
          </w:tcPr>
          <w:p>
            <w:pPr>
              <w:spacing w:line="36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类似项目名称</w:t>
            </w: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担任职务</w:t>
            </w: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3636" w:type="dxa"/>
            <w:gridSpan w:val="3"/>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1404" w:type="dxa"/>
            <w:vAlign w:val="center"/>
          </w:tcPr>
          <w:p>
            <w:pPr>
              <w:spacing w:line="360" w:lineRule="atLeast"/>
              <w:jc w:val="center"/>
              <w:rPr>
                <w:rFonts w:ascii="宋体" w:hAnsi="宋体" w:cs="宋体"/>
                <w:color w:val="000000" w:themeColor="text1"/>
                <w:szCs w:val="21"/>
                <w14:textFill>
                  <w14:solidFill>
                    <w14:schemeClr w14:val="tx1"/>
                  </w14:solidFill>
                </w14:textFill>
              </w:rPr>
            </w:pPr>
          </w:p>
        </w:tc>
        <w:tc>
          <w:tcPr>
            <w:tcW w:w="2499" w:type="dxa"/>
            <w:gridSpan w:val="2"/>
            <w:vAlign w:val="center"/>
          </w:tcPr>
          <w:p>
            <w:pPr>
              <w:spacing w:line="360" w:lineRule="atLeast"/>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说明：附主要人员证书复印件等。</w:t>
      </w:r>
    </w:p>
    <w:p>
      <w:pPr>
        <w:rPr>
          <w:rFonts w:ascii="宋体" w:hAnsi="宋体" w:cs="宋体"/>
          <w:color w:val="000000" w:themeColor="text1"/>
          <w:szCs w:val="21"/>
          <w14:textFill>
            <w14:solidFill>
              <w14:schemeClr w14:val="tx1"/>
            </w14:solidFill>
          </w14:textFill>
        </w:rPr>
      </w:pPr>
    </w:p>
    <w:p>
      <w:pPr>
        <w:pStyle w:val="11"/>
        <w:adjustRightInd w:val="0"/>
        <w:snapToGrid w:val="0"/>
        <w:spacing w:line="360" w:lineRule="auto"/>
        <w:outlineLvl w:val="0"/>
        <w:rPr>
          <w:rFonts w:ascii="宋体" w:hAnsi="宋体" w:cs="宋体"/>
          <w:bCs/>
          <w:color w:val="000000" w:themeColor="text1"/>
          <w:sz w:val="21"/>
          <w:szCs w:val="21"/>
          <w14:textFill>
            <w14:solidFill>
              <w14:schemeClr w14:val="tx1"/>
            </w14:solidFill>
          </w14:textFill>
        </w:rPr>
      </w:pPr>
      <w:bookmarkStart w:id="5" w:name="_Toc24878"/>
      <w:r>
        <w:rPr>
          <w:rFonts w:hint="eastAsia" w:ascii="宋体" w:hAnsi="宋体" w:cs="宋体"/>
          <w:color w:val="000000" w:themeColor="text1"/>
          <w:sz w:val="21"/>
          <w:szCs w:val="21"/>
          <w14:textFill>
            <w14:solidFill>
              <w14:schemeClr w14:val="tx1"/>
            </w14:solidFill>
          </w14:textFill>
        </w:rPr>
        <w:t>供应商名称：</w:t>
      </w:r>
      <w:bookmarkEnd w:id="5"/>
    </w:p>
    <w:p>
      <w:pPr>
        <w:adjustRightInd w:val="0"/>
        <w:snapToGrid w:val="0"/>
        <w:spacing w:line="360" w:lineRule="auto"/>
        <w:outlineLvl w:val="0"/>
        <w:rPr>
          <w:rFonts w:ascii="宋体" w:hAnsi="宋体" w:cs="宋体"/>
          <w:color w:val="000000" w:themeColor="text1"/>
          <w:szCs w:val="21"/>
          <w14:textFill>
            <w14:solidFill>
              <w14:schemeClr w14:val="tx1"/>
            </w14:solidFill>
          </w14:textFill>
        </w:rPr>
      </w:pPr>
      <w:bookmarkStart w:id="6" w:name="_Toc30848"/>
      <w:r>
        <w:rPr>
          <w:rFonts w:hint="eastAsia" w:ascii="宋体" w:hAnsi="宋体" w:cs="宋体"/>
          <w:color w:val="000000" w:themeColor="text1"/>
          <w:szCs w:val="21"/>
          <w14:textFill>
            <w14:solidFill>
              <w14:schemeClr w14:val="tx1"/>
            </w14:solidFill>
          </w14:textFill>
        </w:rPr>
        <w:t>法定代表人或其委托代理人(签字)：</w:t>
      </w:r>
      <w:bookmarkEnd w:id="6"/>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pPr>
        <w:rPr>
          <w:rFonts w:ascii="宋体" w:hAnsi="宋体" w:cs="宋体"/>
          <w:color w:val="000000" w:themeColor="text1"/>
          <w14:textFill>
            <w14:solidFill>
              <w14:schemeClr w14:val="tx1"/>
            </w14:solidFill>
          </w14:textFill>
        </w:rPr>
      </w:pPr>
    </w:p>
    <w:p>
      <w:pPr>
        <w:rPr>
          <w:rFonts w:ascii="宋体" w:hAnsi="宋体" w:cs="宋体"/>
          <w:b/>
          <w:sz w:val="24"/>
          <w:szCs w:val="20"/>
        </w:rPr>
      </w:pPr>
      <w:r>
        <w:rPr>
          <w:rFonts w:hint="eastAsia" w:ascii="宋体" w:hAnsi="宋体" w:cs="宋体"/>
          <w:b/>
          <w:sz w:val="24"/>
          <w:szCs w:val="20"/>
        </w:rPr>
        <w:br w:type="page"/>
      </w:r>
    </w:p>
    <w:p>
      <w:pPr>
        <w:pStyle w:val="20"/>
        <w:ind w:firstLine="480"/>
      </w:pPr>
    </w:p>
    <w:p>
      <w:pPr>
        <w:adjustRightInd w:val="0"/>
        <w:snapToGrid w:val="0"/>
        <w:spacing w:line="360" w:lineRule="auto"/>
        <w:jc w:val="center"/>
        <w:rPr>
          <w:rFonts w:ascii="宋体" w:hAnsi="宋体" w:cs="宋体"/>
          <w:sz w:val="24"/>
        </w:rPr>
      </w:pPr>
      <w:r>
        <w:rPr>
          <w:rFonts w:hint="eastAsia" w:ascii="宋体" w:hAnsi="宋体" w:cs="宋体"/>
          <w:b/>
          <w:sz w:val="24"/>
          <w:szCs w:val="20"/>
        </w:rPr>
        <w:t>二、投标人资格声明</w:t>
      </w:r>
    </w:p>
    <w:p>
      <w:pPr>
        <w:widowControl/>
        <w:adjustRightInd w:val="0"/>
        <w:snapToGrid w:val="0"/>
        <w:spacing w:before="120" w:beforeLines="50" w:line="360" w:lineRule="auto"/>
        <w:jc w:val="left"/>
        <w:rPr>
          <w:rFonts w:ascii="宋体" w:hAnsi="宋体" w:cs="宋体"/>
          <w:kern w:val="0"/>
          <w:sz w:val="24"/>
        </w:rPr>
      </w:pPr>
      <w:r>
        <w:rPr>
          <w:rFonts w:hint="eastAsia" w:ascii="宋体" w:hAnsi="宋体" w:cs="宋体"/>
          <w:sz w:val="24"/>
        </w:rPr>
        <w:t>致(           )：</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按照招标文件的规定，我单位郑重声明如下：</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一、我单位是按照中华人民共和国法律规定登记注册的，注册地点为</w:t>
      </w:r>
      <w:r>
        <w:rPr>
          <w:rFonts w:hint="eastAsia" w:ascii="宋体" w:hAnsi="宋体" w:cs="宋体"/>
          <w:sz w:val="24"/>
          <w:u w:val="single"/>
        </w:rPr>
        <w:t xml:space="preserve">      </w:t>
      </w:r>
      <w:r>
        <w:rPr>
          <w:rFonts w:hint="eastAsia" w:ascii="宋体" w:hAnsi="宋体" w:cs="宋体"/>
          <w:sz w:val="24"/>
        </w:rPr>
        <w:t>，全称为</w:t>
      </w:r>
      <w:r>
        <w:rPr>
          <w:rFonts w:hint="eastAsia" w:ascii="宋体" w:hAnsi="宋体" w:cs="宋体"/>
          <w:sz w:val="24"/>
          <w:u w:val="single"/>
        </w:rPr>
        <w:t xml:space="preserve">      </w:t>
      </w:r>
      <w:r>
        <w:rPr>
          <w:rFonts w:hint="eastAsia" w:ascii="宋体" w:hAnsi="宋体" w:cs="宋体"/>
          <w:sz w:val="24"/>
        </w:rPr>
        <w:t>，统一社会信用代码为</w:t>
      </w:r>
      <w:r>
        <w:rPr>
          <w:rFonts w:hint="eastAsia" w:ascii="宋体" w:hAnsi="宋体" w:cs="宋体"/>
          <w:sz w:val="24"/>
          <w:u w:val="single"/>
        </w:rPr>
        <w:t xml:space="preserve">      </w:t>
      </w:r>
      <w:r>
        <w:rPr>
          <w:rFonts w:hint="eastAsia" w:ascii="宋体" w:hAnsi="宋体" w:cs="宋体"/>
          <w:sz w:val="24"/>
        </w:rPr>
        <w:t>，法定代表人为</w:t>
      </w:r>
      <w:r>
        <w:rPr>
          <w:rFonts w:hint="eastAsia" w:ascii="宋体" w:hAnsi="宋体" w:cs="宋体"/>
          <w:sz w:val="24"/>
          <w:u w:val="single"/>
        </w:rPr>
        <w:t xml:space="preserve">      </w:t>
      </w:r>
      <w:r>
        <w:rPr>
          <w:rFonts w:hint="eastAsia" w:ascii="宋体" w:hAnsi="宋体" w:cs="宋体"/>
          <w:sz w:val="24"/>
        </w:rPr>
        <w:t>，具有独立承担民事责任的能力。</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五、我单位具备法律、行政法规规定的其他条件。</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kern w:val="0"/>
          <w:sz w:val="24"/>
        </w:rPr>
        <w:t>六、</w:t>
      </w:r>
      <w:r>
        <w:rPr>
          <w:rFonts w:hint="eastAsia" w:ascii="宋体" w:hAnsi="宋体" w:cs="宋体"/>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ascii="宋体" w:hAnsi="宋体" w:cs="宋体"/>
          <w:sz w:val="24"/>
          <w:u w:val="single"/>
        </w:rPr>
      </w:pPr>
      <w:r>
        <w:rPr>
          <w:rFonts w:hint="eastAsia" w:ascii="宋体" w:hAnsi="宋体" w:cs="宋体"/>
          <w:sz w:val="24"/>
        </w:rPr>
        <w:t>1、与我单位的法定代表人（单位负责人）为同一人的其他法人单位如下：</w:t>
      </w:r>
      <w:r>
        <w:rPr>
          <w:rFonts w:hint="eastAsia" w:ascii="宋体" w:hAnsi="宋体" w:cs="宋体"/>
          <w:sz w:val="24"/>
          <w:u w:val="single"/>
        </w:rPr>
        <w:t xml:space="preserve">               </w:t>
      </w:r>
    </w:p>
    <w:p>
      <w:pPr>
        <w:adjustRightInd w:val="0"/>
        <w:snapToGrid w:val="0"/>
        <w:spacing w:before="120" w:beforeLines="50" w:line="360" w:lineRule="auto"/>
        <w:ind w:firstLine="480" w:firstLineChars="200"/>
        <w:rPr>
          <w:rFonts w:ascii="宋体" w:hAnsi="宋体" w:cs="宋体"/>
          <w:sz w:val="24"/>
        </w:rPr>
      </w:pPr>
      <w:r>
        <w:rPr>
          <w:rFonts w:hint="eastAsia" w:ascii="宋体" w:hAnsi="宋体" w:cs="宋体"/>
          <w:sz w:val="24"/>
        </w:rPr>
        <w:t>2、我单位直接控股的其他法人单位如下：</w:t>
      </w:r>
      <w:r>
        <w:rPr>
          <w:rFonts w:hint="eastAsia" w:ascii="宋体" w:hAnsi="宋体" w:cs="宋体"/>
          <w:sz w:val="24"/>
          <w:u w:val="single"/>
        </w:rPr>
        <w:t xml:space="preserve">                                            </w:t>
      </w:r>
    </w:p>
    <w:p>
      <w:pPr>
        <w:adjustRightInd w:val="0"/>
        <w:snapToGrid w:val="0"/>
        <w:spacing w:before="120" w:beforeLines="50" w:line="360" w:lineRule="auto"/>
        <w:ind w:firstLine="480" w:firstLineChars="200"/>
        <w:rPr>
          <w:rFonts w:ascii="宋体" w:hAnsi="宋体" w:cs="宋体"/>
          <w:sz w:val="24"/>
        </w:rPr>
      </w:pPr>
      <w:r>
        <w:rPr>
          <w:rFonts w:hint="eastAsia" w:ascii="宋体" w:hAnsi="宋体" w:cs="宋体"/>
          <w:sz w:val="24"/>
        </w:rPr>
        <w:t>3、与我单位存在管理关系的其他法人单位如下：</w:t>
      </w:r>
      <w:r>
        <w:rPr>
          <w:rFonts w:hint="eastAsia" w:ascii="宋体" w:hAnsi="宋体" w:cs="宋体"/>
          <w:sz w:val="24"/>
          <w:u w:val="single"/>
        </w:rPr>
        <w:t xml:space="preserve">                                      </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我单位保证随时按照要求提供能够证明上述声明事项真实性的任何有效文件。</w:t>
      </w:r>
    </w:p>
    <w:p>
      <w:pPr>
        <w:widowControl/>
        <w:adjustRightInd w:val="0"/>
        <w:snapToGrid w:val="0"/>
        <w:spacing w:before="120" w:beforeLines="50" w:line="360" w:lineRule="auto"/>
        <w:jc w:val="left"/>
        <w:rPr>
          <w:rFonts w:ascii="宋体" w:hAnsi="宋体" w:cs="宋体"/>
          <w:kern w:val="0"/>
          <w:sz w:val="24"/>
        </w:rPr>
      </w:pPr>
      <w:r>
        <w:rPr>
          <w:rFonts w:hint="eastAsia" w:ascii="宋体" w:hAnsi="宋体" w:cs="宋体"/>
          <w:sz w:val="24"/>
        </w:rPr>
        <w:t>投标人名称（盖单位公章）：</w:t>
      </w:r>
    </w:p>
    <w:p>
      <w:pPr>
        <w:widowControl/>
        <w:adjustRightInd w:val="0"/>
        <w:snapToGrid w:val="0"/>
        <w:spacing w:before="120" w:beforeLines="50" w:line="360" w:lineRule="auto"/>
        <w:jc w:val="left"/>
        <w:rPr>
          <w:rFonts w:ascii="宋体" w:hAnsi="宋体" w:cs="宋体"/>
          <w:b/>
          <w:bCs/>
          <w:kern w:val="0"/>
          <w:sz w:val="24"/>
        </w:rPr>
      </w:pPr>
      <w:r>
        <w:rPr>
          <w:rFonts w:hint="eastAsia" w:ascii="宋体" w:hAnsi="宋体" w:cs="宋体"/>
          <w:sz w:val="24"/>
        </w:rPr>
        <w:t>法定代表人或委托代理人（签字）：</w:t>
      </w:r>
    </w:p>
    <w:p>
      <w:pPr>
        <w:widowControl/>
        <w:adjustRightInd w:val="0"/>
        <w:snapToGrid w:val="0"/>
        <w:spacing w:before="120" w:beforeLines="50" w:line="36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jc w:val="center"/>
        <w:rPr>
          <w:rFonts w:ascii="宋体" w:hAnsi="宋体" w:cs="宋体"/>
          <w:b/>
          <w:sz w:val="24"/>
          <w:szCs w:val="20"/>
        </w:rPr>
      </w:pPr>
    </w:p>
    <w:p>
      <w:pPr>
        <w:adjustRightInd w:val="0"/>
        <w:snapToGrid w:val="0"/>
        <w:spacing w:line="360" w:lineRule="auto"/>
        <w:rPr>
          <w:rFonts w:ascii="宋体" w:hAnsi="宋体" w:cs="宋体"/>
          <w:b/>
          <w:sz w:val="24"/>
          <w:szCs w:val="20"/>
        </w:rPr>
      </w:pPr>
    </w:p>
    <w:p>
      <w:pPr>
        <w:adjustRightInd w:val="0"/>
        <w:snapToGrid w:val="0"/>
        <w:spacing w:line="360" w:lineRule="auto"/>
        <w:rPr>
          <w:rFonts w:ascii="宋体" w:hAnsi="宋体" w:cs="宋体"/>
          <w:b/>
          <w:sz w:val="24"/>
          <w:szCs w:val="20"/>
        </w:rPr>
      </w:pP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三、符合基本资格条件证明材料复印件或者情况说明</w:t>
      </w:r>
    </w:p>
    <w:p>
      <w:pPr>
        <w:adjustRightInd w:val="0"/>
        <w:snapToGrid w:val="0"/>
        <w:spacing w:line="360" w:lineRule="auto"/>
        <w:jc w:val="center"/>
        <w:rPr>
          <w:rFonts w:ascii="宋体" w:hAnsi="宋体" w:cs="宋体"/>
          <w:b/>
          <w:sz w:val="24"/>
          <w:szCs w:val="20"/>
        </w:rPr>
      </w:pPr>
    </w:p>
    <w:p>
      <w:pPr>
        <w:pStyle w:val="4"/>
        <w:keepLines w:val="0"/>
        <w:snapToGrid w:val="0"/>
        <w:spacing w:before="0" w:after="0" w:line="520" w:lineRule="exact"/>
        <w:jc w:val="left"/>
        <w:rPr>
          <w:rFonts w:ascii="宋体" w:hAnsi="宋体"/>
          <w:b w:val="0"/>
          <w:kern w:val="2"/>
          <w:sz w:val="24"/>
          <w:szCs w:val="24"/>
        </w:rPr>
      </w:pPr>
      <w:r>
        <w:rPr>
          <w:rFonts w:hint="eastAsia" w:ascii="宋体" w:hAnsi="宋体" w:cs="宋体"/>
          <w:b w:val="0"/>
          <w:sz w:val="24"/>
          <w:szCs w:val="24"/>
        </w:rPr>
        <w:t>注：</w:t>
      </w:r>
      <w:r>
        <w:rPr>
          <w:rFonts w:hint="eastAsia" w:ascii="宋体" w:hAnsi="宋体" w:cs="宋体"/>
          <w:b w:val="0"/>
          <w:sz w:val="24"/>
          <w:szCs w:val="24"/>
          <w:lang w:bidi="zh-CN"/>
        </w:rPr>
        <w:t>投标公司的营业执照及资格要求的证明材料，并加盖单位公章（按顺序装订）。</w:t>
      </w:r>
      <w:r>
        <w:rPr>
          <w:rFonts w:hint="eastAsia" w:ascii="宋体" w:hAnsi="宋体"/>
          <w:b w:val="0"/>
          <w:kern w:val="2"/>
          <w:sz w:val="24"/>
          <w:szCs w:val="24"/>
        </w:rPr>
        <w:t>附件    湖南省政府采购供应商资格承诺函</w:t>
      </w:r>
    </w:p>
    <w:p>
      <w:pPr>
        <w:widowControl/>
        <w:spacing w:after="100" w:afterAutospacing="1" w:line="360" w:lineRule="auto"/>
        <w:ind w:left="227" w:right="113" w:firstLine="482"/>
        <w:jc w:val="left"/>
        <w:rPr>
          <w:rFonts w:ascii="宋体" w:hAnsi="宋体"/>
          <w:sz w:val="24"/>
        </w:rPr>
      </w:pPr>
      <w:r>
        <w:rPr>
          <w:rFonts w:hint="eastAsia" w:ascii="宋体" w:hAnsi="宋体"/>
          <w:sz w:val="24"/>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ascii="宋体" w:hAnsi="宋体"/>
          <w:sz w:val="24"/>
        </w:rPr>
      </w:pPr>
      <w:r>
        <w:rPr>
          <w:rFonts w:hint="eastAsia" w:ascii="宋体" w:hAnsi="宋体"/>
          <w:sz w:val="24"/>
        </w:rPr>
        <w:t>按照《政府采购促进中小企业发展管理办法》(财库〔2020〕46号)规定，</w:t>
      </w:r>
    </w:p>
    <w:p>
      <w:pPr>
        <w:widowControl/>
        <w:snapToGrid w:val="0"/>
        <w:spacing w:before="100" w:beforeAutospacing="1" w:after="100" w:afterAutospacing="1" w:line="360" w:lineRule="auto"/>
        <w:ind w:left="210" w:leftChars="100"/>
        <w:jc w:val="left"/>
        <w:rPr>
          <w:rFonts w:ascii="宋体" w:hAnsi="宋体"/>
          <w:sz w:val="24"/>
        </w:rPr>
      </w:pPr>
      <w:r>
        <w:rPr>
          <w:rFonts w:hint="eastAsia" w:ascii="宋体" w:hAnsi="宋体"/>
          <w:sz w:val="24"/>
        </w:rPr>
        <w:t>本公司企业规模为：          （大型、中型、小型、微型 ）</w:t>
      </w:r>
    </w:p>
    <w:p>
      <w:pPr>
        <w:widowControl/>
        <w:spacing w:after="100" w:afterAutospacing="1" w:line="360" w:lineRule="auto"/>
        <w:ind w:left="246"/>
        <w:jc w:val="left"/>
        <w:rPr>
          <w:rFonts w:ascii="宋体" w:hAnsi="宋体"/>
          <w:sz w:val="24"/>
        </w:rPr>
      </w:pPr>
      <w:r>
        <w:rPr>
          <w:rFonts w:hint="eastAsia" w:ascii="宋体" w:hAnsi="宋体"/>
          <w:sz w:val="24"/>
        </w:rPr>
        <w:t xml:space="preserve">统一社会信用代码：                        、注册登记机构：                 、 注册日期：                 、有效期：               、注册资本：                、地址：               、经济行业：                 、经济性质：              </w:t>
      </w:r>
    </w:p>
    <w:p>
      <w:pPr>
        <w:widowControl/>
        <w:spacing w:after="100" w:afterAutospacing="1" w:line="360" w:lineRule="auto"/>
        <w:ind w:left="246"/>
        <w:jc w:val="left"/>
        <w:rPr>
          <w:rFonts w:ascii="宋体" w:hAnsi="宋体"/>
          <w:sz w:val="24"/>
        </w:rPr>
      </w:pPr>
      <w:r>
        <w:rPr>
          <w:rFonts w:hint="eastAsia" w:ascii="宋体" w:hAnsi="宋体"/>
          <w:sz w:val="24"/>
        </w:rPr>
        <w:t>法定代表人姓名 (签字)：             、身份证号：                           、</w:t>
      </w:r>
    </w:p>
    <w:p>
      <w:pPr>
        <w:widowControl/>
        <w:spacing w:after="100" w:afterAutospacing="1" w:line="360" w:lineRule="auto"/>
        <w:ind w:left="246"/>
        <w:jc w:val="left"/>
        <w:rPr>
          <w:rFonts w:ascii="宋体" w:hAnsi="宋体"/>
          <w:sz w:val="24"/>
        </w:rPr>
      </w:pPr>
      <w:r>
        <w:rPr>
          <w:rFonts w:hint="eastAsia" w:ascii="宋体" w:hAnsi="宋体"/>
          <w:sz w:val="24"/>
        </w:rPr>
        <w:t>手机号：             ；</w:t>
      </w:r>
    </w:p>
    <w:p>
      <w:pPr>
        <w:widowControl/>
        <w:spacing w:after="100" w:afterAutospacing="1" w:line="360" w:lineRule="auto"/>
        <w:ind w:left="246" w:hanging="16"/>
        <w:jc w:val="left"/>
        <w:rPr>
          <w:rFonts w:ascii="宋体" w:hAnsi="宋体"/>
          <w:sz w:val="24"/>
        </w:rPr>
      </w:pPr>
      <w:r>
        <w:rPr>
          <w:rFonts w:hint="eastAsia" w:ascii="宋体" w:hAnsi="宋体"/>
          <w:sz w:val="24"/>
        </w:rPr>
        <w:t xml:space="preserve">授权代表人姓名 (签字)：                、身份证号：                     </w:t>
      </w:r>
    </w:p>
    <w:p>
      <w:pPr>
        <w:widowControl/>
        <w:spacing w:after="100" w:afterAutospacing="1" w:line="360" w:lineRule="auto"/>
        <w:ind w:left="246" w:hanging="16"/>
        <w:jc w:val="left"/>
        <w:rPr>
          <w:rFonts w:ascii="宋体" w:hAnsi="宋体"/>
          <w:sz w:val="24"/>
        </w:rPr>
      </w:pPr>
      <w:r>
        <w:rPr>
          <w:rFonts w:hint="eastAsia" w:ascii="宋体" w:hAnsi="宋体"/>
          <w:sz w:val="24"/>
        </w:rPr>
        <w:t xml:space="preserve">手机号：               。  </w:t>
      </w:r>
    </w:p>
    <w:p>
      <w:pPr>
        <w:adjustRightInd w:val="0"/>
        <w:snapToGrid w:val="0"/>
        <w:spacing w:line="360" w:lineRule="auto"/>
        <w:rPr>
          <w:rFonts w:ascii="宋体" w:hAnsi="宋体"/>
          <w:sz w:val="24"/>
        </w:rPr>
      </w:pPr>
    </w:p>
    <w:p>
      <w:pPr>
        <w:adjustRightInd w:val="0"/>
        <w:snapToGrid w:val="0"/>
        <w:spacing w:line="360" w:lineRule="auto"/>
        <w:ind w:left="4406" w:leftChars="-302" w:hanging="5040" w:hangingChars="2100"/>
        <w:jc w:val="left"/>
        <w:rPr>
          <w:rFonts w:ascii="宋体" w:hAnsi="宋体"/>
          <w:sz w:val="24"/>
        </w:rPr>
      </w:pPr>
      <w:r>
        <w:rPr>
          <w:rFonts w:hint="eastAsia" w:ascii="宋体" w:hAnsi="宋体"/>
          <w:sz w:val="24"/>
        </w:rPr>
        <w:t xml:space="preserve">                           供应商名称（盖公章）：                                    </w:t>
      </w:r>
    </w:p>
    <w:p>
      <w:pPr>
        <w:adjustRightInd w:val="0"/>
        <w:snapToGrid w:val="0"/>
        <w:spacing w:line="360" w:lineRule="auto"/>
        <w:ind w:left="4406" w:leftChars="-302" w:hanging="5040" w:hangingChars="2100"/>
        <w:jc w:val="right"/>
        <w:rPr>
          <w:rFonts w:ascii="宋体" w:hAnsi="宋体"/>
          <w:sz w:val="24"/>
        </w:rPr>
      </w:pPr>
      <w:r>
        <w:rPr>
          <w:rFonts w:hint="eastAsia" w:ascii="宋体" w:hAnsi="宋体"/>
          <w:sz w:val="24"/>
        </w:rPr>
        <w:t>2023年     月     日</w:t>
      </w:r>
    </w:p>
    <w:p>
      <w:pPr>
        <w:pStyle w:val="20"/>
        <w:ind w:left="0" w:leftChars="0" w:firstLine="0" w:firstLineChars="0"/>
        <w:rPr>
          <w:rFonts w:ascii="宋体" w:hAnsi="宋体"/>
          <w:kern w:val="2"/>
        </w:rPr>
      </w:pPr>
    </w:p>
    <w:p>
      <w:pPr>
        <w:pStyle w:val="5"/>
        <w:rPr>
          <w:rFonts w:ascii="宋体" w:hAnsi="宋体"/>
          <w:kern w:val="2"/>
          <w:sz w:val="24"/>
          <w:szCs w:val="24"/>
        </w:rPr>
      </w:pPr>
    </w:p>
    <w:p>
      <w:pPr>
        <w:pStyle w:val="6"/>
        <w:rPr>
          <w:rFonts w:ascii="宋体" w:hAnsi="宋体" w:eastAsia="宋体" w:cs="Times New Roman"/>
          <w:color w:val="auto"/>
          <w:kern w:val="2"/>
        </w:rPr>
      </w:pPr>
    </w:p>
    <w:p>
      <w:pPr>
        <w:pStyle w:val="6"/>
        <w:rPr>
          <w:rFonts w:ascii="宋体" w:hAnsi="宋体" w:eastAsia="宋体" w:cs="Times New Roman"/>
          <w:color w:val="auto"/>
          <w:kern w:val="2"/>
        </w:rPr>
      </w:pPr>
    </w:p>
    <w:p>
      <w:pPr>
        <w:pStyle w:val="6"/>
        <w:rPr>
          <w:rFonts w:ascii="宋体" w:hAnsi="宋体" w:eastAsia="宋体" w:cs="Times New Roman"/>
          <w:color w:val="auto"/>
          <w:kern w:val="2"/>
        </w:rPr>
      </w:pPr>
    </w:p>
    <w:p>
      <w:pPr>
        <w:pStyle w:val="6"/>
        <w:rPr>
          <w:rFonts w:ascii="宋体" w:hAnsi="宋体" w:eastAsia="宋体" w:cs="Times New Roman"/>
          <w:color w:val="auto"/>
          <w:kern w:val="2"/>
        </w:rPr>
      </w:pPr>
    </w:p>
    <w:p>
      <w:pPr>
        <w:spacing w:before="120" w:beforeLines="50" w:after="120" w:afterLines="50" w:line="276" w:lineRule="auto"/>
        <w:ind w:firstLine="2530" w:firstLineChars="900"/>
        <w:rPr>
          <w:rFonts w:ascii="宋体" w:hAnsi="宋体" w:cs="宋体"/>
          <w:b/>
          <w:sz w:val="28"/>
          <w:szCs w:val="28"/>
        </w:rPr>
      </w:pPr>
      <w:r>
        <w:rPr>
          <w:rFonts w:hint="eastAsia" w:ascii="宋体" w:hAnsi="宋体" w:cs="宋体"/>
          <w:b/>
          <w:sz w:val="28"/>
          <w:szCs w:val="28"/>
        </w:rPr>
        <w:t>第三部分、采购需求响应程度</w:t>
      </w:r>
      <w:bookmarkStart w:id="7" w:name="_Toc476514128"/>
      <w:bookmarkStart w:id="8" w:name="_Toc486424819"/>
    </w:p>
    <w:p>
      <w:pPr>
        <w:pStyle w:val="26"/>
      </w:pPr>
    </w:p>
    <w:p>
      <w:pPr>
        <w:spacing w:before="120" w:beforeLines="50" w:after="120" w:afterLines="50" w:line="276" w:lineRule="auto"/>
        <w:jc w:val="center"/>
        <w:rPr>
          <w:b/>
          <w:sz w:val="24"/>
        </w:rPr>
      </w:pPr>
      <w:r>
        <w:rPr>
          <w:rFonts w:hint="eastAsia"/>
          <w:b/>
          <w:sz w:val="24"/>
        </w:rPr>
        <w:t>技术参数</w:t>
      </w:r>
      <w:r>
        <w:rPr>
          <w:b/>
          <w:sz w:val="24"/>
        </w:rPr>
        <w:t>响应</w:t>
      </w:r>
      <w:r>
        <w:rPr>
          <w:rFonts w:hint="eastAsia"/>
          <w:b/>
          <w:sz w:val="24"/>
        </w:rPr>
        <w:t>表</w:t>
      </w:r>
    </w:p>
    <w:p>
      <w:pPr>
        <w:adjustRightInd w:val="0"/>
        <w:snapToGrid w:val="0"/>
        <w:spacing w:line="360" w:lineRule="auto"/>
        <w:rPr>
          <w:szCs w:val="21"/>
        </w:rPr>
      </w:pPr>
      <w:r>
        <w:rPr>
          <w:rFonts w:hint="eastAsia"/>
          <w:sz w:val="24"/>
        </w:rPr>
        <w:t>项目</w:t>
      </w:r>
      <w:r>
        <w:rPr>
          <w:sz w:val="24"/>
        </w:rPr>
        <w:t>编号：                    项目名称：                     包号：</w:t>
      </w:r>
    </w:p>
    <w:tbl>
      <w:tblPr>
        <w:tblStyle w:val="2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8"/>
        <w:gridCol w:w="1973"/>
        <w:gridCol w:w="1757"/>
        <w:gridCol w:w="1690"/>
        <w:gridCol w:w="1590"/>
        <w:gridCol w:w="1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vAlign w:val="center"/>
          </w:tcPr>
          <w:p>
            <w:pPr>
              <w:adjustRightInd w:val="0"/>
              <w:snapToGrid w:val="0"/>
              <w:spacing w:before="50" w:line="360" w:lineRule="auto"/>
              <w:ind w:left="-88" w:leftChars="-42"/>
              <w:jc w:val="center"/>
              <w:rPr>
                <w:szCs w:val="21"/>
              </w:rPr>
            </w:pPr>
            <w:r>
              <w:rPr>
                <w:bCs/>
                <w:szCs w:val="21"/>
              </w:rPr>
              <w:t>序</w:t>
            </w:r>
            <w:r>
              <w:rPr>
                <w:szCs w:val="21"/>
              </w:rPr>
              <w:t>号</w:t>
            </w:r>
          </w:p>
        </w:tc>
        <w:tc>
          <w:tcPr>
            <w:tcW w:w="1123" w:type="pct"/>
            <w:vAlign w:val="center"/>
          </w:tcPr>
          <w:p>
            <w:pPr>
              <w:adjustRightInd w:val="0"/>
              <w:snapToGrid w:val="0"/>
              <w:spacing w:before="50" w:line="360" w:lineRule="auto"/>
              <w:ind w:left="-88" w:leftChars="-42"/>
              <w:jc w:val="center"/>
              <w:rPr>
                <w:szCs w:val="21"/>
              </w:rPr>
            </w:pPr>
            <w:r>
              <w:rPr>
                <w:szCs w:val="21"/>
              </w:rPr>
              <w:t>招标文件章节</w:t>
            </w:r>
            <w:r>
              <w:rPr>
                <w:bCs/>
                <w:szCs w:val="21"/>
              </w:rPr>
              <w:t>条</w:t>
            </w:r>
            <w:r>
              <w:rPr>
                <w:szCs w:val="21"/>
              </w:rPr>
              <w:t>款号</w:t>
            </w:r>
          </w:p>
        </w:tc>
        <w:tc>
          <w:tcPr>
            <w:tcW w:w="1000" w:type="pct"/>
          </w:tcPr>
          <w:p>
            <w:pPr>
              <w:adjustRightInd w:val="0"/>
              <w:snapToGrid w:val="0"/>
              <w:spacing w:before="50" w:line="360" w:lineRule="auto"/>
              <w:jc w:val="center"/>
            </w:pPr>
            <w:r>
              <w:t>招标文件要求</w:t>
            </w:r>
          </w:p>
        </w:tc>
        <w:tc>
          <w:tcPr>
            <w:tcW w:w="962" w:type="pct"/>
          </w:tcPr>
          <w:p>
            <w:pPr>
              <w:adjustRightInd w:val="0"/>
              <w:snapToGrid w:val="0"/>
              <w:spacing w:before="50" w:line="360" w:lineRule="auto"/>
              <w:jc w:val="center"/>
            </w:pPr>
            <w:r>
              <w:t>投标文件应答</w:t>
            </w:r>
          </w:p>
        </w:tc>
        <w:tc>
          <w:tcPr>
            <w:tcW w:w="905" w:type="pct"/>
            <w:vAlign w:val="center"/>
          </w:tcPr>
          <w:p>
            <w:pPr>
              <w:adjustRightInd w:val="0"/>
              <w:snapToGrid w:val="0"/>
              <w:spacing w:before="50" w:line="360" w:lineRule="auto"/>
              <w:ind w:left="-88" w:leftChars="-42"/>
              <w:jc w:val="center"/>
              <w:rPr>
                <w:szCs w:val="21"/>
              </w:rPr>
            </w:pPr>
            <w:r>
              <w:rPr>
                <w:szCs w:val="21"/>
              </w:rPr>
              <w:t>响应/偏离</w:t>
            </w:r>
          </w:p>
        </w:tc>
        <w:tc>
          <w:tcPr>
            <w:tcW w:w="634" w:type="pct"/>
            <w:vAlign w:val="center"/>
          </w:tcPr>
          <w:p>
            <w:pPr>
              <w:adjustRightInd w:val="0"/>
              <w:snapToGrid w:val="0"/>
              <w:spacing w:before="50" w:line="360" w:lineRule="auto"/>
              <w:ind w:left="-88" w:leftChars="-42"/>
              <w:jc w:val="center"/>
              <w:rPr>
                <w:szCs w:val="21"/>
              </w:rPr>
            </w:pPr>
            <w:r>
              <w:rPr>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szCs w:val="21"/>
              </w:rPr>
            </w:pPr>
          </w:p>
        </w:tc>
        <w:tc>
          <w:tcPr>
            <w:tcW w:w="1123" w:type="pct"/>
            <w:vAlign w:val="center"/>
          </w:tcPr>
          <w:p>
            <w:pPr>
              <w:adjustRightInd w:val="0"/>
              <w:snapToGrid w:val="0"/>
              <w:spacing w:before="50" w:line="360" w:lineRule="auto"/>
              <w:ind w:left="-88" w:leftChars="-42"/>
              <w:jc w:val="center"/>
              <w:rPr>
                <w:szCs w:val="21"/>
              </w:rPr>
            </w:pPr>
          </w:p>
        </w:tc>
        <w:tc>
          <w:tcPr>
            <w:tcW w:w="1000" w:type="pct"/>
            <w:vAlign w:val="center"/>
          </w:tcPr>
          <w:p>
            <w:pPr>
              <w:adjustRightInd w:val="0"/>
              <w:snapToGrid w:val="0"/>
              <w:spacing w:before="50" w:line="360" w:lineRule="auto"/>
              <w:ind w:left="-88" w:leftChars="-42"/>
              <w:jc w:val="center"/>
              <w:rPr>
                <w:szCs w:val="21"/>
              </w:rPr>
            </w:pPr>
          </w:p>
        </w:tc>
        <w:tc>
          <w:tcPr>
            <w:tcW w:w="962"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634"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szCs w:val="21"/>
              </w:rPr>
            </w:pPr>
          </w:p>
        </w:tc>
        <w:tc>
          <w:tcPr>
            <w:tcW w:w="1123" w:type="pct"/>
            <w:vAlign w:val="center"/>
          </w:tcPr>
          <w:p>
            <w:pPr>
              <w:adjustRightInd w:val="0"/>
              <w:snapToGrid w:val="0"/>
              <w:spacing w:before="50" w:line="360" w:lineRule="auto"/>
              <w:ind w:left="-88" w:leftChars="-42"/>
              <w:jc w:val="center"/>
              <w:rPr>
                <w:szCs w:val="21"/>
              </w:rPr>
            </w:pPr>
          </w:p>
        </w:tc>
        <w:tc>
          <w:tcPr>
            <w:tcW w:w="1000" w:type="pct"/>
            <w:vAlign w:val="center"/>
          </w:tcPr>
          <w:p>
            <w:pPr>
              <w:adjustRightInd w:val="0"/>
              <w:snapToGrid w:val="0"/>
              <w:spacing w:before="50" w:line="360" w:lineRule="auto"/>
              <w:ind w:left="-88" w:leftChars="-42"/>
              <w:jc w:val="center"/>
              <w:rPr>
                <w:szCs w:val="21"/>
              </w:rPr>
            </w:pPr>
          </w:p>
        </w:tc>
        <w:tc>
          <w:tcPr>
            <w:tcW w:w="962"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634"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szCs w:val="21"/>
              </w:rPr>
            </w:pPr>
          </w:p>
        </w:tc>
        <w:tc>
          <w:tcPr>
            <w:tcW w:w="1123" w:type="pct"/>
            <w:vAlign w:val="center"/>
          </w:tcPr>
          <w:p>
            <w:pPr>
              <w:adjustRightInd w:val="0"/>
              <w:snapToGrid w:val="0"/>
              <w:spacing w:before="50" w:line="360" w:lineRule="auto"/>
              <w:ind w:left="-88" w:leftChars="-42"/>
              <w:jc w:val="center"/>
              <w:rPr>
                <w:szCs w:val="21"/>
              </w:rPr>
            </w:pPr>
          </w:p>
        </w:tc>
        <w:tc>
          <w:tcPr>
            <w:tcW w:w="1000" w:type="pct"/>
            <w:vAlign w:val="center"/>
          </w:tcPr>
          <w:p>
            <w:pPr>
              <w:adjustRightInd w:val="0"/>
              <w:snapToGrid w:val="0"/>
              <w:spacing w:before="50" w:line="360" w:lineRule="auto"/>
              <w:ind w:left="-88" w:leftChars="-42"/>
              <w:jc w:val="center"/>
              <w:rPr>
                <w:szCs w:val="21"/>
              </w:rPr>
            </w:pPr>
          </w:p>
        </w:tc>
        <w:tc>
          <w:tcPr>
            <w:tcW w:w="962"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634"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vAlign w:val="center"/>
          </w:tcPr>
          <w:p>
            <w:pPr>
              <w:rPr>
                <w:b/>
              </w:rPr>
            </w:pPr>
          </w:p>
        </w:tc>
      </w:tr>
    </w:tbl>
    <w:p>
      <w:pPr>
        <w:adjustRightInd w:val="0"/>
        <w:snapToGrid w:val="0"/>
        <w:spacing w:before="50" w:line="360" w:lineRule="auto"/>
        <w:ind w:left="-88" w:leftChars="-42"/>
        <w:rPr>
          <w:sz w:val="24"/>
        </w:rPr>
      </w:pPr>
      <w:r>
        <w:rPr>
          <w:b/>
          <w:sz w:val="24"/>
        </w:rPr>
        <w:t>备注</w:t>
      </w:r>
      <w:r>
        <w:rPr>
          <w:sz w:val="24"/>
        </w:rPr>
        <w:t>：</w:t>
      </w:r>
    </w:p>
    <w:p>
      <w:pPr>
        <w:adjustRightInd w:val="0"/>
        <w:snapToGrid w:val="0"/>
        <w:spacing w:before="50" w:line="360" w:lineRule="auto"/>
        <w:ind w:left="-88" w:leftChars="-42"/>
        <w:rPr>
          <w:sz w:val="24"/>
        </w:rPr>
      </w:pPr>
      <w:r>
        <w:rPr>
          <w:sz w:val="24"/>
        </w:rPr>
        <w:t>（1）投标人应根据招标文件第</w:t>
      </w:r>
      <w:r>
        <w:rPr>
          <w:rFonts w:hint="eastAsia"/>
          <w:sz w:val="24"/>
        </w:rPr>
        <w:t>二</w:t>
      </w:r>
      <w:r>
        <w:rPr>
          <w:sz w:val="24"/>
        </w:rPr>
        <w:t>章中</w:t>
      </w:r>
      <w:r>
        <w:rPr>
          <w:rFonts w:hint="eastAsia"/>
          <w:sz w:val="24"/>
        </w:rPr>
        <w:t>技术参数</w:t>
      </w:r>
      <w:r>
        <w:rPr>
          <w:sz w:val="24"/>
        </w:rPr>
        <w:t>填写本表，逐条应答</w:t>
      </w:r>
      <w:r>
        <w:rPr>
          <w:rFonts w:hint="eastAsia"/>
          <w:sz w:val="24"/>
          <w:lang w:eastAsia="zh-CN"/>
        </w:rPr>
        <w:t>，本项目采购需求需全部响应，否则视为无效投标</w:t>
      </w:r>
      <w:r>
        <w:rPr>
          <w:sz w:val="24"/>
        </w:rPr>
        <w:t>；</w:t>
      </w:r>
    </w:p>
    <w:p>
      <w:pPr>
        <w:adjustRightInd w:val="0"/>
        <w:snapToGrid w:val="0"/>
        <w:spacing w:before="50" w:line="360" w:lineRule="auto"/>
        <w:ind w:left="-88" w:leftChars="-42"/>
        <w:rPr>
          <w:sz w:val="24"/>
        </w:rPr>
      </w:pPr>
      <w:r>
        <w:rPr>
          <w:sz w:val="24"/>
        </w:rPr>
        <w:t>（2）</w:t>
      </w:r>
      <w:r>
        <w:rPr>
          <w:rFonts w:hint="eastAsia"/>
          <w:sz w:val="24"/>
        </w:rPr>
        <w:t>投标人应根据按第二章技术参数要求提供材料</w:t>
      </w:r>
      <w:r>
        <w:rPr>
          <w:sz w:val="24"/>
        </w:rPr>
        <w:t>；</w:t>
      </w:r>
    </w:p>
    <w:bookmarkEnd w:id="7"/>
    <w:bookmarkEnd w:id="8"/>
    <w:p>
      <w:pPr>
        <w:pStyle w:val="27"/>
      </w:pPr>
    </w:p>
    <w:p>
      <w:pPr>
        <w:pStyle w:val="27"/>
      </w:pPr>
    </w:p>
    <w:p>
      <w:pPr>
        <w:pStyle w:val="28"/>
        <w:tabs>
          <w:tab w:val="left" w:pos="2312"/>
          <w:tab w:val="left" w:pos="2313"/>
        </w:tabs>
        <w:autoSpaceDE w:val="0"/>
        <w:autoSpaceDN w:val="0"/>
        <w:spacing w:before="43"/>
        <w:ind w:left="2312" w:firstLine="562"/>
        <w:rPr>
          <w:rFonts w:ascii="宋体" w:hAnsi="宋体" w:cs="宋体"/>
          <w:b/>
          <w:sz w:val="28"/>
          <w:szCs w:val="28"/>
        </w:rPr>
      </w:pPr>
      <w:r>
        <w:rPr>
          <w:rFonts w:hint="eastAsia" w:ascii="Times New Roman" w:hAnsi="Times New Roman"/>
          <w:b/>
          <w:bCs/>
          <w:sz w:val="28"/>
          <w:szCs w:val="28"/>
        </w:rPr>
        <w:t>第四部分、</w:t>
      </w:r>
      <w:r>
        <w:rPr>
          <w:rFonts w:hint="eastAsia" w:ascii="宋体" w:hAnsi="宋体" w:cs="宋体"/>
          <w:b/>
          <w:sz w:val="28"/>
          <w:szCs w:val="28"/>
        </w:rPr>
        <w:t>同类项目业绩</w:t>
      </w:r>
    </w:p>
    <w:p>
      <w:pPr>
        <w:adjustRightInd w:val="0"/>
        <w:snapToGrid w:val="0"/>
        <w:spacing w:before="120" w:beforeLines="50" w:line="360" w:lineRule="auto"/>
        <w:jc w:val="center"/>
        <w:rPr>
          <w:rFonts w:ascii="宋体" w:hAnsi="宋体" w:cs="宋体"/>
          <w:sz w:val="24"/>
        </w:rPr>
      </w:pPr>
      <w:r>
        <w:rPr>
          <w:rFonts w:hint="eastAsia" w:ascii="宋体" w:hAnsi="宋体" w:cs="宋体"/>
          <w:sz w:val="24"/>
        </w:rPr>
        <w:t>备</w:t>
      </w:r>
      <w:r>
        <w:rPr>
          <w:rFonts w:ascii="宋体" w:hAnsi="宋体" w:cs="宋体"/>
          <w:sz w:val="24"/>
        </w:rPr>
        <w:t>注：根据第</w:t>
      </w:r>
      <w:r>
        <w:rPr>
          <w:rFonts w:hint="eastAsia" w:ascii="宋体" w:hAnsi="宋体" w:cs="宋体"/>
          <w:sz w:val="24"/>
        </w:rPr>
        <w:t>三</w:t>
      </w:r>
      <w:r>
        <w:rPr>
          <w:rFonts w:ascii="宋体" w:hAnsi="宋体" w:cs="宋体"/>
          <w:sz w:val="24"/>
        </w:rPr>
        <w:t>章《评标方法及标准》—综合评分表—记分因素</w:t>
      </w:r>
      <w:r>
        <w:rPr>
          <w:rFonts w:hint="eastAsia" w:ascii="宋体" w:hAnsi="宋体" w:cs="宋体"/>
          <w:sz w:val="24"/>
        </w:rPr>
        <w:t>要求</w:t>
      </w:r>
      <w:r>
        <w:rPr>
          <w:rFonts w:ascii="宋体" w:hAnsi="宋体" w:cs="宋体"/>
          <w:sz w:val="24"/>
        </w:rPr>
        <w:t>，提供材料，</w:t>
      </w:r>
    </w:p>
    <w:p>
      <w:pPr>
        <w:pStyle w:val="27"/>
      </w:pPr>
    </w:p>
    <w:p>
      <w:pPr>
        <w:pStyle w:val="27"/>
      </w:pPr>
    </w:p>
    <w:p>
      <w:pPr>
        <w:pStyle w:val="27"/>
      </w:pPr>
    </w:p>
    <w:p>
      <w:pPr>
        <w:pStyle w:val="28"/>
        <w:tabs>
          <w:tab w:val="left" w:pos="2312"/>
          <w:tab w:val="left" w:pos="2313"/>
        </w:tabs>
        <w:autoSpaceDE w:val="0"/>
        <w:autoSpaceDN w:val="0"/>
        <w:spacing w:before="43"/>
        <w:ind w:left="2312" w:firstLine="0" w:firstLineChars="0"/>
        <w:rPr>
          <w:rFonts w:ascii="宋体" w:hAnsi="宋体" w:cs="宋体"/>
          <w:sz w:val="24"/>
        </w:rPr>
      </w:pPr>
    </w:p>
    <w:p>
      <w:pPr>
        <w:pStyle w:val="28"/>
        <w:tabs>
          <w:tab w:val="left" w:pos="2312"/>
          <w:tab w:val="left" w:pos="2313"/>
        </w:tabs>
        <w:autoSpaceDE w:val="0"/>
        <w:autoSpaceDN w:val="0"/>
        <w:spacing w:before="43"/>
        <w:ind w:left="2312" w:firstLine="0" w:firstLineChars="0"/>
        <w:rPr>
          <w:rFonts w:ascii="宋体" w:hAnsi="宋体" w:cs="宋体"/>
          <w:b/>
          <w:sz w:val="28"/>
          <w:szCs w:val="28"/>
        </w:rPr>
      </w:pPr>
      <w:r>
        <w:rPr>
          <w:rFonts w:hint="eastAsia" w:ascii="Times New Roman" w:hAnsi="Times New Roman"/>
          <w:b/>
          <w:bCs/>
          <w:sz w:val="28"/>
          <w:szCs w:val="28"/>
        </w:rPr>
        <w:t xml:space="preserve"> </w:t>
      </w:r>
      <w:r>
        <w:rPr>
          <w:rFonts w:ascii="Times New Roman" w:hAnsi="Times New Roman"/>
          <w:b/>
          <w:bCs/>
          <w:sz w:val="28"/>
          <w:szCs w:val="28"/>
        </w:rPr>
        <w:t xml:space="preserve">  </w:t>
      </w:r>
      <w:r>
        <w:rPr>
          <w:rFonts w:hint="eastAsia" w:ascii="Times New Roman" w:hAnsi="Times New Roman"/>
          <w:b/>
          <w:bCs/>
          <w:sz w:val="28"/>
          <w:szCs w:val="28"/>
        </w:rPr>
        <w:t>第五部分、技术及</w:t>
      </w:r>
      <w:r>
        <w:rPr>
          <w:rFonts w:hint="eastAsia" w:ascii="宋体" w:hAnsi="宋体" w:cs="宋体"/>
          <w:b/>
          <w:sz w:val="28"/>
          <w:szCs w:val="28"/>
        </w:rPr>
        <w:t>服务方案</w:t>
      </w:r>
    </w:p>
    <w:p>
      <w:pPr>
        <w:adjustRightInd w:val="0"/>
        <w:snapToGrid w:val="0"/>
        <w:spacing w:before="120" w:beforeLines="50" w:line="360" w:lineRule="auto"/>
        <w:jc w:val="center"/>
        <w:sectPr>
          <w:footerReference r:id="rId5" w:type="default"/>
          <w:pgSz w:w="11906" w:h="16838"/>
          <w:pgMar w:top="1191" w:right="1587" w:bottom="1020" w:left="1587" w:header="567" w:footer="283" w:gutter="0"/>
          <w:cols w:space="720" w:num="1"/>
          <w:docGrid w:linePitch="312" w:charSpace="0"/>
        </w:sectPr>
      </w:pPr>
      <w:r>
        <w:rPr>
          <w:rFonts w:hint="eastAsia" w:ascii="宋体" w:hAnsi="宋体" w:cs="宋体"/>
          <w:sz w:val="24"/>
        </w:rPr>
        <w:t>备</w:t>
      </w:r>
      <w:r>
        <w:rPr>
          <w:rFonts w:ascii="宋体" w:hAnsi="宋体" w:cs="宋体"/>
          <w:sz w:val="24"/>
        </w:rPr>
        <w:t>注：根据第</w:t>
      </w:r>
      <w:r>
        <w:rPr>
          <w:rFonts w:hint="eastAsia" w:ascii="宋体" w:hAnsi="宋体" w:cs="宋体"/>
          <w:sz w:val="24"/>
        </w:rPr>
        <w:t>三</w:t>
      </w:r>
      <w:r>
        <w:rPr>
          <w:rFonts w:ascii="宋体" w:hAnsi="宋体" w:cs="宋体"/>
          <w:sz w:val="24"/>
        </w:rPr>
        <w:t>章《评标方法及标准》—综合评分表—记分因素</w:t>
      </w:r>
      <w:r>
        <w:rPr>
          <w:rFonts w:hint="eastAsia" w:ascii="宋体" w:hAnsi="宋体" w:cs="宋体"/>
          <w:sz w:val="24"/>
        </w:rPr>
        <w:t>要求</w:t>
      </w:r>
      <w:r>
        <w:rPr>
          <w:rFonts w:ascii="宋体" w:hAnsi="宋体" w:cs="宋体"/>
          <w:sz w:val="24"/>
        </w:rPr>
        <w:t>，提供</w:t>
      </w:r>
    </w:p>
    <w:p>
      <w:pPr>
        <w:pStyle w:val="28"/>
        <w:tabs>
          <w:tab w:val="left" w:pos="2312"/>
          <w:tab w:val="left" w:pos="2313"/>
        </w:tabs>
        <w:autoSpaceDE w:val="0"/>
        <w:autoSpaceDN w:val="0"/>
        <w:spacing w:before="43"/>
        <w:ind w:firstLine="0" w:firstLineChars="0"/>
        <w:rPr>
          <w:rFonts w:ascii="宋体" w:hAnsi="宋体" w:cs="宋体"/>
          <w:sz w:val="24"/>
        </w:rPr>
      </w:pPr>
    </w:p>
    <w:p>
      <w:pPr>
        <w:adjustRightInd w:val="0"/>
        <w:snapToGrid w:val="0"/>
        <w:spacing w:line="480" w:lineRule="exact"/>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附件2           工程质量保修书</w:t>
      </w:r>
    </w:p>
    <w:p>
      <w:pPr>
        <w:adjustRightInd w:val="0"/>
        <w:snapToGrid w:val="0"/>
        <w:spacing w:line="360" w:lineRule="auto"/>
        <w:rPr>
          <w:rFonts w:ascii="宋体" w:hAnsi="宋体" w:cs="宋体"/>
          <w:color w:val="000000" w:themeColor="text1"/>
          <w:sz w:val="24"/>
          <w:szCs w:val="18"/>
          <w14:textFill>
            <w14:solidFill>
              <w14:schemeClr w14:val="tx1"/>
            </w14:solidFill>
          </w14:textFill>
        </w:rPr>
      </w:pPr>
    </w:p>
    <w:p>
      <w:pPr>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发包人：（全称）</w:t>
      </w:r>
    </w:p>
    <w:p>
      <w:pPr>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承包人：（全称）</w:t>
      </w:r>
    </w:p>
    <w:p>
      <w:pPr>
        <w:adjustRightInd w:val="0"/>
        <w:snapToGrid w:val="0"/>
        <w:spacing w:line="360" w:lineRule="auto"/>
        <w:ind w:firstLine="480"/>
        <w:rPr>
          <w:rFonts w:ascii="宋体" w:hAnsi="宋体" w:cs="宋体"/>
          <w:color w:val="000000" w:themeColor="text1"/>
          <w:szCs w:val="21"/>
          <w:u w:val="single"/>
          <w14:textFill>
            <w14:solidFill>
              <w14:schemeClr w14:val="tx1"/>
            </w14:solidFill>
          </w14:textFill>
        </w:rPr>
      </w:pP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保证（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 质量保修范围</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修范围包括地基基础工程、主体结构工程、屋面防水工程、有防水要求的卫生间、房间、外墙面的防渗漏工程、电气管线工程、给排水管道工程、设备安装工程、供热、供冷系统工程、装饰装修工程以及双方</w:t>
      </w:r>
      <w:r>
        <w:rPr>
          <w:rFonts w:hint="eastAsia" w:ascii="宋体" w:hAnsi="宋体" w:cs="宋体"/>
          <w:color w:val="000000" w:themeColor="text1"/>
          <w:szCs w:val="21"/>
          <w:lang w:val="en-US" w:eastAsia="zh-CN"/>
          <w14:textFill>
            <w14:solidFill>
              <w14:schemeClr w14:val="tx1"/>
            </w14:solidFill>
          </w14:textFill>
        </w:rPr>
        <w:t>合同约定期限内的所有需要保修的</w:t>
      </w:r>
      <w:r>
        <w:rPr>
          <w:rFonts w:hint="eastAsia" w:ascii="宋体" w:hAnsi="宋体" w:cs="宋体"/>
          <w:color w:val="000000" w:themeColor="text1"/>
          <w:szCs w:val="21"/>
          <w14:textFill>
            <w14:solidFill>
              <w14:schemeClr w14:val="tx1"/>
            </w14:solidFill>
          </w14:textFill>
        </w:rPr>
        <w:t>项目。具体质量保修范围，双方约定如下：</w:t>
      </w:r>
    </w:p>
    <w:p>
      <w:pPr>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质量保修期</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双方根据《建设工程质量管理条例》及有关规定，约定本工程质量保修期如下：</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（1）地基基础工程、主体结构工程为设计文件规定的合理使用年限；</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（2）屋面防水工程、有防水要求的卫生间、房间和外墙面的防渗漏工程为：年；</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（3）电气管线工程、给排水管道、设备安装工程为：年；</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（4）供热、供冷系统工程为：个采暖期、供冷期；</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（5）装饰装修工程为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年；</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（6）其他项目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年。</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 质量保修责任</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 属于保修范围的项目，承包人应在接到</w:t>
      </w:r>
      <w:r>
        <w:rPr>
          <w:rFonts w:hint="eastAsia" w:ascii="宋体" w:hAnsi="宋体" w:cs="宋体"/>
          <w:color w:val="00B050"/>
          <w:szCs w:val="21"/>
        </w:rPr>
        <w:t>通知后的7天内派人保修</w:t>
      </w:r>
      <w:r>
        <w:rPr>
          <w:rFonts w:hint="eastAsia" w:ascii="宋体" w:hAnsi="宋体" w:cs="宋体"/>
          <w:color w:val="000000" w:themeColor="text1"/>
          <w:szCs w:val="21"/>
          <w14:textFill>
            <w14:solidFill>
              <w14:schemeClr w14:val="tx1"/>
            </w14:solidFill>
          </w14:textFill>
        </w:rPr>
        <w:t>，承包人不在约定期限内派人保修，发包人可自行或指派第三方保修。</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 发生紧急抢修事故的，承包人在接到通知后，应立即到达事故现场抢修。</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 质量保修完成后，由发包人组织验收。</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 质量保修费用</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质量保修费用及相关的损害赔偿费，由造成质量缺陷的责任方承担。</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 质量保证金</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质量保证金的使用、约定、支付、返还与本合同的质量保证金赋予的约定一致。</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 其他</w:t>
      </w:r>
    </w:p>
    <w:p>
      <w:pPr>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 双方约定的其它工程质量保修事项：</w:t>
      </w:r>
    </w:p>
    <w:p>
      <w:pPr>
        <w:adjustRightInd w:val="0"/>
        <w:snapToGrid w:val="0"/>
        <w:spacing w:line="360" w:lineRule="auto"/>
        <w:rPr>
          <w:rFonts w:ascii="宋体" w:hAnsi="宋体" w:cs="宋体"/>
          <w:color w:val="000000" w:themeColor="text1"/>
          <w:szCs w:val="21"/>
          <w:u w:val="single"/>
          <w14:textFill>
            <w14:solidFill>
              <w14:schemeClr w14:val="tx1"/>
            </w14:solidFill>
          </w14:textFill>
        </w:rPr>
      </w:pP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 本工程质量保修书，由发包人承包人在工程竣工验收前签署，作为合同附件，其有效期限至保修期满。</w:t>
      </w:r>
    </w:p>
    <w:p>
      <w:pPr>
        <w:adjustRightInd w:val="0"/>
        <w:snapToGrid w:val="0"/>
        <w:spacing w:line="360" w:lineRule="auto"/>
        <w:ind w:firstLine="480"/>
        <w:rPr>
          <w:rFonts w:ascii="宋体" w:hAnsi="宋体" w:cs="宋体"/>
          <w:color w:val="000000" w:themeColor="text1"/>
          <w:szCs w:val="21"/>
          <w14:textFill>
            <w14:solidFill>
              <w14:schemeClr w14:val="tx1"/>
            </w14:solidFill>
          </w14:textFill>
        </w:rPr>
      </w:pPr>
    </w:p>
    <w:p>
      <w:pPr>
        <w:adjustRightInd w:val="0"/>
        <w:snapToGrid w:val="0"/>
        <w:spacing w:line="360" w:lineRule="auto"/>
        <w:ind w:firstLine="480"/>
        <w:rPr>
          <w:rFonts w:ascii="宋体" w:hAnsi="宋体" w:cs="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发包人（公章）：承包人（公章）：</w:t>
      </w:r>
    </w:p>
    <w:p>
      <w:pPr>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法定代表人（签字）：法定代表人（签字）：</w:t>
      </w:r>
    </w:p>
    <w:p>
      <w:pPr>
        <w:adjustRightInd w:val="0"/>
        <w:snapToGrid w:val="0"/>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            年月日</w:t>
      </w:r>
    </w:p>
    <w:p>
      <w:pPr>
        <w:adjustRightInd w:val="0"/>
        <w:snapToGrid w:val="0"/>
        <w:spacing w:before="156" w:beforeLines="50" w:line="360" w:lineRule="auto"/>
        <w:rPr>
          <w:rFonts w:ascii="宋体" w:hAnsi="宋体" w:cs="宋体"/>
          <w:b/>
          <w:color w:val="000000" w:themeColor="text1"/>
          <w:sz w:val="32"/>
          <w:szCs w:val="32"/>
          <w14:textFill>
            <w14:solidFill>
              <w14:schemeClr w14:val="tx1"/>
            </w14:solidFill>
          </w14:textFill>
        </w:rPr>
      </w:pPr>
    </w:p>
    <w:p>
      <w:pPr>
        <w:pStyle w:val="28"/>
        <w:tabs>
          <w:tab w:val="left" w:pos="2312"/>
          <w:tab w:val="left" w:pos="2313"/>
        </w:tabs>
        <w:autoSpaceDE w:val="0"/>
        <w:autoSpaceDN w:val="0"/>
        <w:spacing w:before="43"/>
        <w:ind w:left="2312" w:firstLine="0" w:firstLineChars="0"/>
        <w:rPr>
          <w:rFonts w:ascii="Times New Roman" w:hAnsi="Times New Roman"/>
          <w:b/>
          <w:bCs/>
          <w:sz w:val="28"/>
          <w:szCs w:val="28"/>
        </w:rPr>
      </w:pPr>
      <w:r>
        <w:rPr>
          <w:rFonts w:hint="eastAsia" w:ascii="Times New Roman" w:hAnsi="Times New Roman"/>
          <w:b/>
          <w:bCs/>
          <w:sz w:val="28"/>
          <w:szCs w:val="28"/>
        </w:rPr>
        <w:t xml:space="preserve"> </w:t>
      </w:r>
      <w:r>
        <w:rPr>
          <w:rFonts w:ascii="Times New Roman" w:hAnsi="Times New Roman"/>
          <w:b/>
          <w:bCs/>
          <w:sz w:val="28"/>
          <w:szCs w:val="28"/>
        </w:rPr>
        <w:t xml:space="preserve">  </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bCs/>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ascii="宋体" w:hAnsi="宋体"/>
        <w:kern w:val="0"/>
        <w:sz w:val="18"/>
        <w:szCs w:val="21"/>
      </w:rPr>
    </w:pPr>
  </w:p>
  <w:p>
    <w:pPr>
      <w:adjustRightInd w:val="0"/>
      <w:snapToGrid w:val="0"/>
      <w:spacing w:line="260" w:lineRule="atLeast"/>
      <w:rPr>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bCs/>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bCs/>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8280" w:hanging="8280" w:hangingChars="460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1">
    <w:nsid w:val="D24E5F0F"/>
    <w:multiLevelType w:val="singleLevel"/>
    <w:tmpl w:val="D24E5F0F"/>
    <w:lvl w:ilvl="0" w:tentative="0">
      <w:start w:val="1"/>
      <w:numFmt w:val="chineseCounting"/>
      <w:suff w:val="space"/>
      <w:lvlText w:val="第%1条"/>
      <w:lvlJc w:val="left"/>
      <w:rPr>
        <w:rFonts w:hint="eastAsia"/>
      </w:rPr>
    </w:lvl>
  </w:abstractNum>
  <w:abstractNum w:abstractNumId="2">
    <w:nsid w:val="5C9D2930"/>
    <w:multiLevelType w:val="singleLevel"/>
    <w:tmpl w:val="5C9D293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045019"/>
    <w:rsid w:val="000D6D17"/>
    <w:rsid w:val="00115031"/>
    <w:rsid w:val="001B62DE"/>
    <w:rsid w:val="00217295"/>
    <w:rsid w:val="0026599B"/>
    <w:rsid w:val="00266B83"/>
    <w:rsid w:val="002724C6"/>
    <w:rsid w:val="00372516"/>
    <w:rsid w:val="003A21F5"/>
    <w:rsid w:val="003C7394"/>
    <w:rsid w:val="003E6903"/>
    <w:rsid w:val="00413FA2"/>
    <w:rsid w:val="0043100F"/>
    <w:rsid w:val="004659BA"/>
    <w:rsid w:val="004A2ED2"/>
    <w:rsid w:val="004B0817"/>
    <w:rsid w:val="004C61EF"/>
    <w:rsid w:val="005265ED"/>
    <w:rsid w:val="00544C8A"/>
    <w:rsid w:val="0055258B"/>
    <w:rsid w:val="0059045D"/>
    <w:rsid w:val="005D7B53"/>
    <w:rsid w:val="00604A44"/>
    <w:rsid w:val="0061726F"/>
    <w:rsid w:val="00671EB8"/>
    <w:rsid w:val="00696E9F"/>
    <w:rsid w:val="006B7972"/>
    <w:rsid w:val="006D568B"/>
    <w:rsid w:val="00700112"/>
    <w:rsid w:val="00701E5A"/>
    <w:rsid w:val="007E5B8B"/>
    <w:rsid w:val="00803482"/>
    <w:rsid w:val="008A1B34"/>
    <w:rsid w:val="008A5192"/>
    <w:rsid w:val="008E2250"/>
    <w:rsid w:val="009A161E"/>
    <w:rsid w:val="009A7519"/>
    <w:rsid w:val="009B3F9E"/>
    <w:rsid w:val="00A15A8D"/>
    <w:rsid w:val="00A6370C"/>
    <w:rsid w:val="00AA6EB6"/>
    <w:rsid w:val="00B05285"/>
    <w:rsid w:val="00B1264E"/>
    <w:rsid w:val="00B1591F"/>
    <w:rsid w:val="00B60C8E"/>
    <w:rsid w:val="00BA05F9"/>
    <w:rsid w:val="00BA764F"/>
    <w:rsid w:val="00BC02F7"/>
    <w:rsid w:val="00C606BE"/>
    <w:rsid w:val="00CA7564"/>
    <w:rsid w:val="00E40D04"/>
    <w:rsid w:val="00EF344E"/>
    <w:rsid w:val="00F1121B"/>
    <w:rsid w:val="00F134D6"/>
    <w:rsid w:val="01F46B7E"/>
    <w:rsid w:val="031F1550"/>
    <w:rsid w:val="05C158E1"/>
    <w:rsid w:val="05F82956"/>
    <w:rsid w:val="06F305F7"/>
    <w:rsid w:val="0A353CFA"/>
    <w:rsid w:val="118A0FD0"/>
    <w:rsid w:val="12D83402"/>
    <w:rsid w:val="13D629EB"/>
    <w:rsid w:val="14445C30"/>
    <w:rsid w:val="14CC3700"/>
    <w:rsid w:val="16F4191A"/>
    <w:rsid w:val="170765E3"/>
    <w:rsid w:val="17B5155D"/>
    <w:rsid w:val="1B3E075A"/>
    <w:rsid w:val="1B4771CA"/>
    <w:rsid w:val="1BAF1957"/>
    <w:rsid w:val="1DD309C6"/>
    <w:rsid w:val="1E3769B5"/>
    <w:rsid w:val="1FCB6322"/>
    <w:rsid w:val="220C0AAE"/>
    <w:rsid w:val="288F47AC"/>
    <w:rsid w:val="29197D6C"/>
    <w:rsid w:val="297D330E"/>
    <w:rsid w:val="2A6D4233"/>
    <w:rsid w:val="2C3E47E1"/>
    <w:rsid w:val="2C78251D"/>
    <w:rsid w:val="2DDD65C8"/>
    <w:rsid w:val="2E4C6453"/>
    <w:rsid w:val="2F663737"/>
    <w:rsid w:val="30335E85"/>
    <w:rsid w:val="30D86127"/>
    <w:rsid w:val="313A0B83"/>
    <w:rsid w:val="31A90E65"/>
    <w:rsid w:val="31ED1C7D"/>
    <w:rsid w:val="31ED215A"/>
    <w:rsid w:val="35891A89"/>
    <w:rsid w:val="38ED2FFD"/>
    <w:rsid w:val="393154FD"/>
    <w:rsid w:val="39B95D1D"/>
    <w:rsid w:val="3A463784"/>
    <w:rsid w:val="3B3D56E7"/>
    <w:rsid w:val="3CFE6D4B"/>
    <w:rsid w:val="3D137AAD"/>
    <w:rsid w:val="3E1C10A2"/>
    <w:rsid w:val="3E970704"/>
    <w:rsid w:val="3FB94CE6"/>
    <w:rsid w:val="41E0182A"/>
    <w:rsid w:val="430E325A"/>
    <w:rsid w:val="436E009A"/>
    <w:rsid w:val="441A5355"/>
    <w:rsid w:val="447C0951"/>
    <w:rsid w:val="44C42547"/>
    <w:rsid w:val="46281BD0"/>
    <w:rsid w:val="475F516A"/>
    <w:rsid w:val="49EE5740"/>
    <w:rsid w:val="4A6B2312"/>
    <w:rsid w:val="4AFF5220"/>
    <w:rsid w:val="4B0C2E3C"/>
    <w:rsid w:val="4BF81337"/>
    <w:rsid w:val="4C4362B9"/>
    <w:rsid w:val="4DF664F9"/>
    <w:rsid w:val="4E1D5BA8"/>
    <w:rsid w:val="4F497B3F"/>
    <w:rsid w:val="4FB9378A"/>
    <w:rsid w:val="50667E32"/>
    <w:rsid w:val="554650CA"/>
    <w:rsid w:val="59B13512"/>
    <w:rsid w:val="5A1347AA"/>
    <w:rsid w:val="5ACE7924"/>
    <w:rsid w:val="5B636922"/>
    <w:rsid w:val="60855BA0"/>
    <w:rsid w:val="60DB60F4"/>
    <w:rsid w:val="60E91BED"/>
    <w:rsid w:val="60EE0200"/>
    <w:rsid w:val="614C3706"/>
    <w:rsid w:val="622D6E46"/>
    <w:rsid w:val="62F74BC1"/>
    <w:rsid w:val="6359190F"/>
    <w:rsid w:val="64620964"/>
    <w:rsid w:val="64926A2F"/>
    <w:rsid w:val="664909F8"/>
    <w:rsid w:val="6946276E"/>
    <w:rsid w:val="6A1039F0"/>
    <w:rsid w:val="6BFB188F"/>
    <w:rsid w:val="6D6A14B5"/>
    <w:rsid w:val="6E516DEE"/>
    <w:rsid w:val="6E70078D"/>
    <w:rsid w:val="6E7B7872"/>
    <w:rsid w:val="70E07E96"/>
    <w:rsid w:val="70F75613"/>
    <w:rsid w:val="71072C18"/>
    <w:rsid w:val="72C90042"/>
    <w:rsid w:val="74B775E4"/>
    <w:rsid w:val="76FA0E2C"/>
    <w:rsid w:val="771D5F37"/>
    <w:rsid w:val="78414C61"/>
    <w:rsid w:val="78494F8F"/>
    <w:rsid w:val="797D616D"/>
    <w:rsid w:val="7A7A2BE5"/>
    <w:rsid w:val="7B130B37"/>
    <w:rsid w:val="7B24497A"/>
    <w:rsid w:val="7C2A408E"/>
    <w:rsid w:val="7D815D5C"/>
    <w:rsid w:val="7DF11218"/>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adjustRightInd w:val="0"/>
      <w:spacing w:before="340" w:after="330" w:line="578" w:lineRule="atLeast"/>
      <w:textAlignment w:val="baseline"/>
      <w:outlineLvl w:val="0"/>
    </w:pPr>
    <w:rPr>
      <w:b/>
      <w:kern w:val="44"/>
      <w:sz w:val="44"/>
      <w:szCs w:val="20"/>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annotation text"/>
    <w:basedOn w:val="1"/>
    <w:link w:val="35"/>
    <w:qFormat/>
    <w:uiPriority w:val="0"/>
    <w:pPr>
      <w:jc w:val="left"/>
    </w:pPr>
  </w:style>
  <w:style w:type="paragraph" w:styleId="8">
    <w:name w:val="Body Text"/>
    <w:basedOn w:val="1"/>
    <w:unhideWhenUsed/>
    <w:qFormat/>
    <w:uiPriority w:val="99"/>
    <w:pPr>
      <w:spacing w:after="120"/>
    </w:pPr>
  </w:style>
  <w:style w:type="paragraph" w:styleId="9">
    <w:name w:val="Body Text Indent"/>
    <w:basedOn w:val="1"/>
    <w:next w:val="1"/>
    <w:qFormat/>
    <w:uiPriority w:val="0"/>
    <w:pPr>
      <w:spacing w:after="120"/>
      <w:ind w:left="420" w:leftChars="200"/>
    </w:pPr>
    <w:rPr>
      <w:kern w:val="0"/>
      <w:sz w:val="24"/>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rPr>
      <w:sz w:val="24"/>
      <w:szCs w:val="20"/>
    </w:rPr>
  </w:style>
  <w:style w:type="paragraph" w:styleId="12">
    <w:name w:val="footer"/>
    <w:basedOn w:val="1"/>
    <w:qFormat/>
    <w:uiPriority w:val="0"/>
    <w:pPr>
      <w:tabs>
        <w:tab w:val="center" w:pos="4153"/>
        <w:tab w:val="right" w:pos="8306"/>
      </w:tabs>
      <w:snapToGrid w:val="0"/>
      <w:jc w:val="left"/>
    </w:pPr>
    <w:rPr>
      <w:kern w:val="0"/>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semiHidden/>
    <w:qFormat/>
    <w:uiPriority w:val="0"/>
    <w:pPr>
      <w:tabs>
        <w:tab w:val="right" w:leader="dot" w:pos="9061"/>
      </w:tabs>
      <w:spacing w:line="440" w:lineRule="exact"/>
      <w:jc w:val="center"/>
    </w:pPr>
    <w:rPr>
      <w:rFonts w:eastAsia="黑体"/>
      <w:b/>
      <w:bCs/>
      <w:sz w:val="24"/>
    </w:rPr>
  </w:style>
  <w:style w:type="paragraph" w:styleId="15">
    <w:name w:val="List"/>
    <w:basedOn w:val="1"/>
    <w:qFormat/>
    <w:uiPriority w:val="0"/>
    <w:pPr>
      <w:ind w:left="200" w:hanging="200" w:hangingChars="200"/>
      <w:contextualSpacing/>
    </w:pPr>
  </w:style>
  <w:style w:type="paragraph" w:styleId="16">
    <w:name w:val="footnote text"/>
    <w:basedOn w:val="1"/>
    <w:qFormat/>
    <w:uiPriority w:val="0"/>
    <w:pPr>
      <w:snapToGrid w:val="0"/>
      <w:jc w:val="left"/>
    </w:pPr>
    <w:rPr>
      <w:sz w:val="18"/>
    </w:rPr>
  </w:style>
  <w:style w:type="paragraph" w:styleId="17">
    <w:name w:val="Body Text 2"/>
    <w:basedOn w:val="1"/>
    <w:qFormat/>
    <w:uiPriority w:val="0"/>
    <w:pPr>
      <w:spacing w:after="120" w:line="480" w:lineRule="auto"/>
    </w:pPr>
  </w:style>
  <w:style w:type="paragraph" w:styleId="18">
    <w:name w:val="Normal (Web)"/>
    <w:basedOn w:val="1"/>
    <w:qFormat/>
    <w:uiPriority w:val="0"/>
    <w:rPr>
      <w:sz w:val="24"/>
    </w:rPr>
  </w:style>
  <w:style w:type="paragraph" w:styleId="19">
    <w:name w:val="annotation subject"/>
    <w:basedOn w:val="7"/>
    <w:next w:val="7"/>
    <w:link w:val="36"/>
    <w:qFormat/>
    <w:uiPriority w:val="0"/>
    <w:rPr>
      <w:b/>
      <w:bCs/>
    </w:rPr>
  </w:style>
  <w:style w:type="paragraph" w:styleId="20">
    <w:name w:val="Body Text First Indent 2"/>
    <w:basedOn w:val="9"/>
    <w:next w:val="5"/>
    <w:qFormat/>
    <w:uiPriority w:val="0"/>
    <w:pPr>
      <w:ind w:firstLine="420" w:firstLineChars="200"/>
    </w:pPr>
  </w:style>
  <w:style w:type="table" w:styleId="22">
    <w:name w:val="Table Grid"/>
    <w:basedOn w:val="2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character" w:styleId="25">
    <w:name w:val="footnote reference"/>
    <w:basedOn w:val="23"/>
    <w:qFormat/>
    <w:uiPriority w:val="0"/>
    <w:rPr>
      <w:vertAlign w:val="superscript"/>
    </w:rPr>
  </w:style>
  <w:style w:type="paragraph" w:customStyle="1" w:styleId="26">
    <w:name w:val="列出段落1"/>
    <w:basedOn w:val="1"/>
    <w:qFormat/>
    <w:uiPriority w:val="99"/>
    <w:pPr>
      <w:ind w:firstLine="420" w:firstLineChars="200"/>
    </w:pPr>
  </w:style>
  <w:style w:type="paragraph" w:customStyle="1" w:styleId="27">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ca-22"/>
    <w:basedOn w:val="23"/>
    <w:qFormat/>
    <w:uiPriority w:val="0"/>
  </w:style>
  <w:style w:type="paragraph" w:customStyle="1" w:styleId="31">
    <w:name w:val="列出段落2"/>
    <w:basedOn w:val="1"/>
    <w:qFormat/>
    <w:uiPriority w:val="99"/>
    <w:pPr>
      <w:ind w:firstLine="420" w:firstLineChars="200"/>
    </w:pPr>
  </w:style>
  <w:style w:type="character" w:customStyle="1" w:styleId="32">
    <w:name w:val="标题 1 字符"/>
    <w:link w:val="3"/>
    <w:qFormat/>
    <w:uiPriority w:val="0"/>
    <w:rPr>
      <w:b/>
      <w:kern w:val="44"/>
      <w:sz w:val="44"/>
      <w:szCs w:val="20"/>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 w:type="paragraph" w:customStyle="1" w:styleId="34">
    <w:name w:val="UserStyle_0"/>
    <w:basedOn w:val="1"/>
    <w:qFormat/>
    <w:uiPriority w:val="0"/>
    <w:pPr>
      <w:ind w:firstLine="420" w:firstLineChars="200"/>
      <w:textAlignment w:val="baseline"/>
    </w:pPr>
    <w:rPr>
      <w:szCs w:val="22"/>
    </w:rPr>
  </w:style>
  <w:style w:type="character" w:customStyle="1" w:styleId="35">
    <w:name w:val="批注文字 字符"/>
    <w:basedOn w:val="23"/>
    <w:link w:val="7"/>
    <w:qFormat/>
    <w:uiPriority w:val="0"/>
    <w:rPr>
      <w:kern w:val="2"/>
      <w:sz w:val="21"/>
      <w:szCs w:val="24"/>
    </w:rPr>
  </w:style>
  <w:style w:type="character" w:customStyle="1" w:styleId="36">
    <w:name w:val="批注主题 字符"/>
    <w:basedOn w:val="35"/>
    <w:link w:val="19"/>
    <w:qFormat/>
    <w:uiPriority w:val="0"/>
    <w:rPr>
      <w:b/>
      <w:bCs/>
      <w:kern w:val="2"/>
      <w:sz w:val="21"/>
      <w:szCs w:val="24"/>
    </w:rPr>
  </w:style>
  <w:style w:type="paragraph" w:customStyle="1" w:styleId="37">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cf01"/>
    <w:basedOn w:val="23"/>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12134</Words>
  <Characters>12538</Characters>
  <Lines>96</Lines>
  <Paragraphs>27</Paragraphs>
  <TotalTime>16</TotalTime>
  <ScaleCrop>false</ScaleCrop>
  <LinksUpToDate>false</LinksUpToDate>
  <CharactersWithSpaces>13756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LDSZXYY</dc:creator>
  <cp:lastModifiedBy>张思远</cp:lastModifiedBy>
  <cp:lastPrinted>2023-06-20T02:21:00Z</cp:lastPrinted>
  <dcterms:modified xsi:type="dcterms:W3CDTF">2023-06-20T02:57:34Z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1C914F2D207349008A579E8AC4CF45BF_13</vt:lpwstr>
  </property>
</Properties>
</file>