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（医用超声雾化器</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440" w:right="1080" w:bottom="1440" w:left="1080" w:header="567" w:footer="283" w:gutter="0"/>
          <w:cols w:space="720" w:num="1"/>
          <w:docGrid w:linePitch="312" w:charSpace="0"/>
        </w:sectPr>
      </w:pPr>
    </w:p>
    <w:p>
      <w:pPr>
        <w:rPr>
          <w:rFonts w:hint="eastAsia"/>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医用超声雾化器</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医用超声雾化器</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2"/>
        <w:rPr>
          <w:rFonts w:hint="eastAsia"/>
          <w:lang w:val="en-US" w:eastAsia="zh-CN"/>
        </w:rPr>
      </w:pPr>
    </w:p>
    <w:p>
      <w:pPr>
        <w:pStyle w:val="3"/>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医用超声雾化器</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7.6</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lang w:val="en-US" w:eastAsia="zh-CN"/>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82" w:firstLineChars="200"/>
        <w:rPr>
          <w:rFonts w:hint="eastAsia"/>
          <w:b/>
          <w:bCs/>
          <w:sz w:val="24"/>
          <w:szCs w:val="24"/>
          <w:lang w:val="en-US" w:eastAsia="zh-CN"/>
        </w:rPr>
      </w:pPr>
      <w:r>
        <w:rPr>
          <w:rFonts w:hint="eastAsia"/>
          <w:b/>
          <w:bCs/>
          <w:sz w:val="24"/>
          <w:szCs w:val="24"/>
          <w:lang w:val="en-US" w:eastAsia="zh-CN"/>
        </w:rPr>
        <w:t>技术参数：</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（一）专业用途：用于干眼雾化治疗，适用于行动不便的患者以及干眼患者，超声雾化器也有美容、缓解干眼症等作用。</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二）、超声雾化器工作原理和机制:主要利用超声波定向压强，超声波能量在常温下使得水溶性药物能够雾化成为微小的颗粒物，并且通过水的配合作用，形成喷雾状通过内部风机的作用，将喷雾状的药物拍入患者眼部，使患者更容易吸收水分及药物的药性，从而达到治疗的作用。</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（三）、搭载冷热雾化双模式；具有中药雾化功能，熬煮雾化一机完成，无需辅助其他方式</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（四）、参数记忆模式，初始参数设置好之后，后续操作一键启动即工作。可实时个性化设置调整治疗参数</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1、电源：~220V±22V 50Hz± 1Hz</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2、加热功率：≥700VA</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3、超声振荡频率：2.0MHz ±10%</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4、雾化率：≥180ml/h；大功率雾化技术，出雾稳定雾量大，治疗感受更佳</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5、加热温度：85°C±10%，步进10°C，操作设置有语音提示；</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内置智能变频温控系统，无需外接加热、温控模块，设备稳定性好，治疗过程中实时监测，低于设置目标温度即可启动加热，控温准</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6、加热锅装水量：≥800ml</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7、过滤网直径：≤75um，防止药渣进入机器内部，避免药渣堵塞引起的机器故障</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8、正常工作时整机噪声：≤50dB（A计权）</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9、治疗时间：5-60分钟，可调，步进5分钟，操作设置有语音提示；一键暂停功能，治疗过程中可一键暂停，恢复治疗点击雾化即可继续工作</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10、低水位提示装置：当雾化器水槽内无水时，机器可自动停机</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11、连续工作时间：在常温下采用交流电源供电时，可连续工作4小时</w:t>
      </w:r>
    </w:p>
    <w:p>
      <w:pPr>
        <w:pStyle w:val="2"/>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12、等效提及粒径分布：直径1um-8um的雾粒所占比例≥50%</w:t>
      </w:r>
    </w:p>
    <w:p>
      <w:pPr>
        <w:pStyle w:val="2"/>
        <w:rPr>
          <w:rFonts w:hint="default" w:asciiTheme="minorEastAsia" w:hAnsiTheme="minorEastAsia" w:eastAsiaTheme="minorEastAsia" w:cstheme="minorEastAsia"/>
          <w:bCs/>
          <w:color w:val="FF0000"/>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13、中位粒径：雾粒的中位粒径为6.5um，误差≤±25%。</w:t>
      </w:r>
    </w:p>
    <w:p>
      <w:pPr>
        <w:pStyle w:val="3"/>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1主机                  1台</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2主机电源线            1根</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3药杯                  5个</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4加热连接线            1根</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5加热管路              2根</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6温度传感器线          1根</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7保险丝                2只</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8说明书 (含保修卡 ）   1本</w:t>
      </w:r>
    </w:p>
    <w:p>
      <w:pPr>
        <w:pStyle w:val="2"/>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9合格证                1张</w:t>
      </w:r>
    </w:p>
    <w:p>
      <w:pPr>
        <w:pStyle w:val="3"/>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*1、运输、装卸、培训、安装调试：由中标人负责承担，最终通过使用科室、设备科及相关部门确认验收交付使用。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*2、交货时间：按合同约定的送货日期内将设备运至娄底市中心医院指定交货地点，逾期按合同赔付。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*3、付款方式：设备验收合格后，供应商将发票交到娄底市中心医院后按程序支付货款90%（按医院财务制度一般情况下4个月内支付、特殊情况下最多不超过6个月），甲方在设备验收合格满2年后</w:t>
      </w:r>
      <w:bookmarkStart w:id="5" w:name="_GoBack"/>
      <w:bookmarkEnd w:id="5"/>
      <w:r>
        <w:rPr>
          <w:rFonts w:hint="default" w:asciiTheme="minorEastAsia" w:hAnsiTheme="minorEastAsia" w:eastAsiaTheme="minorEastAsia" w:cstheme="minorEastAsia"/>
          <w:bCs/>
          <w:color w:val="auto"/>
          <w:kern w:val="0"/>
          <w:sz w:val="24"/>
          <w:szCs w:val="24"/>
          <w:lang w:val="en-US" w:eastAsia="zh-CN" w:bidi="ar-SA"/>
        </w:rPr>
        <w:t>支付10%余款给乙方。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*4、交货地点：娄底市中心医院。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*5、质保与售后：整机保修2年，终身维修。出具原厂售后质保承诺书，质保期内每年巡检两次。质保期内出现故障，24小时响应，响应后4小时上门服务。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*6、在投标文件中必须提供相关佐证资料（加盖原厂公章的技术参数、技术白皮书、说明书、彩页），并在响应表中备注该条参数响应或正偏离的佐证资料所在页码。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法定代表人：李红辉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医用超声雾化器</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医用超声雾化器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医用超声雾化器</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  本合同约定价格包括且不限于设计费、材料费、人工费、安装费、包装费、运输费、装卸费、调试费、检测、检验费、税费、保险费、售后服务费等在内所有费用。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w:t>
      </w:r>
      <w:r>
        <w:rPr>
          <w:rFonts w:hint="eastAsia" w:ascii="宋体" w:hAnsi="宋体" w:eastAsia="宋体" w:cs="宋体"/>
          <w:color w:val="FF0000"/>
          <w:sz w:val="24"/>
          <w:szCs w:val="24"/>
          <w:highlight w:val="none"/>
        </w:rPr>
        <w:t>使用科室、设备科及相关部门</w:t>
      </w:r>
      <w:r>
        <w:rPr>
          <w:rFonts w:hint="eastAsia" w:ascii="宋体" w:hAnsi="宋体" w:eastAsia="宋体" w:cs="宋体"/>
          <w:color w:val="auto"/>
          <w:sz w:val="24"/>
          <w:szCs w:val="24"/>
          <w:highlight w:val="none"/>
          <w:lang w:val="en-US" w:eastAsia="zh-CN"/>
        </w:rPr>
        <w:t>进行总体验收，验收合格后签署总体验收报告单。如经甲方验收不合格，乙方应在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0000FF"/>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质保期内，乙方每年至少对设备进行两次巡检并免费保养。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cs="宋体"/>
          <w:color w:val="0000FF"/>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4"/>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3"/>
        <w:numPr>
          <w:ilvl w:val="0"/>
          <w:numId w:val="4"/>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5"/>
        <w:rPr>
          <w:color w:val="auto"/>
        </w:rPr>
      </w:pPr>
    </w:p>
    <w:p>
      <w:pPr>
        <w:pStyle w:val="16"/>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6"/>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4"/>
        <w:rPr>
          <w:rFonts w:hint="eastAsia"/>
          <w:lang w:eastAsia="zh-CN"/>
        </w:rPr>
      </w:pPr>
    </w:p>
    <w:p>
      <w:pPr>
        <w:numPr>
          <w:ilvl w:val="0"/>
          <w:numId w:val="5"/>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6E91EC4"/>
    <w:rsid w:val="08C1114D"/>
    <w:rsid w:val="12994AC5"/>
    <w:rsid w:val="1AF56B46"/>
    <w:rsid w:val="1FE73549"/>
    <w:rsid w:val="20B41DA7"/>
    <w:rsid w:val="22112D2D"/>
    <w:rsid w:val="28E81B29"/>
    <w:rsid w:val="2C7642D0"/>
    <w:rsid w:val="2EAC037F"/>
    <w:rsid w:val="2EB67A5C"/>
    <w:rsid w:val="302741D2"/>
    <w:rsid w:val="308B184D"/>
    <w:rsid w:val="340F06E9"/>
    <w:rsid w:val="3B3B544D"/>
    <w:rsid w:val="3B654F2B"/>
    <w:rsid w:val="423E47D4"/>
    <w:rsid w:val="429A4992"/>
    <w:rsid w:val="439A410B"/>
    <w:rsid w:val="43B25DAC"/>
    <w:rsid w:val="4DCD6AB3"/>
    <w:rsid w:val="504F64BB"/>
    <w:rsid w:val="50540C20"/>
    <w:rsid w:val="51AC28BD"/>
    <w:rsid w:val="611B6B1B"/>
    <w:rsid w:val="64133D6A"/>
    <w:rsid w:val="6DE375E4"/>
    <w:rsid w:val="72D33D5F"/>
    <w:rsid w:val="733F2A48"/>
    <w:rsid w:val="779B057A"/>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Body Text First Indent 2"/>
    <w:basedOn w:val="5"/>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6"/>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7826</Words>
  <Characters>8114</Characters>
  <Lines>0</Lines>
  <Paragraphs>0</Paragraphs>
  <TotalTime>0</TotalTime>
  <ScaleCrop>false</ScaleCrop>
  <LinksUpToDate>false</LinksUpToDate>
  <CharactersWithSpaces>9154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2023-07-31T00:37:50Z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