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napToGrid w:val="0"/>
        <w:jc w:val="center"/>
        <w:rPr>
          <w:rFonts w:ascii="Arial" w:hAnsi="Arial" w:eastAsia="方正小标宋简体" w:cs="Arial"/>
          <w:color w:val="auto"/>
          <w:sz w:val="72"/>
          <w:szCs w:val="72"/>
        </w:rPr>
      </w:pPr>
      <w:bookmarkStart w:id="0" w:name="_Toc16523570"/>
    </w:p>
    <w:p>
      <w:pPr>
        <w:pStyle w:val="15"/>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5"/>
        <w:snapToGrid w:val="0"/>
        <w:jc w:val="center"/>
        <w:rPr>
          <w:rFonts w:ascii="Arial" w:hAnsi="Arial" w:cs="Arial"/>
          <w:sz w:val="32"/>
          <w:szCs w:val="32"/>
        </w:rPr>
      </w:pPr>
    </w:p>
    <w:p>
      <w:pPr>
        <w:pStyle w:val="15"/>
        <w:snapToGrid w:val="0"/>
        <w:jc w:val="center"/>
        <w:rPr>
          <w:rFonts w:ascii="Arial" w:hAnsi="Arial" w:cs="Arial"/>
          <w:sz w:val="32"/>
          <w:szCs w:val="32"/>
        </w:rPr>
      </w:pPr>
    </w:p>
    <w:p>
      <w:pPr>
        <w:pStyle w:val="15"/>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（便携式彩色多普勒超声诊断系统</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sectPr>
          <w:headerReference r:id="rId3" w:type="default"/>
          <w:footerReference r:id="rId4" w:type="default"/>
          <w:pgSz w:w="11906" w:h="16838"/>
          <w:pgMar w:top="1440" w:right="1080" w:bottom="1440" w:left="1080" w:header="567" w:footer="283" w:gutter="0"/>
          <w:cols w:space="720" w:num="1"/>
          <w:docGrid w:linePitch="312" w:charSpace="0"/>
        </w:sectPr>
      </w:pPr>
    </w:p>
    <w:p>
      <w:pPr>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便携式彩色多普勒超声诊断系统</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便携式彩色多普勒超声诊断系统</w:t>
      </w:r>
      <w:r>
        <w:rPr>
          <w:rFonts w:hint="eastAsia" w:asciiTheme="minorEastAsia" w:hAnsiTheme="minorEastAsia" w:eastAsiaTheme="minorEastAsia" w:cstheme="minorEastAsia"/>
          <w:b w:val="0"/>
          <w:bCs/>
          <w:color w:val="auto"/>
          <w:sz w:val="24"/>
          <w:szCs w:val="24"/>
          <w:lang w:val="en-US" w:eastAsia="zh-CN"/>
        </w:rPr>
        <w:t>采购项目</w:t>
      </w:r>
    </w:p>
    <w:p>
      <w:pPr>
        <w:pStyle w:val="1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5"/>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6"/>
        <w:rPr>
          <w:rFonts w:hint="eastAsia"/>
          <w:lang w:val="en-US" w:eastAsia="zh-CN"/>
        </w:rPr>
      </w:pPr>
    </w:p>
    <w:p>
      <w:pPr>
        <w:pStyle w:val="16"/>
        <w:jc w:val="both"/>
        <w:rPr>
          <w:rFonts w:hint="default"/>
          <w:lang w:val="en-US" w:eastAsia="zh-CN"/>
        </w:rPr>
      </w:pPr>
    </w:p>
    <w:p>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6"/>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4"/>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便携式彩色多普勒超声诊断</w:t>
            </w:r>
            <w:r>
              <w:rPr>
                <w:rFonts w:hint="eastAsia" w:asciiTheme="minorEastAsia" w:hAnsiTheme="minorEastAsia" w:eastAsiaTheme="minorEastAsia" w:cstheme="minorEastAsia"/>
                <w:kern w:val="2"/>
                <w:sz w:val="24"/>
                <w:szCs w:val="24"/>
                <w:shd w:val="clear" w:fill="FFFF00"/>
                <w:lang w:val="en-US" w:eastAsia="zh-CN"/>
              </w:rPr>
              <w:t>系统</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30</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宋体" w:hAnsi="宋体" w:cs="宋体"/>
          <w:b/>
          <w:bCs w:val="0"/>
          <w:color w:val="auto"/>
          <w:kern w:val="0"/>
          <w:sz w:val="28"/>
          <w:szCs w:val="28"/>
          <w:lang w:val="en-US" w:eastAsia="zh-CN"/>
        </w:rPr>
        <w:t>产品用途：</w:t>
      </w:r>
      <w:r>
        <w:rPr>
          <w:rFonts w:hint="eastAsia" w:asciiTheme="minorEastAsia" w:hAnsiTheme="minorEastAsia" w:eastAsiaTheme="minorEastAsia" w:cstheme="minorEastAsia"/>
          <w:bCs/>
          <w:color w:val="auto"/>
          <w:kern w:val="0"/>
          <w:sz w:val="24"/>
          <w:szCs w:val="24"/>
          <w:lang w:val="en-US" w:eastAsia="zh-CN" w:bidi="ar-SA"/>
        </w:rPr>
        <w:t>腹部、妇科、产科、心脏、小器官与浅表组织、血管、颅脑, 泌尿、介入性超声、儿科、急诊、麻醉、等全身应用</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textAlignment w:val="auto"/>
        <w:rPr>
          <w:rFonts w:hint="eastAsia" w:ascii="宋体" w:hAnsi="宋体" w:eastAsia="宋体" w:cs="宋体"/>
          <w:b/>
          <w:bCs w:val="0"/>
          <w:color w:val="auto"/>
          <w:kern w:val="0"/>
          <w:sz w:val="28"/>
          <w:szCs w:val="28"/>
          <w:lang w:val="en-US" w:eastAsia="zh-CN"/>
        </w:rPr>
      </w:pPr>
      <w:r>
        <w:rPr>
          <w:rFonts w:hint="eastAsia" w:ascii="宋体" w:hAnsi="宋体" w:eastAsia="宋体" w:cs="宋体"/>
          <w:b/>
          <w:bCs w:val="0"/>
          <w:color w:val="auto"/>
          <w:kern w:val="0"/>
          <w:sz w:val="28"/>
          <w:szCs w:val="28"/>
          <w:lang w:val="en-US" w:eastAsia="zh-CN"/>
        </w:rPr>
        <w:t>技术参数：</w:t>
      </w:r>
    </w:p>
    <w:p>
      <w:pPr>
        <w:pStyle w:val="19"/>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482" w:firstLineChars="200"/>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系统技术规格及概述</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≥15寸电容屏</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机器内置3个可激活探头接口</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≥4个USB 3.0接口</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二维灰阶模式</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空间复合成像</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彩色多普勒成像（包括彩色、能量、方向能量多普勒模式）</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频谱多普勒成像：脉冲多普勒、高脉冲重复频率、连续波多普勒</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独立角度偏转</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扩展成像</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实时双幅对比成像</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一键自动优化（包括应用于二维、彩色及频谱模式，彩色多普勒自动识别，包括ROI框位置、角度自动改变）</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全屏放大</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局部放大（支持前端、后端放大）</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回波增强技术</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多普勒自动识别功能</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支持锁屏功能</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自动唤醒功能</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常规测量软件包</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标配腹部、心脏、血管、小器官，神经测量软件包，可选配产科、妇科、泌尿、急诊测量软件包</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支持手动触摸屏上注释</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支持手动触摸屏上包络测量</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支持手势操作（图像调整、测量和注释、图像浏览）</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sz w:val="24"/>
          <w:szCs w:val="24"/>
          <w:highlight w:val="none"/>
        </w:rPr>
        <w:t>穿刺针增强技术，可跟随进针角度随时改变声束偏转角度，支持双屏实时对比显示增强前后效果，支持线阵和凸阵探头</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≥142种体位图</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内置超声教学软件，解剖图谱，标准的超声图像，扫查位置参考图，以及扫查技巧图文解析，覆盖神经、腹部、甲状腺、乳腺、睾丸和妇产等应用，为用户提供在线指导</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智能追踪探头信息，探头内置记忆芯片，可自动记录设备序列号等信息，自动写入病例，便于设备管理与追溯</w:t>
      </w:r>
    </w:p>
    <w:p>
      <w:pPr>
        <w:pStyle w:val="19"/>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482" w:firstLineChars="200"/>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测量/分析和报告</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常规测量</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距离测量、椭圆及描迹测量面积周长、体积测量</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rPr>
        <w:t>全科测量包，自动生成报告</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急诊、神经、肌骨、腹部、产科、妇科、小器官、泌尿、血管</w:t>
      </w:r>
    </w:p>
    <w:p>
      <w:pPr>
        <w:pStyle w:val="19"/>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482" w:firstLineChars="200"/>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检查存储和管理（内置超声工作站）</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检查存储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≥120GB SSD硬盘、内置超声工作站</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多种导出图像格式：动态图像、静态图像以PC格式直接导出，无需特殊软件即能在普通PC 机上直接观看图像。导出、备份图像数据资料同时，可进行实时检查，不影响检查操作</w:t>
      </w:r>
    </w:p>
    <w:p>
      <w:pPr>
        <w:pStyle w:val="19"/>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482" w:firstLineChars="200"/>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系统技术参数及要求</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≥15寸电容屏</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主机重量≤6.2Kg </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机器内置可激活探头接口3个</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≥4个USB 3.0</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二维灰阶模式</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扫描线：每帧线密度≥512超声线</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扫描频率：</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电子凸阵：超声频率范围 1.3- 6.0 MHz</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电子线阵：超声频率范围</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5.4-16.2MHz</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预设条件：针对不同的检查脏器，预置最佳图像检查条件</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最大显示深度:≥39cm </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最大帧率: ≥999 帧/秒</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TGC: ≥6段</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二维灰阶：≥256</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动态范围: ≥230</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增益调节: B/M/D分别独立可调，≥100</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伪彩图谱: ≥8种</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彩色多普勒成像</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包括速度、速度方差、能量、方向能量显示等</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显示方式：B/C、B/C/M、B/POWER、B/C/PW</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最大帧率: ≥364 帧/秒</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支持B/C 同宽</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频谱多普勒模式</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包括脉冲多普勒、高脉冲重复频率、连续多普勒</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显示方式：B, PW，B/PW, B/C/PW, B/CW, B/C/CW等等</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显示控制：反转、零移位、B刷新、D扩展、B/D扩展等</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最大速度: ≥8.6m/s（连续多普勒速度: ≥35m/s）</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最小速度: ≤0.5mm /s（非噪声信号）</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取样范围: 0.5-20mm </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快速角度校正</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探头规格</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标配探头：凸阵探头，线阵探头共2把</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探头频率：</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频率带宽1.3- 6.0 MHz（依赖不同探头）</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频率带宽 5.4-16.2MHz</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所有探头均为宽频变频探头,二维、谐波、彩色及频谱多普勒模式分别独立变频，≥3段</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振元：最大有效振元数≥192振元</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穿刺引导</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凸阵、线阵、相控阵具备多角度穿刺引导功能</w:t>
      </w:r>
    </w:p>
    <w:p>
      <w:pPr>
        <w:pStyle w:val="19"/>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482" w:firstLineChars="200"/>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外设和附件</w:t>
      </w:r>
    </w:p>
    <w:p>
      <w:pPr>
        <w:pStyle w:val="19"/>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台车（包括：耦合剂杯套组、储物篮、打印机架、AC电源及电源线、辅助输出电源线、纸巾架）</w:t>
      </w:r>
    </w:p>
    <w:p>
      <w:pPr>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*配置：</w:t>
      </w:r>
    </w:p>
    <w:tbl>
      <w:tblPr>
        <w:tblStyle w:val="10"/>
        <w:tblW w:w="905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2130"/>
        <w:gridCol w:w="2814"/>
        <w:gridCol w:w="28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296"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cs="Times New Roman"/>
                <w:b/>
                <w:bCs/>
                <w:color w:val="auto"/>
                <w:sz w:val="21"/>
                <w:szCs w:val="21"/>
                <w:highlight w:val="none"/>
                <w:lang w:val="en-US" w:eastAsia="zh-CN"/>
              </w:rPr>
              <w:t>序号</w:t>
            </w:r>
          </w:p>
        </w:tc>
        <w:tc>
          <w:tcPr>
            <w:tcW w:w="2130"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宋体" w:cs="Times New Roman"/>
                <w:b/>
                <w:bCs/>
                <w:color w:val="auto"/>
                <w:sz w:val="21"/>
                <w:szCs w:val="21"/>
                <w:highlight w:val="none"/>
                <w:vertAlign w:val="baseline"/>
                <w:lang w:val="en-US" w:eastAsia="zh-CN"/>
              </w:rPr>
            </w:pPr>
            <w:r>
              <w:rPr>
                <w:rFonts w:hint="eastAsia" w:cs="Times New Roman"/>
                <w:b/>
                <w:bCs/>
                <w:color w:val="auto"/>
                <w:sz w:val="21"/>
                <w:szCs w:val="21"/>
                <w:highlight w:val="none"/>
                <w:vertAlign w:val="baseline"/>
                <w:lang w:val="en-US" w:eastAsia="zh-CN"/>
              </w:rPr>
              <w:t>名称</w:t>
            </w:r>
          </w:p>
        </w:tc>
        <w:tc>
          <w:tcPr>
            <w:tcW w:w="2814"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宋体" w:cs="Times New Roman"/>
                <w:b/>
                <w:bCs/>
                <w:color w:val="auto"/>
                <w:sz w:val="21"/>
                <w:szCs w:val="21"/>
                <w:highlight w:val="none"/>
                <w:vertAlign w:val="baseline"/>
                <w:lang w:val="en-US" w:eastAsia="zh-CN"/>
              </w:rPr>
            </w:pPr>
            <w:r>
              <w:rPr>
                <w:rFonts w:hint="eastAsia" w:cs="Times New Roman"/>
                <w:b/>
                <w:bCs/>
                <w:color w:val="auto"/>
                <w:sz w:val="21"/>
                <w:szCs w:val="21"/>
                <w:highlight w:val="none"/>
                <w:vertAlign w:val="baseline"/>
                <w:lang w:val="en-US" w:eastAsia="zh-CN"/>
              </w:rPr>
              <w:t>数量</w:t>
            </w:r>
          </w:p>
        </w:tc>
        <w:tc>
          <w:tcPr>
            <w:tcW w:w="2815"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宋体" w:cs="Times New Roman"/>
                <w:b/>
                <w:bCs/>
                <w:color w:val="auto"/>
                <w:sz w:val="21"/>
                <w:szCs w:val="21"/>
                <w:highlight w:val="none"/>
                <w:vertAlign w:val="baseline"/>
                <w:lang w:val="en-US" w:eastAsia="zh-CN"/>
              </w:rPr>
            </w:pPr>
            <w:r>
              <w:rPr>
                <w:rFonts w:hint="eastAsia" w:cs="Times New Roman"/>
                <w:b/>
                <w:bCs/>
                <w:color w:val="auto"/>
                <w:sz w:val="21"/>
                <w:szCs w:val="21"/>
                <w:highlight w:val="none"/>
                <w:vertAlign w:val="baseline"/>
                <w:lang w:val="en-US" w:eastAsia="zh-CN"/>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296" w:type="dxa"/>
            <w:noWrap w:val="0"/>
            <w:vAlign w:val="center"/>
          </w:tcPr>
          <w:p>
            <w:pPr>
              <w:keepNext w:val="0"/>
              <w:keepLines w:val="0"/>
              <w:pageBreakBefore w:val="0"/>
              <w:numPr>
                <w:ilvl w:val="0"/>
                <w:numId w:val="4"/>
              </w:numPr>
              <w:kinsoku/>
              <w:wordWrap/>
              <w:overflowPunct/>
              <w:topLinePunct w:val="0"/>
              <w:autoSpaceDE/>
              <w:autoSpaceDN/>
              <w:bidi w:val="0"/>
              <w:adjustRightInd/>
              <w:snapToGrid/>
              <w:spacing w:line="360" w:lineRule="auto"/>
              <w:ind w:left="425" w:leftChars="0" w:hanging="425" w:firstLineChars="0"/>
              <w:jc w:val="center"/>
              <w:textAlignment w:val="auto"/>
              <w:rPr>
                <w:rFonts w:hint="default" w:ascii="Times New Roman" w:hAnsi="Times New Roman" w:eastAsia="宋体" w:cs="Times New Roman"/>
                <w:b w:val="0"/>
                <w:bCs w:val="0"/>
                <w:color w:val="auto"/>
                <w:sz w:val="21"/>
                <w:szCs w:val="21"/>
                <w:highlight w:val="none"/>
                <w:lang w:val="en-US" w:eastAsia="zh-CN"/>
              </w:rPr>
            </w:pPr>
          </w:p>
        </w:tc>
        <w:tc>
          <w:tcPr>
            <w:tcW w:w="2130"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color w:val="auto"/>
                <w:sz w:val="21"/>
                <w:szCs w:val="21"/>
                <w:highlight w:val="none"/>
                <w:vertAlign w:val="baseline"/>
                <w:lang w:val="en-US" w:eastAsia="zh-CN"/>
              </w:rPr>
              <w:t>便携式超声主机</w:t>
            </w:r>
          </w:p>
        </w:tc>
        <w:tc>
          <w:tcPr>
            <w:tcW w:w="2814"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lang w:val="en-US"/>
              </w:rPr>
            </w:pPr>
            <w:r>
              <w:rPr>
                <w:rFonts w:hint="default" w:ascii="Times New Roman" w:hAnsi="Times New Roman" w:eastAsia="宋体" w:cs="Times New Roman"/>
                <w:color w:val="auto"/>
                <w:sz w:val="21"/>
                <w:szCs w:val="21"/>
                <w:highlight w:val="none"/>
                <w:vertAlign w:val="baseline"/>
                <w:lang w:val="en-US" w:eastAsia="zh-CN"/>
              </w:rPr>
              <w:t>1台</w:t>
            </w:r>
          </w:p>
        </w:tc>
        <w:tc>
          <w:tcPr>
            <w:tcW w:w="2815"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color w:val="auto"/>
                <w:sz w:val="21"/>
                <w:szCs w:val="21"/>
                <w:highlight w:val="none"/>
                <w:vertAlign w:val="baseline"/>
                <w:lang w:val="en-US" w:eastAsia="zh-CN"/>
              </w:rPr>
              <w:t>无缝纯平电容屏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296" w:type="dxa"/>
            <w:noWrap w:val="0"/>
            <w:vAlign w:val="center"/>
          </w:tcPr>
          <w:p>
            <w:pPr>
              <w:keepNext w:val="0"/>
              <w:keepLines w:val="0"/>
              <w:pageBreakBefore w:val="0"/>
              <w:numPr>
                <w:ilvl w:val="0"/>
                <w:numId w:val="4"/>
              </w:numPr>
              <w:kinsoku/>
              <w:wordWrap/>
              <w:overflowPunct/>
              <w:topLinePunct w:val="0"/>
              <w:autoSpaceDE/>
              <w:autoSpaceDN/>
              <w:bidi w:val="0"/>
              <w:adjustRightInd/>
              <w:snapToGrid/>
              <w:spacing w:line="360" w:lineRule="auto"/>
              <w:ind w:left="425" w:leftChars="0" w:hanging="425" w:firstLineChars="0"/>
              <w:jc w:val="center"/>
              <w:textAlignment w:val="auto"/>
              <w:rPr>
                <w:rFonts w:hint="eastAsia" w:ascii="Times New Roman" w:hAnsi="Times New Roman" w:eastAsia="宋体" w:cs="Times New Roman"/>
                <w:b w:val="0"/>
                <w:bCs w:val="0"/>
                <w:color w:val="auto"/>
                <w:sz w:val="21"/>
                <w:szCs w:val="21"/>
                <w:highlight w:val="none"/>
                <w:lang w:val="en-US" w:eastAsia="zh-CN"/>
              </w:rPr>
            </w:pPr>
          </w:p>
        </w:tc>
        <w:tc>
          <w:tcPr>
            <w:tcW w:w="2130"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color w:val="auto"/>
                <w:sz w:val="21"/>
                <w:szCs w:val="21"/>
                <w:highlight w:val="none"/>
                <w:vertAlign w:val="baseline"/>
                <w:lang w:val="en-US" w:eastAsia="zh-CN"/>
              </w:rPr>
              <w:t>腹部探头</w:t>
            </w:r>
          </w:p>
        </w:tc>
        <w:tc>
          <w:tcPr>
            <w:tcW w:w="2814"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lang w:val="en-US"/>
              </w:rPr>
            </w:pPr>
            <w:r>
              <w:rPr>
                <w:rFonts w:hint="default" w:ascii="Times New Roman" w:hAnsi="Times New Roman" w:eastAsia="宋体" w:cs="Times New Roman"/>
                <w:color w:val="auto"/>
                <w:sz w:val="21"/>
                <w:szCs w:val="21"/>
                <w:highlight w:val="none"/>
                <w:vertAlign w:val="baseline"/>
                <w:lang w:val="en-US" w:eastAsia="zh-CN"/>
              </w:rPr>
              <w:t>1个</w:t>
            </w:r>
          </w:p>
        </w:tc>
        <w:tc>
          <w:tcPr>
            <w:tcW w:w="2815"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color w:val="auto"/>
                <w:sz w:val="21"/>
                <w:szCs w:val="21"/>
                <w:highlight w:val="none"/>
                <w:vertAlign w:val="baseline"/>
                <w:lang w:val="en-US" w:eastAsia="zh-CN"/>
              </w:rPr>
              <w:t>超声频率：2.0-5.0MHZ</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296" w:type="dxa"/>
            <w:noWrap w:val="0"/>
            <w:vAlign w:val="center"/>
          </w:tcPr>
          <w:p>
            <w:pPr>
              <w:keepNext w:val="0"/>
              <w:keepLines w:val="0"/>
              <w:pageBreakBefore w:val="0"/>
              <w:numPr>
                <w:ilvl w:val="0"/>
                <w:numId w:val="4"/>
              </w:numPr>
              <w:kinsoku/>
              <w:wordWrap/>
              <w:overflowPunct/>
              <w:topLinePunct w:val="0"/>
              <w:autoSpaceDE/>
              <w:autoSpaceDN/>
              <w:bidi w:val="0"/>
              <w:adjustRightInd/>
              <w:snapToGrid/>
              <w:spacing w:line="360" w:lineRule="auto"/>
              <w:ind w:left="425" w:leftChars="0" w:hanging="425" w:firstLineChars="0"/>
              <w:jc w:val="center"/>
              <w:textAlignment w:val="auto"/>
              <w:rPr>
                <w:rFonts w:hint="default" w:ascii="Times New Roman" w:hAnsi="Times New Roman" w:eastAsia="宋体" w:cs="Times New Roman"/>
                <w:b w:val="0"/>
                <w:bCs w:val="0"/>
                <w:color w:val="auto"/>
                <w:sz w:val="21"/>
                <w:szCs w:val="21"/>
                <w:highlight w:val="none"/>
              </w:rPr>
            </w:pPr>
          </w:p>
        </w:tc>
        <w:tc>
          <w:tcPr>
            <w:tcW w:w="2130"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color w:val="auto"/>
                <w:sz w:val="21"/>
                <w:szCs w:val="21"/>
                <w:highlight w:val="none"/>
                <w:vertAlign w:val="baseline"/>
                <w:lang w:val="en-US" w:eastAsia="zh-CN"/>
              </w:rPr>
              <w:t>浅表探头</w:t>
            </w:r>
          </w:p>
        </w:tc>
        <w:tc>
          <w:tcPr>
            <w:tcW w:w="2814"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lang w:val="en-US"/>
              </w:rPr>
            </w:pPr>
            <w:r>
              <w:rPr>
                <w:rFonts w:hint="default" w:ascii="Times New Roman" w:hAnsi="Times New Roman" w:eastAsia="宋体" w:cs="Times New Roman"/>
                <w:color w:val="auto"/>
                <w:sz w:val="21"/>
                <w:szCs w:val="21"/>
                <w:highlight w:val="none"/>
                <w:vertAlign w:val="baseline"/>
                <w:lang w:val="en-US" w:eastAsia="zh-CN"/>
              </w:rPr>
              <w:t>1个</w:t>
            </w:r>
          </w:p>
        </w:tc>
        <w:tc>
          <w:tcPr>
            <w:tcW w:w="2815"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color w:val="auto"/>
                <w:sz w:val="21"/>
                <w:szCs w:val="21"/>
                <w:highlight w:val="none"/>
                <w:vertAlign w:val="baseline"/>
                <w:lang w:val="en-US" w:eastAsia="zh-CN"/>
              </w:rPr>
              <w:t>超声频率：3.0-12.0MHZ</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296" w:type="dxa"/>
            <w:noWrap w:val="0"/>
            <w:vAlign w:val="center"/>
          </w:tcPr>
          <w:p>
            <w:pPr>
              <w:keepNext w:val="0"/>
              <w:keepLines w:val="0"/>
              <w:pageBreakBefore w:val="0"/>
              <w:numPr>
                <w:ilvl w:val="0"/>
                <w:numId w:val="4"/>
              </w:numPr>
              <w:kinsoku/>
              <w:wordWrap/>
              <w:overflowPunct/>
              <w:topLinePunct w:val="0"/>
              <w:autoSpaceDE/>
              <w:autoSpaceDN/>
              <w:bidi w:val="0"/>
              <w:adjustRightInd/>
              <w:snapToGrid/>
              <w:spacing w:line="360" w:lineRule="auto"/>
              <w:ind w:left="425" w:leftChars="0" w:hanging="425" w:firstLineChars="0"/>
              <w:jc w:val="center"/>
              <w:textAlignment w:val="auto"/>
              <w:rPr>
                <w:rFonts w:hint="default" w:ascii="Times New Roman" w:hAnsi="Times New Roman" w:eastAsia="宋体" w:cs="Times New Roman"/>
                <w:b w:val="0"/>
                <w:bCs w:val="0"/>
                <w:color w:val="auto"/>
                <w:sz w:val="21"/>
                <w:szCs w:val="21"/>
                <w:highlight w:val="none"/>
              </w:rPr>
            </w:pPr>
          </w:p>
        </w:tc>
        <w:tc>
          <w:tcPr>
            <w:tcW w:w="2130"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color w:val="auto"/>
                <w:sz w:val="21"/>
                <w:szCs w:val="21"/>
                <w:highlight w:val="none"/>
                <w:vertAlign w:val="baseline"/>
                <w:lang w:val="en-US" w:eastAsia="zh-CN"/>
              </w:rPr>
              <w:t>多功能台车</w:t>
            </w:r>
          </w:p>
        </w:tc>
        <w:tc>
          <w:tcPr>
            <w:tcW w:w="2814"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lang w:val="en-US"/>
              </w:rPr>
            </w:pPr>
            <w:r>
              <w:rPr>
                <w:rFonts w:hint="default" w:ascii="Times New Roman" w:hAnsi="Times New Roman" w:eastAsia="宋体" w:cs="Times New Roman"/>
                <w:color w:val="auto"/>
                <w:sz w:val="21"/>
                <w:szCs w:val="21"/>
                <w:highlight w:val="none"/>
                <w:vertAlign w:val="baseline"/>
                <w:lang w:val="en-US" w:eastAsia="zh-CN"/>
              </w:rPr>
              <w:t>1辆</w:t>
            </w:r>
          </w:p>
        </w:tc>
        <w:tc>
          <w:tcPr>
            <w:tcW w:w="2815"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color w:val="auto"/>
                <w:sz w:val="21"/>
                <w:szCs w:val="21"/>
                <w:highlight w:val="none"/>
                <w:vertAlign w:val="baseline"/>
                <w:lang w:val="en-US" w:eastAsia="zh-CN"/>
              </w:rPr>
              <w:t>包括耦合剂杯套组，储物篮，纸巾架等</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296" w:type="dxa"/>
            <w:noWrap w:val="0"/>
            <w:vAlign w:val="center"/>
          </w:tcPr>
          <w:p>
            <w:pPr>
              <w:keepNext w:val="0"/>
              <w:keepLines w:val="0"/>
              <w:pageBreakBefore w:val="0"/>
              <w:numPr>
                <w:ilvl w:val="0"/>
                <w:numId w:val="4"/>
              </w:numPr>
              <w:kinsoku/>
              <w:wordWrap/>
              <w:overflowPunct/>
              <w:topLinePunct w:val="0"/>
              <w:autoSpaceDE/>
              <w:autoSpaceDN/>
              <w:bidi w:val="0"/>
              <w:adjustRightInd/>
              <w:snapToGrid/>
              <w:spacing w:line="360" w:lineRule="auto"/>
              <w:ind w:left="425" w:leftChars="0" w:hanging="425" w:firstLineChars="0"/>
              <w:jc w:val="center"/>
              <w:textAlignment w:val="auto"/>
              <w:rPr>
                <w:rFonts w:hint="default" w:ascii="Times New Roman" w:hAnsi="Times New Roman" w:eastAsia="宋体" w:cs="Times New Roman"/>
                <w:b w:val="0"/>
                <w:bCs w:val="0"/>
                <w:color w:val="auto"/>
                <w:sz w:val="21"/>
                <w:szCs w:val="21"/>
                <w:highlight w:val="none"/>
              </w:rPr>
            </w:pPr>
          </w:p>
        </w:tc>
        <w:tc>
          <w:tcPr>
            <w:tcW w:w="2130"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color w:val="auto"/>
                <w:sz w:val="21"/>
                <w:szCs w:val="21"/>
                <w:highlight w:val="none"/>
                <w:vertAlign w:val="baseline"/>
                <w:lang w:val="en-US" w:eastAsia="zh-CN"/>
              </w:rPr>
              <w:t>全科应用软件测量包</w:t>
            </w:r>
          </w:p>
        </w:tc>
        <w:tc>
          <w:tcPr>
            <w:tcW w:w="2814"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lang w:val="en-US"/>
              </w:rPr>
            </w:pPr>
            <w:r>
              <w:rPr>
                <w:rFonts w:hint="default" w:ascii="Times New Roman" w:hAnsi="Times New Roman" w:eastAsia="宋体" w:cs="Times New Roman"/>
                <w:color w:val="auto"/>
                <w:sz w:val="21"/>
                <w:szCs w:val="21"/>
                <w:highlight w:val="none"/>
                <w:vertAlign w:val="baseline"/>
                <w:lang w:val="en-US" w:eastAsia="zh-CN"/>
              </w:rPr>
              <w:t>1套</w:t>
            </w:r>
          </w:p>
        </w:tc>
        <w:tc>
          <w:tcPr>
            <w:tcW w:w="2815"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Style w:val="13"/>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color w:val="auto"/>
                <w:sz w:val="21"/>
                <w:szCs w:val="21"/>
                <w:highlight w:val="none"/>
                <w:vertAlign w:val="baseline"/>
                <w:lang w:val="en-US" w:eastAsia="zh-CN"/>
              </w:rPr>
              <w:t>包含腹部，心脏，血管，小器官，神经应用测量</w:t>
            </w:r>
          </w:p>
        </w:tc>
      </w:tr>
    </w:tbl>
    <w:p>
      <w:pPr>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便携式彩色多普勒超声诊断</w:t>
      </w:r>
      <w:r>
        <w:rPr>
          <w:rFonts w:hint="eastAsia" w:ascii="宋体" w:hAnsi="宋体" w:cs="宋体"/>
          <w:color w:val="0000FF"/>
          <w:sz w:val="24"/>
          <w:szCs w:val="24"/>
          <w:u w:val="single"/>
          <w:lang w:val="en-US" w:eastAsia="zh-CN"/>
        </w:rPr>
        <w:t>系统</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便携式彩色多普勒超声诊断</w:t>
      </w:r>
      <w:r>
        <w:rPr>
          <w:rFonts w:hint="eastAsia" w:ascii="宋体" w:hAnsi="宋体" w:cs="宋体"/>
          <w:color w:val="0000FF"/>
          <w:sz w:val="24"/>
          <w:szCs w:val="24"/>
          <w:u w:val="single"/>
          <w:lang w:val="en-US" w:eastAsia="zh-CN"/>
        </w:rPr>
        <w:t>系统</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便携式彩色多普勒超声诊断</w:t>
            </w:r>
            <w:r>
              <w:rPr>
                <w:rFonts w:hint="eastAsia" w:ascii="宋体" w:hAnsi="宋体" w:cs="宋体"/>
                <w:color w:val="0000FF"/>
                <w:kern w:val="0"/>
                <w:sz w:val="24"/>
                <w:szCs w:val="24"/>
                <w:lang w:val="en-US" w:eastAsia="zh-CN"/>
              </w:rPr>
              <w:t>系统</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1套</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运输、装卸、培训、安装调</w:t>
      </w:r>
      <w:r>
        <w:rPr>
          <w:rFonts w:hint="eastAsia" w:ascii="宋体" w:hAnsi="宋体" w:eastAsia="宋体" w:cs="宋体"/>
          <w:color w:val="auto"/>
          <w:sz w:val="24"/>
          <w:szCs w:val="24"/>
          <w:lang w:val="en-US" w:eastAsia="zh-CN"/>
        </w:rPr>
        <w:t>试由乙方负责承担，最</w:t>
      </w:r>
      <w:r>
        <w:rPr>
          <w:rFonts w:hint="eastAsia" w:ascii="宋体" w:hAnsi="宋体" w:eastAsia="宋体" w:cs="宋体"/>
          <w:color w:val="auto"/>
          <w:sz w:val="24"/>
          <w:szCs w:val="24"/>
          <w:highlight w:val="none"/>
        </w:rPr>
        <w:t>终通过使用科室、设备科及相关部门确认验收交付使用。</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val="en-US" w:eastAsia="zh-CN"/>
        </w:rPr>
        <w:t>3.1  质量标准：乙方提供设备的质量、安装应符合或优于</w:t>
      </w:r>
      <w:r>
        <w:rPr>
          <w:rFonts w:hint="eastAsia" w:ascii="宋体" w:hAnsi="宋体" w:eastAsia="宋体" w:cs="宋体"/>
          <w:color w:val="auto"/>
          <w:sz w:val="24"/>
          <w:szCs w:val="24"/>
          <w:highlight w:val="none"/>
          <w:lang w:val="en-US" w:eastAsia="zh-CN"/>
        </w:rPr>
        <w:t>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0000FF"/>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w:t>
      </w:r>
      <w:r>
        <w:rPr>
          <w:rFonts w:hint="eastAsia" w:ascii="宋体" w:hAnsi="宋体" w:eastAsia="宋体" w:cs="宋体"/>
          <w:sz w:val="24"/>
          <w:szCs w:val="24"/>
          <w:lang w:val="en-US" w:eastAsia="zh-CN"/>
        </w:rPr>
        <w:t>养、咨询等服务并出具原厂售后质保承诺书。如设备在质保期内出现质量问题，乙方应在接到甲方通知（包括电话通知）后24小时响应，响应后4小时上门服务，相关费用由乙方承担。如乙方不及时履行保修义务，甲方有权委</w:t>
      </w:r>
      <w:r>
        <w:rPr>
          <w:rFonts w:hint="eastAsia" w:ascii="宋体" w:hAnsi="宋体" w:eastAsia="宋体" w:cs="宋体"/>
          <w:color w:val="auto"/>
          <w:sz w:val="24"/>
          <w:szCs w:val="24"/>
          <w:lang w:val="en-US" w:eastAsia="zh-CN"/>
        </w:rPr>
        <w:t>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w:t>
      </w:r>
      <w:r>
        <w:rPr>
          <w:rFonts w:hint="eastAsia" w:ascii="宋体" w:hAnsi="宋体" w:eastAsia="宋体" w:cs="宋体"/>
          <w:color w:val="auto"/>
          <w:sz w:val="24"/>
          <w:szCs w:val="24"/>
          <w:highlight w:val="none"/>
          <w:lang w:val="en-US" w:eastAsia="zh-CN"/>
        </w:rPr>
        <w:t>行</w:t>
      </w:r>
      <w:r>
        <w:rPr>
          <w:rFonts w:hint="eastAsia" w:ascii="宋体" w:hAnsi="宋体" w:cs="宋体"/>
          <w:color w:val="0000FF"/>
          <w:sz w:val="24"/>
          <w:szCs w:val="24"/>
          <w:highlight w:val="none"/>
          <w:lang w:val="en-US" w:eastAsia="zh-CN"/>
        </w:rPr>
        <w:t>一</w:t>
      </w:r>
      <w:r>
        <w:rPr>
          <w:rFonts w:hint="eastAsia" w:ascii="宋体" w:hAnsi="宋体" w:eastAsia="宋体" w:cs="宋体"/>
          <w:color w:val="auto"/>
          <w:sz w:val="24"/>
          <w:szCs w:val="24"/>
          <w:highlight w:val="none"/>
          <w:lang w:val="en-US" w:eastAsia="zh-CN"/>
        </w:rPr>
        <w:t>次</w:t>
      </w:r>
      <w:r>
        <w:rPr>
          <w:rFonts w:hint="eastAsia" w:ascii="宋体" w:hAnsi="宋体" w:eastAsia="宋体" w:cs="宋体"/>
          <w:color w:val="auto"/>
          <w:sz w:val="24"/>
          <w:szCs w:val="24"/>
          <w:lang w:val="en-US" w:eastAsia="zh-CN"/>
        </w:rPr>
        <w:t>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bookmarkStart w:id="5" w:name="_GoBack"/>
      <w:bookmarkEnd w:id="5"/>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lang w:val="en-US"/>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7"/>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6"/>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8"/>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7"/>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8"/>
        <w:rPr>
          <w:color w:val="auto"/>
        </w:rPr>
      </w:pPr>
    </w:p>
    <w:p>
      <w:pPr>
        <w:pStyle w:val="19"/>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9"/>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rPr>
          <w:rFonts w:hint="eastAsia"/>
          <w:lang w:eastAsia="zh-CN"/>
        </w:rPr>
      </w:pPr>
    </w:p>
    <w:p>
      <w:pPr>
        <w:numPr>
          <w:ilvl w:val="0"/>
          <w:numId w:val="7"/>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C9240B42"/>
    <w:multiLevelType w:val="multilevel"/>
    <w:tmpl w:val="C9240B42"/>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F22833F1"/>
    <w:multiLevelType w:val="singleLevel"/>
    <w:tmpl w:val="F22833F1"/>
    <w:lvl w:ilvl="0" w:tentative="0">
      <w:start w:val="1"/>
      <w:numFmt w:val="decimal"/>
      <w:suff w:val="nothing"/>
      <w:lvlText w:val="%1、"/>
      <w:lvlJc w:val="left"/>
    </w:lvl>
  </w:abstractNum>
  <w:abstractNum w:abstractNumId="5">
    <w:nsid w:val="1E6DDE31"/>
    <w:multiLevelType w:val="singleLevel"/>
    <w:tmpl w:val="1E6DDE31"/>
    <w:lvl w:ilvl="0" w:tentative="0">
      <w:start w:val="1"/>
      <w:numFmt w:val="chineseCounting"/>
      <w:suff w:val="space"/>
      <w:lvlText w:val="第%1条"/>
      <w:lvlJc w:val="left"/>
      <w:rPr>
        <w:rFonts w:hint="eastAsia"/>
      </w:rPr>
    </w:lvl>
  </w:abstractNum>
  <w:abstractNum w:abstractNumId="6">
    <w:nsid w:val="1F011B4C"/>
    <w:multiLevelType w:val="multilevel"/>
    <w:tmpl w:val="1F011B4C"/>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1"/>
  </w:num>
  <w:num w:numId="2">
    <w:abstractNumId w:val="4"/>
  </w:num>
  <w:num w:numId="3">
    <w:abstractNumId w:val="6"/>
  </w:num>
  <w:num w:numId="4">
    <w:abstractNumId w:val="2"/>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hNWM2ZGQ3MWRjMzJkNGQ4ZWY1M2EwNzNkYzdhMTgifQ=="/>
  </w:docVars>
  <w:rsids>
    <w:rsidRoot w:val="6DE375E4"/>
    <w:rsid w:val="00AE556A"/>
    <w:rsid w:val="03455E22"/>
    <w:rsid w:val="04B5220A"/>
    <w:rsid w:val="06E91EC4"/>
    <w:rsid w:val="071C689B"/>
    <w:rsid w:val="0B353646"/>
    <w:rsid w:val="0E331420"/>
    <w:rsid w:val="0E76169C"/>
    <w:rsid w:val="0EDD1643"/>
    <w:rsid w:val="12994AC5"/>
    <w:rsid w:val="14064841"/>
    <w:rsid w:val="1AF56B46"/>
    <w:rsid w:val="1D3D2638"/>
    <w:rsid w:val="1FE73549"/>
    <w:rsid w:val="20B41DA7"/>
    <w:rsid w:val="22AB7B8A"/>
    <w:rsid w:val="23C10881"/>
    <w:rsid w:val="245079B1"/>
    <w:rsid w:val="28E81B29"/>
    <w:rsid w:val="2C7642D0"/>
    <w:rsid w:val="2EAC037F"/>
    <w:rsid w:val="2EB67A5C"/>
    <w:rsid w:val="302741D2"/>
    <w:rsid w:val="308B184D"/>
    <w:rsid w:val="340F06E9"/>
    <w:rsid w:val="3A2B484E"/>
    <w:rsid w:val="3B3B544D"/>
    <w:rsid w:val="3B654F2B"/>
    <w:rsid w:val="3BAC459E"/>
    <w:rsid w:val="3DF12CFC"/>
    <w:rsid w:val="429A4992"/>
    <w:rsid w:val="43B25DAC"/>
    <w:rsid w:val="477F3A52"/>
    <w:rsid w:val="4B6B1F47"/>
    <w:rsid w:val="4DCD6AB3"/>
    <w:rsid w:val="50540C20"/>
    <w:rsid w:val="51AC28BD"/>
    <w:rsid w:val="555B5FCF"/>
    <w:rsid w:val="5FE355D4"/>
    <w:rsid w:val="611B6B1B"/>
    <w:rsid w:val="64133D6A"/>
    <w:rsid w:val="66284C0F"/>
    <w:rsid w:val="678E4F5D"/>
    <w:rsid w:val="6DE375E4"/>
    <w:rsid w:val="706D2BBD"/>
    <w:rsid w:val="71584067"/>
    <w:rsid w:val="750117A8"/>
    <w:rsid w:val="760D6598"/>
    <w:rsid w:val="76447599"/>
    <w:rsid w:val="7BB37D8B"/>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table" w:styleId="11">
    <w:name w:val="Table Grid"/>
    <w:basedOn w:val="10"/>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rPr>
      <w:rFonts w:eastAsia="Arial"/>
    </w:rPr>
  </w:style>
  <w:style w:type="paragraph" w:customStyle="1" w:styleId="14">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5">
    <w:name w:val="Default"/>
    <w:next w:val="1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6">
    <w:name w:val="大标题"/>
    <w:basedOn w:val="1"/>
    <w:next w:val="6"/>
    <w:qFormat/>
    <w:uiPriority w:val="0"/>
    <w:pPr>
      <w:jc w:val="center"/>
    </w:pPr>
    <w:rPr>
      <w:rFonts w:ascii="Arial" w:hAnsi="Arial" w:eastAsia="宋体"/>
      <w:b/>
      <w:sz w:val="28"/>
      <w:szCs w:val="24"/>
    </w:r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8565</Words>
  <Characters>8958</Characters>
  <Lines>0</Lines>
  <Paragraphs>0</Paragraphs>
  <TotalTime>6</TotalTime>
  <ScaleCrop>false</ScaleCrop>
  <LinksUpToDate>false</LinksUpToDate>
  <CharactersWithSpaces>9920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lx</cp:lastModifiedBy>
  <dcterms:modified xsi:type="dcterms:W3CDTF">2023-08-10T13:45:25Z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3505A2AB25E048A4A9B0E6A6741CA1BA_11</vt:lpwstr>
  </property>
</Properties>
</file>