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snapToGrid w:val="0"/>
        <w:jc w:val="center"/>
        <w:rPr>
          <w:rFonts w:ascii="Arial" w:hAnsi="Arial" w:eastAsia="方正小标宋简体" w:cs="Arial"/>
          <w:color w:val="auto"/>
          <w:sz w:val="72"/>
          <w:szCs w:val="72"/>
        </w:rPr>
      </w:pPr>
      <w:bookmarkStart w:id="0" w:name="_Toc16523570"/>
    </w:p>
    <w:p>
      <w:pPr>
        <w:pStyle w:val="14"/>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14"/>
        <w:snapToGrid w:val="0"/>
        <w:jc w:val="center"/>
        <w:rPr>
          <w:rFonts w:ascii="Arial" w:hAnsi="Arial" w:eastAsia="方正小标宋简体" w:cs="Arial"/>
          <w:sz w:val="72"/>
          <w:szCs w:val="72"/>
        </w:rPr>
      </w:pPr>
    </w:p>
    <w:p>
      <w:pPr>
        <w:pStyle w:val="14"/>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14"/>
        <w:snapToGrid w:val="0"/>
        <w:jc w:val="center"/>
        <w:rPr>
          <w:rFonts w:ascii="Arial" w:hAnsi="Arial" w:eastAsia="方正小标宋简体" w:cs="Arial"/>
          <w:sz w:val="72"/>
          <w:szCs w:val="72"/>
        </w:rPr>
      </w:pPr>
    </w:p>
    <w:p>
      <w:pPr>
        <w:pStyle w:val="14"/>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14"/>
        <w:snapToGrid w:val="0"/>
        <w:jc w:val="center"/>
        <w:rPr>
          <w:rFonts w:ascii="Arial" w:hAnsi="Arial" w:eastAsia="方正小标宋简体" w:cs="Arial"/>
          <w:sz w:val="72"/>
          <w:szCs w:val="72"/>
        </w:rPr>
      </w:pPr>
    </w:p>
    <w:p>
      <w:pPr>
        <w:pStyle w:val="14"/>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14"/>
        <w:snapToGrid w:val="0"/>
        <w:jc w:val="center"/>
        <w:rPr>
          <w:rFonts w:ascii="Arial" w:hAnsi="Arial" w:eastAsia="方正小标宋简体" w:cs="Arial"/>
          <w:sz w:val="72"/>
          <w:szCs w:val="72"/>
        </w:rPr>
      </w:pPr>
    </w:p>
    <w:p>
      <w:pPr>
        <w:pStyle w:val="14"/>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14"/>
        <w:snapToGrid w:val="0"/>
        <w:jc w:val="center"/>
        <w:rPr>
          <w:rFonts w:ascii="Arial" w:hAnsi="Arial" w:cs="Arial"/>
          <w:sz w:val="32"/>
          <w:szCs w:val="32"/>
        </w:rPr>
      </w:pPr>
    </w:p>
    <w:p>
      <w:pPr>
        <w:pStyle w:val="14"/>
        <w:snapToGrid w:val="0"/>
        <w:jc w:val="center"/>
        <w:rPr>
          <w:rFonts w:ascii="Arial" w:hAnsi="Arial" w:cs="Arial"/>
          <w:sz w:val="32"/>
          <w:szCs w:val="32"/>
        </w:rPr>
      </w:pPr>
    </w:p>
    <w:p>
      <w:pPr>
        <w:pStyle w:val="14"/>
        <w:snapToGrid w:val="0"/>
        <w:jc w:val="center"/>
        <w:rPr>
          <w:rFonts w:ascii="Arial" w:hAnsi="Arial" w:cs="Arial"/>
          <w:sz w:val="32"/>
          <w:szCs w:val="32"/>
        </w:rPr>
      </w:pPr>
    </w:p>
    <w:p>
      <w:pPr>
        <w:spacing w:line="360" w:lineRule="auto"/>
        <w:rPr>
          <w:rFonts w:hint="eastAsia"/>
          <w:bCs/>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娄底市中心医院设备科医疗器械招标文件</w:t>
      </w:r>
    </w:p>
    <w:p>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（振荡排痰仪</w:t>
      </w:r>
      <w:r>
        <w:rPr>
          <w:rFonts w:hint="eastAsia" w:ascii="Times New Roman" w:hAnsi="Times New Roman" w:eastAsia="宋体" w:cs="Times New Roman"/>
          <w:b/>
          <w:bCs/>
          <w:kern w:val="44"/>
          <w:sz w:val="32"/>
          <w:szCs w:val="32"/>
          <w:lang w:val="en-US" w:eastAsia="zh-CN" w:bidi="ar-SA"/>
        </w:rPr>
        <w:t>院内</w:t>
      </w:r>
      <w:r>
        <w:rPr>
          <w:rFonts w:hint="eastAsia" w:cs="Times New Roman"/>
          <w:b/>
          <w:bCs/>
          <w:kern w:val="44"/>
          <w:sz w:val="32"/>
          <w:szCs w:val="32"/>
          <w:lang w:val="en-US" w:eastAsia="zh-CN" w:bidi="ar-SA"/>
        </w:rPr>
        <w:t>议价</w:t>
      </w:r>
      <w:r>
        <w:rPr>
          <w:rFonts w:hint="eastAsia" w:ascii="Times New Roman" w:hAnsi="Times New Roman" w:eastAsia="宋体" w:cs="Times New Roman"/>
          <w:b/>
          <w:bCs/>
          <w:kern w:val="44"/>
          <w:sz w:val="32"/>
          <w:szCs w:val="32"/>
          <w:lang w:val="en-US" w:eastAsia="zh-CN" w:bidi="ar-SA"/>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三</w:t>
      </w:r>
      <w:r>
        <w:rPr>
          <w:rFonts w:hint="eastAsia" w:ascii="宋体" w:hAnsi="宋体" w:cs="宋体"/>
          <w:bCs/>
          <w:sz w:val="32"/>
          <w:szCs w:val="32"/>
        </w:rPr>
        <w:t>年</w:t>
      </w:r>
      <w:r>
        <w:rPr>
          <w:rFonts w:hint="eastAsia" w:ascii="宋体" w:hAnsi="宋体" w:cs="宋体"/>
          <w:bCs/>
          <w:sz w:val="32"/>
          <w:szCs w:val="32"/>
          <w:lang w:val="en-US" w:eastAsia="zh-CN"/>
        </w:rPr>
        <w:t>八</w:t>
      </w:r>
      <w:r>
        <w:rPr>
          <w:rFonts w:hint="eastAsia" w:ascii="宋体" w:hAnsi="宋体" w:cs="宋体"/>
          <w:bCs/>
          <w:sz w:val="32"/>
          <w:szCs w:val="32"/>
        </w:rPr>
        <w:t>月</w:t>
      </w:r>
    </w:p>
    <w:p>
      <w:pPr>
        <w:rPr>
          <w:rFonts w:hint="eastAsia" w:ascii="宋体" w:hAnsi="宋体" w:cs="宋体"/>
          <w:color w:val="auto"/>
          <w:sz w:val="44"/>
          <w:szCs w:val="44"/>
          <w:lang w:val="en-US" w:eastAsia="zh-CN"/>
        </w:rPr>
      </w:pPr>
    </w:p>
    <w:p>
      <w:pPr>
        <w:pStyle w:val="2"/>
        <w:numPr>
          <w:ilvl w:val="0"/>
          <w:numId w:val="0"/>
        </w:numPr>
        <w:spacing w:line="240" w:lineRule="auto"/>
        <w:ind w:leftChars="0"/>
        <w:jc w:val="center"/>
        <w:rPr>
          <w:rFonts w:hint="eastAsia" w:ascii="宋体" w:hAnsi="宋体" w:cs="宋体"/>
          <w:color w:val="auto"/>
          <w:sz w:val="44"/>
          <w:szCs w:val="44"/>
          <w:lang w:val="en-US" w:eastAsia="zh-CN"/>
        </w:rPr>
        <w:sectPr>
          <w:headerReference r:id="rId3" w:type="default"/>
          <w:footerReference r:id="rId4" w:type="default"/>
          <w:pgSz w:w="11906" w:h="16838"/>
          <w:pgMar w:top="1440" w:right="1080" w:bottom="1440" w:left="1080" w:header="567" w:footer="283" w:gutter="0"/>
          <w:cols w:space="720" w:num="1"/>
          <w:docGrid w:linePitch="312" w:charSpace="0"/>
        </w:sectPr>
      </w:pPr>
    </w:p>
    <w:p>
      <w:pPr>
        <w:rPr>
          <w:rFonts w:hint="eastAsia"/>
          <w:lang w:val="en-US" w:eastAsia="zh-CN"/>
        </w:rPr>
      </w:pPr>
    </w:p>
    <w:p>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14"/>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u w:val="single"/>
          <w:lang w:val="en-US" w:eastAsia="zh-CN"/>
        </w:rPr>
        <w:t>振荡排痰仪</w:t>
      </w:r>
      <w:r>
        <w:rPr>
          <w:rFonts w:hint="eastAsia" w:asciiTheme="minorEastAsia" w:hAnsiTheme="minorEastAsia" w:eastAsiaTheme="minorEastAsia" w:cstheme="minorEastAsia"/>
          <w:bCs/>
          <w:color w:val="auto"/>
          <w:sz w:val="24"/>
          <w:szCs w:val="24"/>
          <w:lang w:val="en-US" w:eastAsia="zh-CN"/>
        </w:rPr>
        <w:t>项目进行院内挂网招标，将招标事项公告如下：</w:t>
      </w:r>
    </w:p>
    <w:p>
      <w:pPr>
        <w:pStyle w:val="14"/>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一、项目信息</w:t>
      </w:r>
    </w:p>
    <w:p>
      <w:pPr>
        <w:pStyle w:val="14"/>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项目名称：</w:t>
      </w:r>
      <w:r>
        <w:rPr>
          <w:rFonts w:hint="eastAsia" w:asciiTheme="minorEastAsia" w:hAnsiTheme="minorEastAsia" w:eastAsiaTheme="minorEastAsia" w:cstheme="minorEastAsia"/>
          <w:bCs/>
          <w:color w:val="auto"/>
          <w:sz w:val="24"/>
          <w:szCs w:val="24"/>
          <w:u w:val="single"/>
          <w:lang w:val="en-US" w:eastAsia="zh-CN"/>
        </w:rPr>
        <w:t>振荡排痰仪</w:t>
      </w:r>
      <w:r>
        <w:rPr>
          <w:rFonts w:hint="eastAsia" w:asciiTheme="minorEastAsia" w:hAnsiTheme="minorEastAsia" w:eastAsiaTheme="minorEastAsia" w:cstheme="minorEastAsia"/>
          <w:b w:val="0"/>
          <w:bCs/>
          <w:color w:val="auto"/>
          <w:sz w:val="24"/>
          <w:szCs w:val="24"/>
          <w:lang w:val="en-US" w:eastAsia="zh-CN"/>
        </w:rPr>
        <w:t>采购项目</w:t>
      </w:r>
    </w:p>
    <w:p>
      <w:pPr>
        <w:pStyle w:val="14"/>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采购方式</w:t>
      </w:r>
    </w:p>
    <w:p>
      <w:pPr>
        <w:pStyle w:val="14"/>
        <w:keepNext w:val="0"/>
        <w:keepLines w:val="0"/>
        <w:pageBreakBefore w:val="0"/>
        <w:widowControl w:val="0"/>
        <w:numPr>
          <w:ilvl w:val="0"/>
          <w:numId w:val="2"/>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院内议价，按招标文件评分规则进行评审，以评审结果排序，综合评分得分相同的，按投标报价由低到高顺序排列，得分且投标报价相同的，按技术指标优劣顺序排列。</w:t>
      </w:r>
    </w:p>
    <w:bookmarkEnd w:id="0"/>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三、投标人资格要求</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1、具有独立法人地位，营业执照具有相应的经营范围；</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2、参加政府采购活动近3年内，在经营活动中没有重大违法记录；</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3、投标人未列入经营异常名录和未列入严重违法失信企业名单（黑名单），投标人企业法人代表未被列入失信被执行人名单；</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4、本项目不接受联合体投标，不得分包、转包；</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5、单位负责人为同一人或者存在直接控股、管理关系的不同投标人，不得参加本次采购活动。</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6、投标人具备湖南省政府采购电子卖场资格，中标人在议价公示后三个工作日内需配合医院完成湖南省政府采购电子卖场直购程序。</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四、投标截止时间、开标时间及地点：</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1、投标截止时间、开标时间：具体时间电话通知</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2、开标地点;娄底市中心医院</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五、招标人地址和联系方法：</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1、招标人名称：娄底市中心医院</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2、联系人及联系方式：张思远 15115875288</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3、招标人地址：娄底市长青中街51号</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六、投标须知</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1、否决投标的情形：</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1.1、投标人以他人名义投标、串通投标、以行贿手段谋取中标的；</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1.2、资格评审时，投标人资格条件不符合国家有关规定或者招标文件要求的，或者拒不按照要求对投标文件进行澄清、说明或补正，或者其说明补正无法证明其为合格投标人的；</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1.3、评标委员会认定投标人以低于成本报价竞标的；</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1.4、投标人未按照要求出席开标会的；</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1.5、投标报价有错误的，评标委员会将要求投标人作出书面澄清说明和确认，投标人拒不作出澄清说明和确认的；</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2、有下列情形之一的，招标人将重新招标：</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2.1、投标截止时间止，投标人少于3家的；</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2.2、经评标委员会评审后，符合资格审查的投标人少于3家的。</w:t>
      </w:r>
    </w:p>
    <w:p>
      <w:pPr>
        <w:pStyle w:val="15"/>
        <w:rPr>
          <w:rFonts w:hint="eastAsia"/>
          <w:lang w:val="en-US" w:eastAsia="zh-CN"/>
        </w:rPr>
      </w:pPr>
    </w:p>
    <w:p>
      <w:pPr>
        <w:pStyle w:val="15"/>
        <w:jc w:val="both"/>
        <w:rPr>
          <w:rFonts w:hint="default"/>
          <w:lang w:val="en-US" w:eastAsia="zh-CN"/>
        </w:rPr>
      </w:pPr>
    </w:p>
    <w:p>
      <w:pPr>
        <w:pStyle w:val="14"/>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pPr>
        <w:pStyle w:val="14"/>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pPr>
        <w:pStyle w:val="15"/>
        <w:rPr>
          <w:rFonts w:hint="eastAsia" w:ascii="宋体" w:hAnsi="宋体" w:cs="宋体"/>
          <w:b/>
          <w:bCs/>
          <w:color w:val="auto"/>
          <w:sz w:val="44"/>
          <w:szCs w:val="44"/>
          <w:lang w:val="en-US" w:eastAsia="zh-CN"/>
        </w:rPr>
      </w:pPr>
    </w:p>
    <w:p>
      <w:pPr>
        <w:pStyle w:val="6"/>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pStyle w:val="13"/>
        <w:rPr>
          <w:rFonts w:hint="eastAsia"/>
          <w:lang w:val="en-US" w:eastAsia="zh-CN"/>
        </w:rPr>
      </w:pPr>
    </w:p>
    <w:p>
      <w:pPr>
        <w:pStyle w:val="2"/>
        <w:rPr>
          <w:rFonts w:hint="eastAsia" w:ascii="宋体" w:hAnsi="宋体" w:cs="宋体"/>
          <w:b/>
          <w:bCs/>
          <w:color w:val="auto"/>
          <w:sz w:val="44"/>
          <w:szCs w:val="44"/>
          <w:lang w:val="en-US" w:eastAsia="zh-CN"/>
        </w:rPr>
      </w:pPr>
    </w:p>
    <w:p>
      <w:pPr>
        <w:rPr>
          <w:rFonts w:hint="eastAsia"/>
          <w:lang w:val="en-US" w:eastAsia="zh-CN"/>
        </w:rPr>
      </w:pPr>
    </w:p>
    <w:p>
      <w:pPr>
        <w:pStyle w:val="14"/>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1.采购项目</w:t>
      </w:r>
    </w:p>
    <w:tbl>
      <w:tblPr>
        <w:tblStyle w:val="10"/>
        <w:tblW w:w="9309"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958"/>
        <w:gridCol w:w="1721"/>
        <w:gridCol w:w="1710"/>
        <w:gridCol w:w="2134"/>
        <w:gridCol w:w="2786"/>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705"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序号</w:t>
            </w:r>
          </w:p>
        </w:tc>
        <w:tc>
          <w:tcPr>
            <w:tcW w:w="1721"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设备名称</w:t>
            </w:r>
          </w:p>
        </w:tc>
        <w:tc>
          <w:tcPr>
            <w:tcW w:w="171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数量</w:t>
            </w:r>
            <w:r>
              <w:rPr>
                <w:rFonts w:hint="eastAsia" w:asciiTheme="minorEastAsia" w:hAnsiTheme="minorEastAsia" w:eastAsiaTheme="minorEastAsia" w:cstheme="minorEastAsia"/>
                <w:sz w:val="24"/>
                <w:szCs w:val="24"/>
              </w:rPr>
              <w:t>(台/套)</w:t>
            </w:r>
          </w:p>
        </w:tc>
        <w:tc>
          <w:tcPr>
            <w:tcW w:w="2134"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预算</w:t>
            </w:r>
            <w:r>
              <w:rPr>
                <w:rFonts w:hint="eastAsia" w:asciiTheme="minorEastAsia" w:hAnsiTheme="minorEastAsia" w:eastAsiaTheme="minorEastAsia" w:cstheme="minorEastAsia"/>
                <w:kern w:val="2"/>
                <w:sz w:val="24"/>
                <w:szCs w:val="24"/>
                <w:lang w:eastAsia="zh-CN"/>
              </w:rPr>
              <w:t>总</w:t>
            </w:r>
            <w:r>
              <w:rPr>
                <w:rFonts w:hint="eastAsia" w:asciiTheme="minorEastAsia" w:hAnsiTheme="minorEastAsia" w:eastAsiaTheme="minorEastAsia" w:cstheme="minorEastAsia"/>
                <w:kern w:val="2"/>
                <w:sz w:val="24"/>
                <w:szCs w:val="24"/>
              </w:rPr>
              <w:t>价（万元）</w:t>
            </w:r>
          </w:p>
        </w:tc>
        <w:tc>
          <w:tcPr>
            <w:tcW w:w="27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是否允许进口设备投标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63" w:hRule="atLeast"/>
          <w:jc w:val="center"/>
        </w:trPr>
        <w:tc>
          <w:tcPr>
            <w:tcW w:w="958"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w:t>
            </w:r>
          </w:p>
        </w:tc>
        <w:tc>
          <w:tcPr>
            <w:tcW w:w="1721"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Cs/>
                <w:color w:val="auto"/>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rPr>
              <w:t>振荡排痰仪</w:t>
            </w:r>
          </w:p>
        </w:tc>
        <w:tc>
          <w:tcPr>
            <w:tcW w:w="1710"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w:t>
            </w:r>
          </w:p>
        </w:tc>
        <w:tc>
          <w:tcPr>
            <w:tcW w:w="2134"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2.1</w:t>
            </w:r>
          </w:p>
        </w:tc>
        <w:tc>
          <w:tcPr>
            <w:tcW w:w="2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lang w:val="en-US" w:eastAsia="zh-CN"/>
              </w:rPr>
              <w:t>否</w:t>
            </w:r>
          </w:p>
        </w:tc>
      </w:tr>
    </w:tbl>
    <w:p>
      <w:pPr>
        <w:spacing w:line="360" w:lineRule="auto"/>
        <w:rPr>
          <w:rFonts w:hint="eastAsia" w:asciiTheme="minorEastAsia" w:hAnsiTheme="minorEastAsia" w:eastAsiaTheme="minorEastAsia" w:cstheme="minorEastAsia"/>
          <w:bCs/>
          <w:color w:val="auto"/>
          <w:kern w:val="0"/>
          <w:sz w:val="24"/>
          <w:szCs w:val="24"/>
          <w:lang w:val="en-US" w:eastAsia="zh-CN" w:bidi="ar-SA"/>
        </w:rPr>
      </w:pP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2、服务时间：双方签订合同时具体约定。</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3、服务地点：娄底市中心医院。</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textAlignment w:val="auto"/>
        <w:rPr>
          <w:rFonts w:hint="eastAsia" w:ascii="宋体" w:hAnsi="宋体" w:eastAsia="宋体" w:cs="宋体"/>
          <w:bCs/>
          <w:color w:val="auto"/>
          <w:kern w:val="0"/>
          <w:sz w:val="28"/>
          <w:szCs w:val="28"/>
          <w:lang w:val="en-US" w:eastAsia="zh-CN"/>
        </w:rPr>
      </w:pPr>
      <w:r>
        <w:rPr>
          <w:rFonts w:hint="eastAsia" w:ascii="宋体" w:hAnsi="宋体" w:eastAsia="宋体" w:cs="宋体"/>
          <w:bCs/>
          <w:color w:val="auto"/>
          <w:kern w:val="0"/>
          <w:sz w:val="28"/>
          <w:szCs w:val="28"/>
          <w:lang w:val="en-US" w:eastAsia="zh-CN"/>
        </w:rPr>
        <w:t>技术参数：</w:t>
      </w:r>
    </w:p>
    <w:p>
      <w:pPr>
        <w:keepNext w:val="0"/>
        <w:keepLines w:val="0"/>
        <w:pageBreakBefore w:val="0"/>
        <w:kinsoku/>
        <w:wordWrap/>
        <w:overflowPunct/>
        <w:topLinePunct w:val="0"/>
        <w:autoSpaceDE/>
        <w:autoSpaceDN/>
        <w:bidi w:val="0"/>
        <w:adjustRightInd/>
        <w:snapToGrid/>
        <w:spacing w:line="240" w:lineRule="auto"/>
        <w:ind w:left="0" w:leftChars="0" w:firstLine="480" w:firstLineChars="200"/>
        <w:textAlignment w:val="auto"/>
        <w:rPr>
          <w:rFonts w:ascii="宋体" w:hAnsi="宋体" w:cs="宋体"/>
          <w:bCs/>
          <w:color w:val="2D3027"/>
          <w:kern w:val="0"/>
          <w:sz w:val="24"/>
          <w:szCs w:val="24"/>
        </w:rPr>
      </w:pPr>
      <w:r>
        <w:rPr>
          <w:rFonts w:hint="eastAsia" w:ascii="宋体" w:hAnsi="宋体" w:eastAsia="黑体" w:cs="宋体"/>
          <w:bCs/>
          <w:color w:val="2D3027"/>
          <w:kern w:val="0"/>
          <w:sz w:val="24"/>
          <w:szCs w:val="24"/>
          <w:lang w:val="en-US" w:eastAsia="zh-CN"/>
        </w:rPr>
        <w:t>1.</w:t>
      </w:r>
      <w:r>
        <w:rPr>
          <w:rFonts w:hint="eastAsia" w:ascii="宋体" w:hAnsi="宋体" w:cs="宋体"/>
          <w:bCs/>
          <w:sz w:val="24"/>
          <w:szCs w:val="24"/>
        </w:rPr>
        <w:t>高清屏幕</w:t>
      </w:r>
      <w:r>
        <w:rPr>
          <w:rFonts w:hint="eastAsia" w:ascii="宋体" w:hAnsi="宋体" w:cs="宋体"/>
          <w:bCs/>
          <w:sz w:val="24"/>
          <w:szCs w:val="24"/>
          <w:lang w:eastAsia="zh-CN"/>
        </w:rPr>
        <w:t>：</w:t>
      </w:r>
      <w:r>
        <w:rPr>
          <w:rFonts w:hint="eastAsia" w:ascii="宋体" w:hAnsi="宋体" w:cs="宋体"/>
          <w:bCs/>
          <w:sz w:val="24"/>
          <w:szCs w:val="24"/>
        </w:rPr>
        <w:t>规格</w:t>
      </w:r>
      <w:r>
        <w:rPr>
          <w:rFonts w:hint="eastAsia" w:ascii="宋体" w:hAnsi="宋体" w:cs="宋体"/>
          <w:bCs/>
          <w:sz w:val="24"/>
          <w:szCs w:val="24"/>
          <w:lang w:eastAsia="zh-CN"/>
        </w:rPr>
        <w:t>大于等于</w:t>
      </w:r>
      <w:r>
        <w:rPr>
          <w:rFonts w:hint="eastAsia" w:ascii="宋体" w:hAnsi="宋体" w:cs="宋体"/>
          <w:bCs/>
          <w:sz w:val="24"/>
          <w:szCs w:val="24"/>
        </w:rPr>
        <w:t>4.3寸，全中文导航式操作引导，触摸按键，简单方便确保治疗效果；</w:t>
      </w:r>
    </w:p>
    <w:p>
      <w:pPr>
        <w:keepNext w:val="0"/>
        <w:keepLines w:val="0"/>
        <w:pageBreakBefore w:val="0"/>
        <w:kinsoku/>
        <w:wordWrap/>
        <w:overflowPunct/>
        <w:topLinePunct w:val="0"/>
        <w:autoSpaceDE/>
        <w:autoSpaceDN/>
        <w:bidi w:val="0"/>
        <w:adjustRightInd/>
        <w:snapToGrid/>
        <w:spacing w:line="240" w:lineRule="auto"/>
        <w:ind w:left="0" w:leftChars="0" w:firstLine="480" w:firstLineChars="200"/>
        <w:textAlignment w:val="auto"/>
        <w:rPr>
          <w:rFonts w:ascii="宋体" w:hAnsi="宋体" w:cs="宋体"/>
          <w:bCs/>
          <w:sz w:val="24"/>
          <w:szCs w:val="24"/>
        </w:rPr>
      </w:pPr>
      <w:r>
        <w:rPr>
          <w:rFonts w:hint="eastAsia" w:ascii="宋体" w:hAnsi="宋体" w:cs="宋体"/>
          <w:bCs/>
          <w:color w:val="2D3027"/>
          <w:kern w:val="0"/>
          <w:sz w:val="24"/>
          <w:szCs w:val="24"/>
          <w:lang w:val="en-US" w:eastAsia="zh-CN"/>
        </w:rPr>
        <w:t>2.</w:t>
      </w:r>
      <w:r>
        <w:rPr>
          <w:rFonts w:hint="eastAsia" w:ascii="宋体" w:hAnsi="宋体" w:cs="宋体"/>
          <w:bCs/>
          <w:sz w:val="24"/>
          <w:szCs w:val="24"/>
        </w:rPr>
        <w:t>治疗模式：手动模式，自动模式；</w:t>
      </w:r>
    </w:p>
    <w:p>
      <w:pPr>
        <w:keepNext w:val="0"/>
        <w:keepLines w:val="0"/>
        <w:pageBreakBefore w:val="0"/>
        <w:kinsoku/>
        <w:wordWrap/>
        <w:overflowPunct/>
        <w:topLinePunct w:val="0"/>
        <w:autoSpaceDE/>
        <w:autoSpaceDN/>
        <w:bidi w:val="0"/>
        <w:adjustRightInd/>
        <w:snapToGrid/>
        <w:spacing w:line="240" w:lineRule="auto"/>
        <w:ind w:left="0" w:leftChars="0" w:firstLine="480" w:firstLineChars="200"/>
        <w:textAlignment w:val="auto"/>
        <w:rPr>
          <w:rFonts w:ascii="宋体" w:hAnsi="宋体" w:cs="宋体"/>
          <w:bCs/>
          <w:sz w:val="24"/>
          <w:szCs w:val="24"/>
        </w:rPr>
      </w:pPr>
      <w:r>
        <w:rPr>
          <w:rFonts w:hint="eastAsia" w:ascii="宋体" w:hAnsi="宋体" w:cs="宋体"/>
          <w:bCs/>
          <w:sz w:val="24"/>
          <w:szCs w:val="24"/>
        </w:rPr>
        <w:t>▲</w:t>
      </w:r>
      <w:r>
        <w:rPr>
          <w:rFonts w:hint="eastAsia" w:ascii="宋体" w:hAnsi="宋体" w:cs="宋体"/>
          <w:bCs/>
          <w:color w:val="2D3027"/>
          <w:kern w:val="0"/>
          <w:sz w:val="24"/>
          <w:szCs w:val="24"/>
        </w:rPr>
        <w:t>3</w:t>
      </w:r>
      <w:r>
        <w:rPr>
          <w:rFonts w:hint="eastAsia" w:ascii="宋体" w:hAnsi="宋体" w:cs="宋体"/>
          <w:bCs/>
          <w:color w:val="2D3027"/>
          <w:kern w:val="0"/>
          <w:sz w:val="24"/>
          <w:szCs w:val="24"/>
          <w:lang w:val="en-US" w:eastAsia="zh-CN"/>
        </w:rPr>
        <w:t>.</w:t>
      </w:r>
      <w:r>
        <w:rPr>
          <w:rFonts w:hint="eastAsia" w:ascii="宋体" w:hAnsi="宋体" w:cs="宋体"/>
          <w:bCs/>
          <w:sz w:val="24"/>
          <w:szCs w:val="24"/>
        </w:rPr>
        <w:t>手动模式频率为1-22Hz，误差：±2Hz，连续可调；最大压力35mmHg，误差±1.5mmHg，时间范围：1-60min，步距为1min，连续可调，常规治疗时间为10min；</w:t>
      </w:r>
    </w:p>
    <w:p>
      <w:pPr>
        <w:keepNext w:val="0"/>
        <w:keepLines w:val="0"/>
        <w:pageBreakBefore w:val="0"/>
        <w:kinsoku/>
        <w:wordWrap/>
        <w:overflowPunct/>
        <w:topLinePunct w:val="0"/>
        <w:autoSpaceDE/>
        <w:autoSpaceDN/>
        <w:bidi w:val="0"/>
        <w:adjustRightInd/>
        <w:snapToGrid/>
        <w:spacing w:line="240" w:lineRule="auto"/>
        <w:ind w:left="0" w:leftChars="0" w:firstLine="480" w:firstLineChars="200"/>
        <w:textAlignment w:val="auto"/>
        <w:rPr>
          <w:rFonts w:hint="eastAsia" w:ascii="宋体" w:hAnsi="宋体" w:eastAsia="宋体" w:cs="宋体"/>
          <w:bCs/>
          <w:color w:val="2D3027"/>
          <w:kern w:val="0"/>
          <w:sz w:val="24"/>
          <w:szCs w:val="24"/>
          <w:highlight w:val="none"/>
          <w:lang w:val="en-US" w:eastAsia="zh-CN"/>
        </w:rPr>
      </w:pPr>
      <w:r>
        <w:rPr>
          <w:rFonts w:hint="eastAsia" w:ascii="宋体" w:hAnsi="宋体" w:cs="宋体"/>
          <w:bCs/>
          <w:sz w:val="24"/>
          <w:szCs w:val="24"/>
        </w:rPr>
        <w:t>▲</w:t>
      </w:r>
      <w:r>
        <w:rPr>
          <w:rFonts w:ascii="宋体" w:hAnsi="宋体" w:cs="宋体"/>
          <w:bCs/>
          <w:color w:val="2D3027"/>
          <w:kern w:val="0"/>
          <w:sz w:val="24"/>
          <w:szCs w:val="24"/>
        </w:rPr>
        <w:t>4</w:t>
      </w:r>
      <w:r>
        <w:rPr>
          <w:rFonts w:hint="eastAsia" w:ascii="宋体" w:hAnsi="宋体" w:cs="宋体"/>
          <w:bCs/>
          <w:color w:val="2D3027"/>
          <w:kern w:val="0"/>
          <w:sz w:val="24"/>
          <w:szCs w:val="24"/>
          <w:lang w:val="en-US" w:eastAsia="zh-CN"/>
        </w:rPr>
        <w:t>.</w:t>
      </w:r>
      <w:r>
        <w:rPr>
          <w:rFonts w:hint="eastAsia" w:ascii="宋体" w:hAnsi="宋体" w:cs="宋体"/>
          <w:bCs/>
          <w:sz w:val="24"/>
          <w:szCs w:val="24"/>
        </w:rPr>
        <w:t>频率输出准确性：频率最小值、中间值、最大值输出与设置值的误差不超过</w:t>
      </w:r>
      <w:r>
        <w:rPr>
          <w:rFonts w:hint="eastAsia" w:ascii="宋体" w:hAnsi="宋体" w:cs="宋体"/>
          <w:bCs/>
          <w:sz w:val="24"/>
          <w:szCs w:val="24"/>
          <w:highlight w:val="none"/>
        </w:rPr>
        <w:t>±20%或±2Hz</w:t>
      </w:r>
      <w:r>
        <w:rPr>
          <w:rFonts w:hint="eastAsia" w:ascii="宋体" w:hAnsi="宋体" w:cs="宋体"/>
          <w:bCs/>
          <w:sz w:val="24"/>
          <w:szCs w:val="24"/>
          <w:highlight w:val="none"/>
          <w:lang w:eastAsia="zh-CN"/>
        </w:rPr>
        <w:t>；</w:t>
      </w:r>
    </w:p>
    <w:p>
      <w:pPr>
        <w:keepNext w:val="0"/>
        <w:keepLines w:val="0"/>
        <w:pageBreakBefore w:val="0"/>
        <w:kinsoku/>
        <w:wordWrap/>
        <w:overflowPunct/>
        <w:topLinePunct w:val="0"/>
        <w:autoSpaceDE/>
        <w:autoSpaceDN/>
        <w:bidi w:val="0"/>
        <w:adjustRightInd/>
        <w:snapToGrid/>
        <w:spacing w:line="240" w:lineRule="auto"/>
        <w:ind w:left="0" w:leftChars="0" w:firstLine="480" w:firstLineChars="200"/>
        <w:textAlignment w:val="auto"/>
        <w:rPr>
          <w:rFonts w:ascii="宋体" w:hAnsi="宋体" w:cs="宋体"/>
          <w:bCs/>
          <w:color w:val="2D3027"/>
          <w:kern w:val="0"/>
          <w:sz w:val="24"/>
          <w:szCs w:val="24"/>
        </w:rPr>
      </w:pPr>
      <w:r>
        <w:rPr>
          <w:rFonts w:hint="eastAsia" w:ascii="宋体" w:hAnsi="宋体" w:cs="宋体"/>
          <w:bCs/>
          <w:color w:val="2D3027"/>
          <w:kern w:val="0"/>
          <w:sz w:val="24"/>
          <w:szCs w:val="24"/>
        </w:rPr>
        <w:t>5</w:t>
      </w:r>
      <w:r>
        <w:rPr>
          <w:rFonts w:hint="eastAsia" w:ascii="宋体" w:hAnsi="宋体" w:cs="宋体"/>
          <w:bCs/>
          <w:color w:val="2D3027"/>
          <w:kern w:val="0"/>
          <w:sz w:val="24"/>
          <w:szCs w:val="24"/>
          <w:lang w:val="en-US" w:eastAsia="zh-CN"/>
        </w:rPr>
        <w:t>.</w:t>
      </w:r>
      <w:r>
        <w:rPr>
          <w:rFonts w:hint="eastAsia" w:ascii="宋体" w:hAnsi="宋体" w:cs="宋体"/>
          <w:bCs/>
          <w:sz w:val="24"/>
          <w:szCs w:val="24"/>
        </w:rPr>
        <w:t>自动模式：分为成人模式、儿童模式；</w:t>
      </w:r>
    </w:p>
    <w:p>
      <w:pPr>
        <w:keepNext w:val="0"/>
        <w:keepLines w:val="0"/>
        <w:pageBreakBefore w:val="0"/>
        <w:kinsoku/>
        <w:wordWrap/>
        <w:overflowPunct/>
        <w:topLinePunct w:val="0"/>
        <w:autoSpaceDE/>
        <w:autoSpaceDN/>
        <w:bidi w:val="0"/>
        <w:adjustRightInd/>
        <w:snapToGrid/>
        <w:spacing w:line="240" w:lineRule="auto"/>
        <w:ind w:left="0" w:leftChars="0" w:firstLine="480" w:firstLineChars="200"/>
        <w:textAlignment w:val="auto"/>
        <w:rPr>
          <w:rFonts w:hint="eastAsia" w:ascii="宋体" w:hAnsi="宋体" w:eastAsia="宋体" w:cs="宋体"/>
          <w:bCs/>
          <w:sz w:val="24"/>
          <w:szCs w:val="24"/>
          <w:lang w:eastAsia="zh-CN"/>
        </w:rPr>
      </w:pPr>
      <w:r>
        <w:rPr>
          <w:rFonts w:hint="eastAsia" w:ascii="宋体" w:hAnsi="宋体" w:cs="宋体"/>
          <w:bCs/>
          <w:color w:val="2D3027"/>
          <w:kern w:val="0"/>
          <w:sz w:val="24"/>
          <w:szCs w:val="24"/>
        </w:rPr>
        <w:t>6</w:t>
      </w:r>
      <w:r>
        <w:rPr>
          <w:rFonts w:hint="eastAsia" w:ascii="宋体" w:hAnsi="宋体" w:cs="宋体"/>
          <w:bCs/>
          <w:color w:val="2D3027"/>
          <w:kern w:val="0"/>
          <w:sz w:val="24"/>
          <w:szCs w:val="24"/>
          <w:lang w:val="en-US" w:eastAsia="zh-CN"/>
        </w:rPr>
        <w:t>.</w:t>
      </w:r>
      <w:r>
        <w:rPr>
          <w:rFonts w:hint="eastAsia" w:ascii="宋体" w:hAnsi="宋体" w:cs="宋体"/>
          <w:bCs/>
          <w:sz w:val="24"/>
          <w:szCs w:val="24"/>
        </w:rPr>
        <w:t>导气方式</w:t>
      </w:r>
      <w:r>
        <w:rPr>
          <w:rFonts w:hint="eastAsia" w:ascii="宋体" w:hAnsi="宋体" w:cs="宋体"/>
          <w:bCs/>
          <w:sz w:val="24"/>
          <w:szCs w:val="24"/>
          <w:lang w:val="en-US" w:eastAsia="zh-CN"/>
        </w:rPr>
        <w:t>:</w:t>
      </w:r>
      <w:r>
        <w:rPr>
          <w:rFonts w:hint="eastAsia" w:ascii="宋体" w:hAnsi="宋体" w:cs="宋体"/>
          <w:bCs/>
          <w:sz w:val="24"/>
          <w:szCs w:val="24"/>
        </w:rPr>
        <w:t>采用二级导气软管同步向充气背心充气，放气。每个背心同时连接两根导气软管，使背心充气均匀</w:t>
      </w:r>
      <w:r>
        <w:rPr>
          <w:rFonts w:hint="eastAsia" w:ascii="宋体" w:hAnsi="宋体" w:cs="宋体"/>
          <w:bCs/>
          <w:sz w:val="24"/>
          <w:szCs w:val="24"/>
          <w:lang w:eastAsia="zh-CN"/>
        </w:rPr>
        <w:t>；</w:t>
      </w:r>
    </w:p>
    <w:p>
      <w:pPr>
        <w:keepNext w:val="0"/>
        <w:keepLines w:val="0"/>
        <w:pageBreakBefore w:val="0"/>
        <w:widowControl/>
        <w:kinsoku/>
        <w:wordWrap/>
        <w:overflowPunct/>
        <w:topLinePunct w:val="0"/>
        <w:autoSpaceDE/>
        <w:autoSpaceDN/>
        <w:bidi w:val="0"/>
        <w:adjustRightInd/>
        <w:snapToGrid/>
        <w:spacing w:line="240" w:lineRule="auto"/>
        <w:ind w:left="0" w:leftChars="0" w:firstLine="480" w:firstLineChars="200"/>
        <w:jc w:val="left"/>
        <w:textAlignment w:val="auto"/>
        <w:rPr>
          <w:rFonts w:hint="eastAsia" w:ascii="宋体" w:hAnsi="宋体" w:eastAsia="宋体" w:cs="宋体"/>
          <w:bCs/>
          <w:sz w:val="24"/>
          <w:szCs w:val="24"/>
          <w:lang w:eastAsia="zh-CN"/>
        </w:rPr>
      </w:pPr>
      <w:r>
        <w:rPr>
          <w:rFonts w:hint="eastAsia" w:ascii="宋体" w:hAnsi="宋体" w:cs="宋体"/>
          <w:bCs/>
          <w:color w:val="2D3027"/>
          <w:kern w:val="0"/>
          <w:sz w:val="24"/>
          <w:szCs w:val="24"/>
        </w:rPr>
        <w:t>7</w:t>
      </w:r>
      <w:r>
        <w:rPr>
          <w:rFonts w:hint="eastAsia" w:ascii="宋体" w:hAnsi="宋体" w:cs="宋体"/>
          <w:bCs/>
          <w:color w:val="2D3027"/>
          <w:kern w:val="0"/>
          <w:sz w:val="24"/>
          <w:szCs w:val="24"/>
          <w:lang w:val="en-US" w:eastAsia="zh-CN"/>
        </w:rPr>
        <w:t>.</w:t>
      </w:r>
      <w:r>
        <w:rPr>
          <w:rFonts w:hint="eastAsia" w:ascii="宋体" w:hAnsi="宋体" w:cs="宋体"/>
          <w:bCs/>
          <w:sz w:val="24"/>
          <w:szCs w:val="24"/>
        </w:rPr>
        <w:t>充气背心：背心由外套及气囊组成，可以拆卸外套可按普通衣物的方式随时进行清洗和消毒，可选配背心尺寸</w:t>
      </w:r>
      <w:r>
        <w:rPr>
          <w:rFonts w:hint="eastAsia" w:ascii="宋体" w:hAnsi="宋体" w:cs="宋体"/>
          <w:bCs/>
          <w:sz w:val="24"/>
          <w:szCs w:val="24"/>
          <w:lang w:eastAsia="zh-CN"/>
        </w:rPr>
        <w:t>；</w:t>
      </w:r>
    </w:p>
    <w:p>
      <w:pPr>
        <w:keepNext w:val="0"/>
        <w:keepLines w:val="0"/>
        <w:pageBreakBefore w:val="0"/>
        <w:widowControl/>
        <w:kinsoku/>
        <w:wordWrap/>
        <w:overflowPunct/>
        <w:topLinePunct w:val="0"/>
        <w:autoSpaceDE/>
        <w:autoSpaceDN/>
        <w:bidi w:val="0"/>
        <w:adjustRightInd/>
        <w:snapToGrid/>
        <w:spacing w:line="240" w:lineRule="auto"/>
        <w:ind w:left="0" w:leftChars="0" w:firstLine="480" w:firstLineChars="200"/>
        <w:jc w:val="left"/>
        <w:textAlignment w:val="auto"/>
        <w:rPr>
          <w:rFonts w:ascii="宋体" w:hAnsi="宋体" w:cs="宋体"/>
          <w:bCs/>
          <w:color w:val="2D3027"/>
          <w:kern w:val="0"/>
          <w:sz w:val="24"/>
          <w:szCs w:val="24"/>
        </w:rPr>
      </w:pPr>
      <w:r>
        <w:rPr>
          <w:rFonts w:hint="eastAsia" w:ascii="宋体" w:hAnsi="宋体" w:cs="宋体"/>
          <w:bCs/>
          <w:color w:val="2D3027"/>
          <w:kern w:val="0"/>
          <w:sz w:val="24"/>
          <w:szCs w:val="24"/>
        </w:rPr>
        <w:t>8</w:t>
      </w:r>
      <w:r>
        <w:rPr>
          <w:rFonts w:hint="eastAsia" w:ascii="宋体" w:hAnsi="宋体" w:cs="宋体"/>
          <w:bCs/>
          <w:color w:val="2D3027"/>
          <w:kern w:val="0"/>
          <w:sz w:val="24"/>
          <w:szCs w:val="24"/>
          <w:lang w:val="en-US" w:eastAsia="zh-CN"/>
        </w:rPr>
        <w:t>.</w:t>
      </w:r>
      <w:r>
        <w:rPr>
          <w:rFonts w:hint="eastAsia" w:ascii="宋体" w:hAnsi="宋体" w:cs="宋体"/>
          <w:bCs/>
          <w:sz w:val="24"/>
          <w:szCs w:val="24"/>
        </w:rPr>
        <w:t>充气气囊最大气压承受力：充气气囊应能承受设备最大气压动力输出的2倍压力；</w:t>
      </w:r>
    </w:p>
    <w:p>
      <w:pPr>
        <w:keepNext w:val="0"/>
        <w:keepLines w:val="0"/>
        <w:pageBreakBefore w:val="0"/>
        <w:kinsoku/>
        <w:wordWrap/>
        <w:overflowPunct/>
        <w:topLinePunct w:val="0"/>
        <w:autoSpaceDE/>
        <w:autoSpaceDN/>
        <w:bidi w:val="0"/>
        <w:adjustRightInd/>
        <w:snapToGrid/>
        <w:spacing w:line="240" w:lineRule="auto"/>
        <w:ind w:left="0" w:leftChars="0" w:firstLine="480" w:firstLineChars="200"/>
        <w:textAlignment w:val="auto"/>
        <w:rPr>
          <w:rFonts w:hint="eastAsia" w:ascii="宋体" w:hAnsi="宋体" w:eastAsia="宋体" w:cs="宋体"/>
          <w:bCs/>
          <w:sz w:val="24"/>
          <w:szCs w:val="24"/>
          <w:lang w:eastAsia="zh-CN"/>
        </w:rPr>
      </w:pPr>
      <w:r>
        <w:rPr>
          <w:rFonts w:hint="eastAsia" w:ascii="宋体" w:hAnsi="宋体" w:cs="宋体"/>
          <w:bCs/>
          <w:color w:val="2D3027"/>
          <w:kern w:val="0"/>
          <w:sz w:val="24"/>
          <w:szCs w:val="24"/>
        </w:rPr>
        <w:t>9</w:t>
      </w:r>
      <w:r>
        <w:rPr>
          <w:rFonts w:hint="eastAsia" w:ascii="宋体" w:hAnsi="宋体" w:cs="宋体"/>
          <w:bCs/>
          <w:color w:val="2D3027"/>
          <w:kern w:val="0"/>
          <w:sz w:val="24"/>
          <w:szCs w:val="24"/>
          <w:lang w:val="en-US" w:eastAsia="zh-CN"/>
        </w:rPr>
        <w:t>.</w:t>
      </w:r>
      <w:r>
        <w:rPr>
          <w:rFonts w:hint="eastAsia" w:ascii="宋体" w:hAnsi="宋体" w:cs="宋体"/>
          <w:bCs/>
          <w:sz w:val="24"/>
          <w:szCs w:val="24"/>
        </w:rPr>
        <w:t>配设备专用台车，设备固定在台车上共同使用</w:t>
      </w:r>
      <w:r>
        <w:rPr>
          <w:rFonts w:hint="eastAsia" w:ascii="宋体" w:hAnsi="宋体" w:cs="宋体"/>
          <w:bCs/>
          <w:sz w:val="24"/>
          <w:szCs w:val="24"/>
          <w:lang w:eastAsia="zh-CN"/>
        </w:rPr>
        <w:t>；</w:t>
      </w:r>
    </w:p>
    <w:p>
      <w:pPr>
        <w:keepNext w:val="0"/>
        <w:keepLines w:val="0"/>
        <w:pageBreakBefore w:val="0"/>
        <w:kinsoku/>
        <w:wordWrap/>
        <w:overflowPunct/>
        <w:topLinePunct w:val="0"/>
        <w:autoSpaceDE/>
        <w:autoSpaceDN/>
        <w:bidi w:val="0"/>
        <w:adjustRightInd/>
        <w:snapToGrid/>
        <w:spacing w:line="240" w:lineRule="auto"/>
        <w:ind w:left="0" w:leftChars="0" w:firstLine="480" w:firstLineChars="200"/>
        <w:textAlignment w:val="auto"/>
        <w:rPr>
          <w:rFonts w:ascii="宋体" w:hAnsi="宋体" w:cs="宋体"/>
          <w:bCs/>
          <w:sz w:val="24"/>
          <w:szCs w:val="24"/>
        </w:rPr>
      </w:pPr>
      <w:r>
        <w:rPr>
          <w:rFonts w:hint="eastAsia" w:ascii="宋体" w:hAnsi="宋体" w:cs="宋体"/>
          <w:bCs/>
          <w:sz w:val="24"/>
          <w:szCs w:val="24"/>
        </w:rPr>
        <w:t>▲10</w:t>
      </w:r>
      <w:r>
        <w:rPr>
          <w:rFonts w:hint="eastAsia" w:ascii="宋体" w:hAnsi="宋体" w:cs="宋体"/>
          <w:bCs/>
          <w:sz w:val="24"/>
          <w:szCs w:val="24"/>
          <w:lang w:val="en-US" w:eastAsia="zh-CN"/>
        </w:rPr>
        <w:t>.</w:t>
      </w:r>
      <w:r>
        <w:rPr>
          <w:rFonts w:hint="eastAsia" w:ascii="宋体" w:hAnsi="宋体" w:cs="宋体"/>
          <w:bCs/>
          <w:sz w:val="24"/>
          <w:szCs w:val="24"/>
        </w:rPr>
        <w:t>设备具备泄压功能：在泄压启动后，充气气囊压力在10s内从最大压力下降到0.2kPa；</w:t>
      </w:r>
    </w:p>
    <w:p>
      <w:pPr>
        <w:keepNext w:val="0"/>
        <w:keepLines w:val="0"/>
        <w:pageBreakBefore w:val="0"/>
        <w:kinsoku/>
        <w:wordWrap/>
        <w:overflowPunct/>
        <w:topLinePunct w:val="0"/>
        <w:autoSpaceDE/>
        <w:autoSpaceDN/>
        <w:bidi w:val="0"/>
        <w:adjustRightInd/>
        <w:snapToGrid/>
        <w:spacing w:line="240" w:lineRule="auto"/>
        <w:ind w:left="0" w:leftChars="0" w:firstLine="480" w:firstLineChars="200"/>
        <w:textAlignment w:val="auto"/>
        <w:rPr>
          <w:rFonts w:ascii="宋体" w:hAnsi="宋体" w:cs="宋体"/>
          <w:bCs/>
          <w:color w:val="2D3027"/>
          <w:kern w:val="0"/>
          <w:sz w:val="24"/>
          <w:szCs w:val="24"/>
        </w:rPr>
      </w:pPr>
      <w:r>
        <w:rPr>
          <w:rFonts w:hint="eastAsia" w:ascii="宋体" w:hAnsi="宋体" w:cs="宋体"/>
          <w:bCs/>
          <w:sz w:val="24"/>
          <w:szCs w:val="24"/>
        </w:rPr>
        <w:t>11</w:t>
      </w:r>
      <w:r>
        <w:rPr>
          <w:rFonts w:hint="eastAsia" w:ascii="宋体" w:hAnsi="宋体" w:cs="宋体"/>
          <w:bCs/>
          <w:sz w:val="24"/>
          <w:szCs w:val="24"/>
          <w:lang w:val="en-US" w:eastAsia="zh-CN"/>
        </w:rPr>
        <w:t>.</w:t>
      </w:r>
      <w:r>
        <w:rPr>
          <w:rFonts w:hint="eastAsia" w:ascii="宋体" w:hAnsi="宋体" w:cs="宋体"/>
          <w:bCs/>
          <w:sz w:val="24"/>
          <w:szCs w:val="24"/>
        </w:rPr>
        <w:t>双重电源保护功能；</w:t>
      </w:r>
    </w:p>
    <w:p>
      <w:pPr>
        <w:keepNext w:val="0"/>
        <w:keepLines w:val="0"/>
        <w:pageBreakBefore w:val="0"/>
        <w:kinsoku/>
        <w:wordWrap/>
        <w:overflowPunct/>
        <w:topLinePunct w:val="0"/>
        <w:autoSpaceDE/>
        <w:autoSpaceDN/>
        <w:bidi w:val="0"/>
        <w:adjustRightInd/>
        <w:snapToGrid/>
        <w:spacing w:line="240" w:lineRule="auto"/>
        <w:ind w:left="0" w:leftChars="0" w:firstLine="480" w:firstLineChars="200"/>
        <w:textAlignment w:val="auto"/>
        <w:rPr>
          <w:rFonts w:hint="eastAsia" w:ascii="宋体" w:hAnsi="宋体" w:eastAsia="宋体" w:cs="宋体"/>
          <w:bCs/>
          <w:sz w:val="24"/>
          <w:szCs w:val="24"/>
          <w:lang w:eastAsia="zh-CN"/>
        </w:rPr>
      </w:pPr>
      <w:r>
        <w:rPr>
          <w:rFonts w:hint="eastAsia" w:ascii="宋体" w:hAnsi="宋体" w:cs="宋体"/>
          <w:bCs/>
          <w:sz w:val="24"/>
          <w:szCs w:val="24"/>
        </w:rPr>
        <w:t>12</w:t>
      </w:r>
      <w:r>
        <w:rPr>
          <w:rFonts w:hint="eastAsia" w:ascii="宋体" w:hAnsi="宋体" w:cs="宋体"/>
          <w:bCs/>
          <w:sz w:val="24"/>
          <w:szCs w:val="24"/>
          <w:lang w:val="en-US" w:eastAsia="zh-CN"/>
        </w:rPr>
        <w:t>.</w:t>
      </w:r>
      <w:r>
        <w:rPr>
          <w:rFonts w:hint="eastAsia" w:ascii="宋体" w:hAnsi="宋体" w:cs="宋体"/>
          <w:bCs/>
          <w:sz w:val="24"/>
          <w:szCs w:val="24"/>
        </w:rPr>
        <w:t>具备设备累计工作时间查询功能</w:t>
      </w:r>
      <w:r>
        <w:rPr>
          <w:rFonts w:hint="eastAsia" w:ascii="宋体" w:hAnsi="宋体" w:cs="宋体"/>
          <w:bCs/>
          <w:sz w:val="24"/>
          <w:szCs w:val="24"/>
          <w:lang w:eastAsia="zh-CN"/>
        </w:rPr>
        <w:t>；</w:t>
      </w:r>
    </w:p>
    <w:p>
      <w:pPr>
        <w:keepNext w:val="0"/>
        <w:keepLines w:val="0"/>
        <w:pageBreakBefore w:val="0"/>
        <w:kinsoku/>
        <w:wordWrap/>
        <w:overflowPunct/>
        <w:topLinePunct w:val="0"/>
        <w:autoSpaceDE/>
        <w:autoSpaceDN/>
        <w:bidi w:val="0"/>
        <w:adjustRightInd/>
        <w:snapToGrid/>
        <w:spacing w:line="240" w:lineRule="auto"/>
        <w:ind w:left="0" w:leftChars="0" w:firstLine="480" w:firstLineChars="200"/>
        <w:textAlignment w:val="auto"/>
        <w:rPr>
          <w:rFonts w:hint="eastAsia"/>
          <w:sz w:val="24"/>
          <w:szCs w:val="24"/>
          <w:lang w:val="en-US" w:eastAsia="zh-CN"/>
        </w:rPr>
      </w:pPr>
      <w:r>
        <w:rPr>
          <w:rFonts w:hint="eastAsia" w:ascii="宋体" w:hAnsi="宋体" w:cs="宋体"/>
          <w:bCs/>
          <w:sz w:val="24"/>
          <w:szCs w:val="24"/>
        </w:rPr>
        <w:t>▲13</w:t>
      </w:r>
      <w:r>
        <w:rPr>
          <w:rFonts w:hint="eastAsia" w:ascii="宋体" w:hAnsi="宋体" w:cs="宋体"/>
          <w:bCs/>
          <w:sz w:val="24"/>
          <w:szCs w:val="24"/>
          <w:lang w:val="en-US" w:eastAsia="zh-CN"/>
        </w:rPr>
        <w:t>.</w:t>
      </w:r>
      <w:r>
        <w:rPr>
          <w:rFonts w:hint="eastAsia" w:ascii="宋体" w:hAnsi="宋体" w:cs="宋体"/>
          <w:bCs/>
          <w:sz w:val="24"/>
          <w:szCs w:val="24"/>
        </w:rPr>
        <w:t>配备无线遥控器支持远程操作，可以及时暂停设备</w:t>
      </w:r>
      <w:r>
        <w:rPr>
          <w:rFonts w:hint="eastAsia" w:ascii="宋体" w:hAnsi="宋体" w:cs="宋体"/>
          <w:bCs/>
          <w:sz w:val="24"/>
          <w:szCs w:val="24"/>
          <w:lang w:eastAsia="zh-CN"/>
        </w:rPr>
        <w:t>运行</w:t>
      </w:r>
      <w:r>
        <w:rPr>
          <w:rFonts w:hint="eastAsia" w:ascii="宋体" w:hAnsi="宋体" w:cs="宋体"/>
          <w:bCs/>
          <w:sz w:val="24"/>
          <w:szCs w:val="24"/>
        </w:rPr>
        <w:t>处理紧急情况。</w:t>
      </w:r>
    </w:p>
    <w:p>
      <w:pPr>
        <w:ind w:firstLine="482" w:firstLineChars="200"/>
        <w:rPr>
          <w:rFonts w:hint="eastAsia" w:asciiTheme="minorEastAsia" w:hAnsiTheme="minorEastAsia" w:eastAsiaTheme="minorEastAsia" w:cstheme="minorEastAsia"/>
          <w:b/>
          <w:bCs w:val="0"/>
          <w:color w:val="auto"/>
          <w:kern w:val="0"/>
          <w:sz w:val="24"/>
          <w:szCs w:val="24"/>
          <w:lang w:val="en-US" w:eastAsia="zh-CN" w:bidi="ar-SA"/>
        </w:rPr>
      </w:pPr>
      <w:r>
        <w:rPr>
          <w:rFonts w:hint="eastAsia" w:asciiTheme="minorEastAsia" w:hAnsiTheme="minorEastAsia" w:eastAsiaTheme="minorEastAsia" w:cstheme="minorEastAsia"/>
          <w:b/>
          <w:bCs w:val="0"/>
          <w:color w:val="auto"/>
          <w:kern w:val="0"/>
          <w:sz w:val="24"/>
          <w:szCs w:val="24"/>
          <w:lang w:val="en-US" w:eastAsia="zh-CN" w:bidi="ar-SA"/>
        </w:rPr>
        <w:t>*配置：</w:t>
      </w:r>
    </w:p>
    <w:tbl>
      <w:tblPr>
        <w:tblStyle w:val="11"/>
        <w:tblpPr w:leftFromText="180" w:rightFromText="180" w:vertAnchor="text" w:horzAnchor="margin" w:tblpY="128"/>
        <w:tblW w:w="80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5"/>
        <w:gridCol w:w="3518"/>
        <w:gridCol w:w="1605"/>
        <w:gridCol w:w="1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1605" w:type="dxa"/>
            <w:shd w:val="clear" w:color="auto" w:fill="5B9BD5" w:themeFill="accent1"/>
            <w:vAlign w:val="center"/>
          </w:tcPr>
          <w:p>
            <w:pPr>
              <w:keepNext w:val="0"/>
              <w:keepLines w:val="0"/>
              <w:pageBreakBefore w:val="0"/>
              <w:kinsoku/>
              <w:wordWrap/>
              <w:overflowPunct/>
              <w:topLinePunct w:val="0"/>
              <w:autoSpaceDE/>
              <w:autoSpaceDN/>
              <w:bidi w:val="0"/>
              <w:adjustRightInd/>
              <w:snapToGrid/>
              <w:spacing w:line="240" w:lineRule="auto"/>
              <w:ind w:left="0" w:leftChars="0" w:firstLine="480" w:firstLineChars="200"/>
              <w:textAlignment w:val="auto"/>
              <w:rPr>
                <w:rFonts w:hint="eastAsia" w:ascii="宋体" w:hAnsi="宋体" w:cs="宋体"/>
                <w:bCs/>
                <w:sz w:val="24"/>
                <w:szCs w:val="24"/>
              </w:rPr>
            </w:pPr>
            <w:r>
              <w:rPr>
                <w:rFonts w:hint="eastAsia" w:ascii="宋体" w:hAnsi="宋体" w:cs="宋体"/>
                <w:bCs/>
                <w:sz w:val="24"/>
                <w:szCs w:val="24"/>
              </w:rPr>
              <w:t>序号</w:t>
            </w:r>
          </w:p>
        </w:tc>
        <w:tc>
          <w:tcPr>
            <w:tcW w:w="3518" w:type="dxa"/>
            <w:shd w:val="clear" w:color="auto" w:fill="5B9BD5" w:themeFill="accent1"/>
            <w:vAlign w:val="center"/>
          </w:tcPr>
          <w:p>
            <w:pPr>
              <w:keepNext w:val="0"/>
              <w:keepLines w:val="0"/>
              <w:pageBreakBefore w:val="0"/>
              <w:kinsoku/>
              <w:wordWrap/>
              <w:overflowPunct/>
              <w:topLinePunct w:val="0"/>
              <w:autoSpaceDE/>
              <w:autoSpaceDN/>
              <w:bidi w:val="0"/>
              <w:adjustRightInd/>
              <w:snapToGrid/>
              <w:spacing w:line="240" w:lineRule="auto"/>
              <w:ind w:left="0" w:leftChars="0" w:firstLine="480" w:firstLineChars="200"/>
              <w:textAlignment w:val="auto"/>
              <w:rPr>
                <w:rFonts w:hint="eastAsia" w:ascii="宋体" w:hAnsi="宋体" w:cs="宋体"/>
                <w:bCs/>
                <w:sz w:val="24"/>
                <w:szCs w:val="24"/>
              </w:rPr>
            </w:pPr>
            <w:r>
              <w:rPr>
                <w:rFonts w:hint="eastAsia" w:ascii="宋体" w:hAnsi="宋体" w:cs="宋体"/>
                <w:bCs/>
                <w:sz w:val="24"/>
                <w:szCs w:val="24"/>
              </w:rPr>
              <w:t>产品名称</w:t>
            </w:r>
          </w:p>
        </w:tc>
        <w:tc>
          <w:tcPr>
            <w:tcW w:w="1605" w:type="dxa"/>
            <w:shd w:val="clear" w:color="auto" w:fill="5B9BD5" w:themeFill="accent1"/>
            <w:vAlign w:val="center"/>
          </w:tcPr>
          <w:p>
            <w:pPr>
              <w:keepNext w:val="0"/>
              <w:keepLines w:val="0"/>
              <w:pageBreakBefore w:val="0"/>
              <w:kinsoku/>
              <w:wordWrap/>
              <w:overflowPunct/>
              <w:topLinePunct w:val="0"/>
              <w:autoSpaceDE/>
              <w:autoSpaceDN/>
              <w:bidi w:val="0"/>
              <w:adjustRightInd/>
              <w:snapToGrid/>
              <w:spacing w:line="240" w:lineRule="auto"/>
              <w:ind w:left="0" w:leftChars="0" w:firstLine="480" w:firstLineChars="200"/>
              <w:textAlignment w:val="auto"/>
              <w:rPr>
                <w:rFonts w:hint="eastAsia" w:ascii="宋体" w:hAnsi="宋体" w:cs="宋体"/>
                <w:bCs/>
                <w:sz w:val="24"/>
                <w:szCs w:val="24"/>
              </w:rPr>
            </w:pPr>
            <w:r>
              <w:rPr>
                <w:rFonts w:hint="eastAsia" w:ascii="宋体" w:hAnsi="宋体" w:cs="宋体"/>
                <w:bCs/>
                <w:sz w:val="24"/>
                <w:szCs w:val="24"/>
              </w:rPr>
              <w:t>数量</w:t>
            </w:r>
          </w:p>
        </w:tc>
        <w:tc>
          <w:tcPr>
            <w:tcW w:w="1284" w:type="dxa"/>
            <w:shd w:val="clear" w:color="auto" w:fill="5B9BD5" w:themeFill="accent1"/>
          </w:tcPr>
          <w:p>
            <w:pPr>
              <w:keepNext w:val="0"/>
              <w:keepLines w:val="0"/>
              <w:pageBreakBefore w:val="0"/>
              <w:kinsoku/>
              <w:wordWrap/>
              <w:overflowPunct/>
              <w:topLinePunct w:val="0"/>
              <w:autoSpaceDE/>
              <w:autoSpaceDN/>
              <w:bidi w:val="0"/>
              <w:adjustRightInd/>
              <w:snapToGrid/>
              <w:spacing w:line="240" w:lineRule="auto"/>
              <w:ind w:left="0" w:leftChars="0" w:firstLine="480" w:firstLineChars="200"/>
              <w:textAlignment w:val="auto"/>
              <w:rPr>
                <w:rFonts w:hint="eastAsia" w:ascii="宋体" w:hAnsi="宋体" w:cs="宋体"/>
                <w:bCs/>
                <w:sz w:val="24"/>
                <w:szCs w:val="24"/>
              </w:rPr>
            </w:pPr>
            <w:r>
              <w:rPr>
                <w:rFonts w:hint="eastAsia" w:ascii="宋体" w:hAnsi="宋体" w:cs="宋体"/>
                <w:bCs/>
                <w:sz w:val="24"/>
                <w:szCs w:val="24"/>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1605" w:type="dxa"/>
            <w:shd w:val="clear" w:color="auto" w:fill="FFFFFF"/>
            <w:vAlign w:val="center"/>
          </w:tcPr>
          <w:p>
            <w:pPr>
              <w:keepNext w:val="0"/>
              <w:keepLines w:val="0"/>
              <w:pageBreakBefore w:val="0"/>
              <w:kinsoku/>
              <w:wordWrap/>
              <w:overflowPunct/>
              <w:topLinePunct w:val="0"/>
              <w:autoSpaceDE/>
              <w:autoSpaceDN/>
              <w:bidi w:val="0"/>
              <w:adjustRightInd/>
              <w:snapToGrid/>
              <w:spacing w:line="240" w:lineRule="auto"/>
              <w:ind w:left="0" w:leftChars="0" w:firstLine="480" w:firstLineChars="200"/>
              <w:textAlignment w:val="auto"/>
              <w:rPr>
                <w:rFonts w:hint="eastAsia" w:ascii="宋体" w:hAnsi="宋体" w:cs="宋体"/>
                <w:bCs/>
                <w:sz w:val="24"/>
                <w:szCs w:val="24"/>
              </w:rPr>
            </w:pPr>
            <w:r>
              <w:rPr>
                <w:rFonts w:hint="eastAsia" w:ascii="宋体" w:hAnsi="宋体" w:cs="宋体"/>
                <w:bCs/>
                <w:sz w:val="24"/>
                <w:szCs w:val="24"/>
              </w:rPr>
              <w:t>1</w:t>
            </w:r>
          </w:p>
        </w:tc>
        <w:tc>
          <w:tcPr>
            <w:tcW w:w="3518" w:type="dxa"/>
            <w:shd w:val="clear" w:color="auto" w:fill="FFFFFF"/>
            <w:vAlign w:val="center"/>
          </w:tcPr>
          <w:p>
            <w:pPr>
              <w:keepNext w:val="0"/>
              <w:keepLines w:val="0"/>
              <w:pageBreakBefore w:val="0"/>
              <w:kinsoku/>
              <w:wordWrap/>
              <w:overflowPunct/>
              <w:topLinePunct w:val="0"/>
              <w:autoSpaceDE/>
              <w:autoSpaceDN/>
              <w:bidi w:val="0"/>
              <w:adjustRightInd/>
              <w:snapToGrid/>
              <w:spacing w:line="240" w:lineRule="auto"/>
              <w:ind w:left="0" w:leftChars="0" w:firstLine="480" w:firstLineChars="200"/>
              <w:textAlignment w:val="auto"/>
              <w:rPr>
                <w:rFonts w:hint="default" w:ascii="宋体" w:hAnsi="宋体" w:cs="宋体"/>
                <w:bCs/>
                <w:sz w:val="24"/>
                <w:szCs w:val="24"/>
                <w:lang w:val="en-US"/>
              </w:rPr>
            </w:pPr>
            <w:r>
              <w:rPr>
                <w:rFonts w:hint="eastAsia" w:ascii="宋体" w:hAnsi="宋体" w:cs="宋体"/>
                <w:bCs/>
                <w:sz w:val="24"/>
                <w:szCs w:val="24"/>
                <w:lang w:val="en-US" w:eastAsia="zh-CN"/>
              </w:rPr>
              <w:t>气动式高频振荡排痰系统主机</w:t>
            </w:r>
          </w:p>
        </w:tc>
        <w:tc>
          <w:tcPr>
            <w:tcW w:w="1605" w:type="dxa"/>
            <w:shd w:val="clear" w:color="auto" w:fill="FFFFFF"/>
            <w:vAlign w:val="center"/>
          </w:tcPr>
          <w:p>
            <w:pPr>
              <w:keepNext w:val="0"/>
              <w:keepLines w:val="0"/>
              <w:pageBreakBefore w:val="0"/>
              <w:kinsoku/>
              <w:wordWrap/>
              <w:overflowPunct/>
              <w:topLinePunct w:val="0"/>
              <w:autoSpaceDE/>
              <w:autoSpaceDN/>
              <w:bidi w:val="0"/>
              <w:adjustRightInd/>
              <w:snapToGrid/>
              <w:spacing w:line="240" w:lineRule="auto"/>
              <w:ind w:left="0" w:leftChars="0" w:firstLine="480" w:firstLineChars="200"/>
              <w:textAlignment w:val="auto"/>
              <w:rPr>
                <w:rFonts w:hint="eastAsia" w:ascii="宋体" w:hAnsi="宋体" w:cs="宋体"/>
                <w:bCs/>
                <w:sz w:val="24"/>
                <w:szCs w:val="24"/>
                <w:lang w:val="en-US" w:eastAsia="zh-CN"/>
              </w:rPr>
            </w:pPr>
            <w:r>
              <w:rPr>
                <w:rFonts w:hint="default" w:ascii="宋体" w:hAnsi="宋体" w:cs="宋体"/>
                <w:bCs/>
                <w:sz w:val="24"/>
                <w:szCs w:val="24"/>
                <w:lang w:val="en-US" w:eastAsia="zh-CN"/>
              </w:rPr>
              <w:t>1</w:t>
            </w:r>
          </w:p>
        </w:tc>
        <w:tc>
          <w:tcPr>
            <w:tcW w:w="1284" w:type="dxa"/>
            <w:shd w:val="clear" w:color="auto" w:fill="FFFFFF"/>
            <w:vAlign w:val="center"/>
          </w:tcPr>
          <w:p>
            <w:pPr>
              <w:keepNext w:val="0"/>
              <w:keepLines w:val="0"/>
              <w:pageBreakBefore w:val="0"/>
              <w:kinsoku/>
              <w:wordWrap/>
              <w:overflowPunct/>
              <w:topLinePunct w:val="0"/>
              <w:autoSpaceDE/>
              <w:autoSpaceDN/>
              <w:bidi w:val="0"/>
              <w:adjustRightInd/>
              <w:snapToGrid/>
              <w:spacing w:line="240" w:lineRule="auto"/>
              <w:ind w:left="0" w:leftChars="0" w:firstLine="480" w:firstLineChars="200"/>
              <w:textAlignment w:val="auto"/>
              <w:rPr>
                <w:rFonts w:hint="eastAsia" w:ascii="宋体" w:hAnsi="宋体" w:cs="宋体"/>
                <w:bCs/>
                <w:sz w:val="24"/>
                <w:szCs w:val="24"/>
                <w:lang w:val="en-US" w:eastAsia="zh-CN"/>
              </w:rPr>
            </w:pPr>
            <w:r>
              <w:rPr>
                <w:rFonts w:hint="eastAsia" w:ascii="宋体" w:hAnsi="宋体" w:cs="宋体"/>
                <w:bCs/>
                <w:sz w:val="24"/>
                <w:szCs w:val="24"/>
                <w:lang w:val="en-US" w:eastAsia="zh-CN"/>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1605" w:type="dxa"/>
            <w:shd w:val="clear" w:color="auto" w:fill="FFFFFF"/>
            <w:vAlign w:val="center"/>
          </w:tcPr>
          <w:p>
            <w:pPr>
              <w:keepNext w:val="0"/>
              <w:keepLines w:val="0"/>
              <w:pageBreakBefore w:val="0"/>
              <w:kinsoku/>
              <w:wordWrap/>
              <w:overflowPunct/>
              <w:topLinePunct w:val="0"/>
              <w:autoSpaceDE/>
              <w:autoSpaceDN/>
              <w:bidi w:val="0"/>
              <w:adjustRightInd/>
              <w:snapToGrid/>
              <w:spacing w:line="240" w:lineRule="auto"/>
              <w:ind w:left="0" w:leftChars="0" w:firstLine="480" w:firstLineChars="200"/>
              <w:textAlignment w:val="auto"/>
              <w:rPr>
                <w:rFonts w:hint="eastAsia" w:ascii="宋体" w:hAnsi="宋体" w:cs="宋体"/>
                <w:bCs/>
                <w:sz w:val="24"/>
                <w:szCs w:val="24"/>
              </w:rPr>
            </w:pPr>
            <w:r>
              <w:rPr>
                <w:rFonts w:hint="eastAsia" w:ascii="宋体" w:hAnsi="宋体" w:cs="宋体"/>
                <w:bCs/>
                <w:sz w:val="24"/>
                <w:szCs w:val="24"/>
              </w:rPr>
              <w:t>2</w:t>
            </w:r>
          </w:p>
        </w:tc>
        <w:tc>
          <w:tcPr>
            <w:tcW w:w="3518" w:type="dxa"/>
            <w:shd w:val="clear" w:color="auto" w:fill="FFFFFF"/>
            <w:vAlign w:val="center"/>
          </w:tcPr>
          <w:p>
            <w:pPr>
              <w:keepNext w:val="0"/>
              <w:keepLines w:val="0"/>
              <w:pageBreakBefore w:val="0"/>
              <w:kinsoku/>
              <w:wordWrap/>
              <w:overflowPunct/>
              <w:topLinePunct w:val="0"/>
              <w:autoSpaceDE/>
              <w:autoSpaceDN/>
              <w:bidi w:val="0"/>
              <w:adjustRightInd/>
              <w:snapToGrid/>
              <w:spacing w:line="240" w:lineRule="auto"/>
              <w:ind w:left="0" w:leftChars="0" w:firstLine="480" w:firstLineChars="200"/>
              <w:textAlignment w:val="auto"/>
              <w:rPr>
                <w:rFonts w:hint="eastAsia" w:ascii="宋体" w:hAnsi="宋体" w:cs="宋体"/>
                <w:bCs/>
                <w:sz w:val="24"/>
                <w:szCs w:val="24"/>
              </w:rPr>
            </w:pPr>
            <w:r>
              <w:rPr>
                <w:rFonts w:hint="eastAsia" w:ascii="宋体" w:hAnsi="宋体" w:cs="宋体"/>
                <w:bCs/>
                <w:sz w:val="24"/>
                <w:szCs w:val="24"/>
                <w:lang w:val="en-US" w:eastAsia="zh-CN"/>
              </w:rPr>
              <w:t>电源线</w:t>
            </w:r>
          </w:p>
        </w:tc>
        <w:tc>
          <w:tcPr>
            <w:tcW w:w="1605" w:type="dxa"/>
            <w:shd w:val="clear" w:color="auto" w:fill="FFFFFF"/>
            <w:vAlign w:val="center"/>
          </w:tcPr>
          <w:p>
            <w:pPr>
              <w:keepNext w:val="0"/>
              <w:keepLines w:val="0"/>
              <w:pageBreakBefore w:val="0"/>
              <w:kinsoku/>
              <w:wordWrap/>
              <w:overflowPunct/>
              <w:topLinePunct w:val="0"/>
              <w:autoSpaceDE/>
              <w:autoSpaceDN/>
              <w:bidi w:val="0"/>
              <w:adjustRightInd/>
              <w:snapToGrid/>
              <w:spacing w:line="240" w:lineRule="auto"/>
              <w:ind w:left="0" w:leftChars="0" w:firstLine="480" w:firstLineChars="200"/>
              <w:textAlignment w:val="auto"/>
              <w:rPr>
                <w:rFonts w:hint="eastAsia" w:ascii="宋体" w:hAnsi="宋体" w:cs="宋体"/>
                <w:bCs/>
                <w:sz w:val="24"/>
                <w:szCs w:val="24"/>
                <w:lang w:val="en-US" w:eastAsia="zh-CN"/>
              </w:rPr>
            </w:pPr>
            <w:r>
              <w:rPr>
                <w:rFonts w:hint="default" w:ascii="宋体" w:hAnsi="宋体" w:cs="宋体"/>
                <w:bCs/>
                <w:sz w:val="24"/>
                <w:szCs w:val="24"/>
                <w:lang w:val="en-US" w:eastAsia="zh-CN"/>
              </w:rPr>
              <w:t>1</w:t>
            </w:r>
          </w:p>
        </w:tc>
        <w:tc>
          <w:tcPr>
            <w:tcW w:w="1284" w:type="dxa"/>
            <w:shd w:val="clear" w:color="auto" w:fill="FFFFFF"/>
            <w:vAlign w:val="center"/>
          </w:tcPr>
          <w:p>
            <w:pPr>
              <w:keepNext w:val="0"/>
              <w:keepLines w:val="0"/>
              <w:pageBreakBefore w:val="0"/>
              <w:kinsoku/>
              <w:wordWrap/>
              <w:overflowPunct/>
              <w:topLinePunct w:val="0"/>
              <w:autoSpaceDE/>
              <w:autoSpaceDN/>
              <w:bidi w:val="0"/>
              <w:adjustRightInd/>
              <w:snapToGrid/>
              <w:spacing w:line="240" w:lineRule="auto"/>
              <w:ind w:left="0" w:leftChars="0" w:firstLine="480" w:firstLineChars="200"/>
              <w:textAlignment w:val="auto"/>
              <w:rPr>
                <w:rFonts w:hint="eastAsia" w:ascii="宋体" w:hAnsi="宋体" w:cs="宋体"/>
                <w:bCs/>
                <w:sz w:val="24"/>
                <w:szCs w:val="24"/>
                <w:lang w:val="en-US" w:eastAsia="zh-CN"/>
              </w:rPr>
            </w:pPr>
            <w:r>
              <w:rPr>
                <w:rFonts w:hint="eastAsia" w:ascii="宋体" w:hAnsi="宋体" w:cs="宋体"/>
                <w:bCs/>
                <w:sz w:val="24"/>
                <w:szCs w:val="24"/>
                <w:lang w:val="en-US" w:eastAsia="zh-CN"/>
              </w:rPr>
              <w:t>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1605" w:type="dxa"/>
            <w:shd w:val="clear" w:color="auto" w:fill="FFFFFF"/>
            <w:vAlign w:val="center"/>
          </w:tcPr>
          <w:p>
            <w:pPr>
              <w:keepNext w:val="0"/>
              <w:keepLines w:val="0"/>
              <w:pageBreakBefore w:val="0"/>
              <w:kinsoku/>
              <w:wordWrap/>
              <w:overflowPunct/>
              <w:topLinePunct w:val="0"/>
              <w:autoSpaceDE/>
              <w:autoSpaceDN/>
              <w:bidi w:val="0"/>
              <w:adjustRightInd/>
              <w:snapToGrid/>
              <w:spacing w:line="240" w:lineRule="auto"/>
              <w:ind w:left="0" w:leftChars="0" w:firstLine="480" w:firstLineChars="200"/>
              <w:textAlignment w:val="auto"/>
              <w:rPr>
                <w:rFonts w:hint="eastAsia" w:ascii="宋体" w:hAnsi="宋体" w:cs="宋体"/>
                <w:bCs/>
                <w:sz w:val="24"/>
                <w:szCs w:val="24"/>
              </w:rPr>
            </w:pPr>
            <w:r>
              <w:rPr>
                <w:rFonts w:hint="eastAsia" w:ascii="宋体" w:hAnsi="宋体" w:cs="宋体"/>
                <w:bCs/>
                <w:sz w:val="24"/>
                <w:szCs w:val="24"/>
              </w:rPr>
              <w:t>3</w:t>
            </w:r>
          </w:p>
        </w:tc>
        <w:tc>
          <w:tcPr>
            <w:tcW w:w="3518" w:type="dxa"/>
            <w:shd w:val="clear" w:color="auto" w:fill="FFFFFF"/>
            <w:vAlign w:val="center"/>
          </w:tcPr>
          <w:p>
            <w:pPr>
              <w:keepNext w:val="0"/>
              <w:keepLines w:val="0"/>
              <w:pageBreakBefore w:val="0"/>
              <w:kinsoku/>
              <w:wordWrap/>
              <w:overflowPunct/>
              <w:topLinePunct w:val="0"/>
              <w:autoSpaceDE/>
              <w:autoSpaceDN/>
              <w:bidi w:val="0"/>
              <w:adjustRightInd/>
              <w:snapToGrid/>
              <w:spacing w:line="240" w:lineRule="auto"/>
              <w:ind w:left="0" w:leftChars="0" w:firstLine="480" w:firstLineChars="200"/>
              <w:textAlignment w:val="auto"/>
              <w:rPr>
                <w:rFonts w:hint="eastAsia" w:ascii="宋体" w:hAnsi="宋体" w:cs="宋体"/>
                <w:bCs/>
                <w:sz w:val="24"/>
                <w:szCs w:val="24"/>
              </w:rPr>
            </w:pPr>
            <w:r>
              <w:rPr>
                <w:rFonts w:hint="eastAsia" w:ascii="宋体" w:hAnsi="宋体" w:cs="宋体"/>
                <w:bCs/>
                <w:sz w:val="24"/>
                <w:szCs w:val="24"/>
                <w:lang w:val="en-US" w:eastAsia="zh-CN"/>
              </w:rPr>
              <w:t>导气连接管</w:t>
            </w:r>
          </w:p>
        </w:tc>
        <w:tc>
          <w:tcPr>
            <w:tcW w:w="1605" w:type="dxa"/>
            <w:shd w:val="clear" w:color="auto" w:fill="FFFFFF"/>
            <w:vAlign w:val="center"/>
          </w:tcPr>
          <w:p>
            <w:pPr>
              <w:keepNext w:val="0"/>
              <w:keepLines w:val="0"/>
              <w:pageBreakBefore w:val="0"/>
              <w:kinsoku/>
              <w:wordWrap/>
              <w:overflowPunct/>
              <w:topLinePunct w:val="0"/>
              <w:autoSpaceDE/>
              <w:autoSpaceDN/>
              <w:bidi w:val="0"/>
              <w:adjustRightInd/>
              <w:snapToGrid/>
              <w:spacing w:line="240" w:lineRule="auto"/>
              <w:ind w:left="0" w:leftChars="0" w:firstLine="480" w:firstLineChars="200"/>
              <w:textAlignment w:val="auto"/>
              <w:rPr>
                <w:rFonts w:hint="eastAsia" w:ascii="宋体" w:hAnsi="宋体" w:cs="宋体"/>
                <w:bCs/>
                <w:sz w:val="24"/>
                <w:szCs w:val="24"/>
                <w:lang w:val="en-US" w:eastAsia="zh-CN"/>
              </w:rPr>
            </w:pPr>
            <w:r>
              <w:rPr>
                <w:rFonts w:hint="default" w:ascii="宋体" w:hAnsi="宋体" w:cs="宋体"/>
                <w:bCs/>
                <w:sz w:val="24"/>
                <w:szCs w:val="24"/>
                <w:lang w:val="en-US" w:eastAsia="zh-CN"/>
              </w:rPr>
              <w:t>2</w:t>
            </w:r>
          </w:p>
        </w:tc>
        <w:tc>
          <w:tcPr>
            <w:tcW w:w="1284" w:type="dxa"/>
            <w:shd w:val="clear" w:color="auto" w:fill="FFFFFF"/>
            <w:vAlign w:val="center"/>
          </w:tcPr>
          <w:p>
            <w:pPr>
              <w:keepNext w:val="0"/>
              <w:keepLines w:val="0"/>
              <w:pageBreakBefore w:val="0"/>
              <w:kinsoku/>
              <w:wordWrap/>
              <w:overflowPunct/>
              <w:topLinePunct w:val="0"/>
              <w:autoSpaceDE/>
              <w:autoSpaceDN/>
              <w:bidi w:val="0"/>
              <w:adjustRightInd/>
              <w:snapToGrid/>
              <w:spacing w:line="240" w:lineRule="auto"/>
              <w:ind w:left="0" w:leftChars="0" w:firstLine="480" w:firstLineChars="200"/>
              <w:textAlignment w:val="auto"/>
              <w:rPr>
                <w:rFonts w:hint="eastAsia" w:ascii="宋体" w:hAnsi="宋体" w:cs="宋体"/>
                <w:bCs/>
                <w:sz w:val="24"/>
                <w:szCs w:val="24"/>
                <w:lang w:val="en-US" w:eastAsia="zh-CN"/>
              </w:rPr>
            </w:pPr>
            <w:r>
              <w:rPr>
                <w:rFonts w:hint="eastAsia" w:ascii="宋体" w:hAnsi="宋体" w:cs="宋体"/>
                <w:bCs/>
                <w:sz w:val="24"/>
                <w:szCs w:val="24"/>
                <w:lang w:val="en-US" w:eastAsia="zh-CN"/>
              </w:rPr>
              <w:t>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1605" w:type="dxa"/>
            <w:shd w:val="clear" w:color="auto" w:fill="FFFFFF"/>
            <w:vAlign w:val="center"/>
          </w:tcPr>
          <w:p>
            <w:pPr>
              <w:keepNext w:val="0"/>
              <w:keepLines w:val="0"/>
              <w:pageBreakBefore w:val="0"/>
              <w:kinsoku/>
              <w:wordWrap/>
              <w:overflowPunct/>
              <w:topLinePunct w:val="0"/>
              <w:autoSpaceDE/>
              <w:autoSpaceDN/>
              <w:bidi w:val="0"/>
              <w:adjustRightInd/>
              <w:snapToGrid/>
              <w:spacing w:line="240" w:lineRule="auto"/>
              <w:ind w:left="0" w:leftChars="0" w:firstLine="480" w:firstLineChars="200"/>
              <w:textAlignment w:val="auto"/>
              <w:rPr>
                <w:rFonts w:hint="eastAsia" w:ascii="宋体" w:hAnsi="宋体" w:cs="宋体"/>
                <w:bCs/>
                <w:sz w:val="24"/>
                <w:szCs w:val="24"/>
                <w:lang w:val="en-US" w:eastAsia="zh-CN"/>
              </w:rPr>
            </w:pPr>
            <w:r>
              <w:rPr>
                <w:rFonts w:hint="eastAsia" w:ascii="宋体" w:hAnsi="宋体" w:cs="宋体"/>
                <w:bCs/>
                <w:sz w:val="24"/>
                <w:szCs w:val="24"/>
                <w:lang w:val="en-US" w:eastAsia="zh-CN"/>
              </w:rPr>
              <w:t>4</w:t>
            </w:r>
          </w:p>
        </w:tc>
        <w:tc>
          <w:tcPr>
            <w:tcW w:w="3518" w:type="dxa"/>
            <w:shd w:val="clear" w:color="auto" w:fill="FFFFFF"/>
            <w:vAlign w:val="center"/>
          </w:tcPr>
          <w:p>
            <w:pPr>
              <w:keepNext w:val="0"/>
              <w:keepLines w:val="0"/>
              <w:pageBreakBefore w:val="0"/>
              <w:kinsoku/>
              <w:wordWrap/>
              <w:overflowPunct/>
              <w:topLinePunct w:val="0"/>
              <w:autoSpaceDE/>
              <w:autoSpaceDN/>
              <w:bidi w:val="0"/>
              <w:adjustRightInd/>
              <w:snapToGrid/>
              <w:spacing w:line="240" w:lineRule="auto"/>
              <w:ind w:left="0" w:leftChars="0" w:firstLine="480" w:firstLineChars="200"/>
              <w:textAlignment w:val="auto"/>
              <w:rPr>
                <w:rFonts w:hint="eastAsia" w:ascii="宋体" w:hAnsi="宋体" w:cs="宋体"/>
                <w:bCs/>
                <w:sz w:val="24"/>
                <w:szCs w:val="24"/>
                <w:lang w:val="en-US" w:eastAsia="zh-CN"/>
              </w:rPr>
            </w:pPr>
            <w:r>
              <w:rPr>
                <w:rFonts w:hint="eastAsia" w:ascii="宋体" w:hAnsi="宋体" w:cs="宋体"/>
                <w:bCs/>
                <w:sz w:val="24"/>
                <w:szCs w:val="24"/>
                <w:lang w:val="en-US" w:eastAsia="zh-CN"/>
              </w:rPr>
              <w:t>背心（可拆卸）</w:t>
            </w:r>
          </w:p>
        </w:tc>
        <w:tc>
          <w:tcPr>
            <w:tcW w:w="1605" w:type="dxa"/>
            <w:shd w:val="clear" w:color="auto" w:fill="FFFFFF"/>
            <w:vAlign w:val="center"/>
          </w:tcPr>
          <w:p>
            <w:pPr>
              <w:keepNext w:val="0"/>
              <w:keepLines w:val="0"/>
              <w:pageBreakBefore w:val="0"/>
              <w:kinsoku/>
              <w:wordWrap/>
              <w:overflowPunct/>
              <w:topLinePunct w:val="0"/>
              <w:autoSpaceDE/>
              <w:autoSpaceDN/>
              <w:bidi w:val="0"/>
              <w:adjustRightInd/>
              <w:snapToGrid/>
              <w:spacing w:line="240" w:lineRule="auto"/>
              <w:ind w:left="0" w:leftChars="0" w:firstLine="480" w:firstLineChars="200"/>
              <w:textAlignment w:val="auto"/>
              <w:rPr>
                <w:rFonts w:hint="default" w:ascii="宋体" w:hAnsi="宋体" w:cs="宋体"/>
                <w:bCs/>
                <w:sz w:val="24"/>
                <w:szCs w:val="24"/>
                <w:lang w:val="en-US" w:eastAsia="zh-CN"/>
              </w:rPr>
            </w:pPr>
            <w:r>
              <w:rPr>
                <w:rFonts w:hint="eastAsia" w:ascii="宋体" w:hAnsi="宋体" w:cs="宋体"/>
                <w:bCs/>
                <w:sz w:val="24"/>
                <w:szCs w:val="24"/>
                <w:lang w:val="en-US" w:eastAsia="zh-CN"/>
              </w:rPr>
              <w:t>1</w:t>
            </w:r>
          </w:p>
        </w:tc>
        <w:tc>
          <w:tcPr>
            <w:tcW w:w="1284" w:type="dxa"/>
            <w:shd w:val="clear" w:color="auto" w:fill="FFFFFF"/>
            <w:vAlign w:val="center"/>
          </w:tcPr>
          <w:p>
            <w:pPr>
              <w:keepNext w:val="0"/>
              <w:keepLines w:val="0"/>
              <w:pageBreakBefore w:val="0"/>
              <w:kinsoku/>
              <w:wordWrap/>
              <w:overflowPunct/>
              <w:topLinePunct w:val="0"/>
              <w:autoSpaceDE/>
              <w:autoSpaceDN/>
              <w:bidi w:val="0"/>
              <w:adjustRightInd/>
              <w:snapToGrid/>
              <w:spacing w:line="240" w:lineRule="auto"/>
              <w:ind w:left="0" w:leftChars="0" w:firstLine="480" w:firstLineChars="200"/>
              <w:textAlignment w:val="auto"/>
              <w:rPr>
                <w:rFonts w:hint="eastAsia" w:ascii="宋体" w:hAnsi="宋体" w:cs="宋体"/>
                <w:bCs/>
                <w:sz w:val="24"/>
                <w:szCs w:val="24"/>
                <w:lang w:val="en-US" w:eastAsia="zh-CN"/>
              </w:rPr>
            </w:pPr>
            <w:r>
              <w:rPr>
                <w:rFonts w:hint="eastAsia" w:ascii="宋体" w:hAnsi="宋体" w:cs="宋体"/>
                <w:bCs/>
                <w:sz w:val="24"/>
                <w:szCs w:val="24"/>
                <w:lang w:val="en-US" w:eastAsia="zh-CN"/>
              </w:rPr>
              <w:t>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1605" w:type="dxa"/>
            <w:shd w:val="clear" w:color="auto" w:fill="FFFFFF"/>
            <w:vAlign w:val="center"/>
          </w:tcPr>
          <w:p>
            <w:pPr>
              <w:keepNext w:val="0"/>
              <w:keepLines w:val="0"/>
              <w:pageBreakBefore w:val="0"/>
              <w:kinsoku/>
              <w:wordWrap/>
              <w:overflowPunct/>
              <w:topLinePunct w:val="0"/>
              <w:autoSpaceDE/>
              <w:autoSpaceDN/>
              <w:bidi w:val="0"/>
              <w:adjustRightInd/>
              <w:snapToGrid/>
              <w:spacing w:line="240" w:lineRule="auto"/>
              <w:ind w:left="0" w:leftChars="0" w:firstLine="480" w:firstLineChars="200"/>
              <w:textAlignment w:val="auto"/>
              <w:rPr>
                <w:rFonts w:hint="eastAsia" w:ascii="宋体" w:hAnsi="宋体" w:cs="宋体"/>
                <w:bCs/>
                <w:sz w:val="24"/>
                <w:szCs w:val="24"/>
                <w:lang w:val="en-US" w:eastAsia="zh-CN"/>
              </w:rPr>
            </w:pPr>
            <w:r>
              <w:rPr>
                <w:rFonts w:hint="eastAsia" w:ascii="宋体" w:hAnsi="宋体" w:cs="宋体"/>
                <w:bCs/>
                <w:sz w:val="24"/>
                <w:szCs w:val="24"/>
                <w:lang w:val="en-US" w:eastAsia="zh-CN"/>
              </w:rPr>
              <w:t>5</w:t>
            </w:r>
          </w:p>
        </w:tc>
        <w:tc>
          <w:tcPr>
            <w:tcW w:w="3518" w:type="dxa"/>
            <w:shd w:val="clear" w:color="auto" w:fill="FFFFFF"/>
            <w:vAlign w:val="center"/>
          </w:tcPr>
          <w:p>
            <w:pPr>
              <w:keepNext w:val="0"/>
              <w:keepLines w:val="0"/>
              <w:pageBreakBefore w:val="0"/>
              <w:kinsoku/>
              <w:wordWrap/>
              <w:overflowPunct/>
              <w:topLinePunct w:val="0"/>
              <w:autoSpaceDE/>
              <w:autoSpaceDN/>
              <w:bidi w:val="0"/>
              <w:adjustRightInd/>
              <w:snapToGrid/>
              <w:spacing w:line="240" w:lineRule="auto"/>
              <w:ind w:left="0" w:leftChars="0" w:firstLine="480" w:firstLineChars="200"/>
              <w:textAlignment w:val="auto"/>
              <w:rPr>
                <w:rFonts w:hint="eastAsia" w:ascii="宋体" w:hAnsi="宋体" w:cs="宋体"/>
                <w:bCs/>
                <w:sz w:val="24"/>
                <w:szCs w:val="24"/>
                <w:lang w:val="en-US" w:eastAsia="zh-CN"/>
              </w:rPr>
            </w:pPr>
            <w:r>
              <w:rPr>
                <w:rFonts w:hint="eastAsia" w:ascii="宋体" w:hAnsi="宋体" w:cs="宋体"/>
                <w:bCs/>
                <w:sz w:val="24"/>
                <w:szCs w:val="24"/>
                <w:lang w:val="en-US" w:eastAsia="zh-CN"/>
              </w:rPr>
              <w:t>背心（普通）</w:t>
            </w:r>
          </w:p>
        </w:tc>
        <w:tc>
          <w:tcPr>
            <w:tcW w:w="1605" w:type="dxa"/>
            <w:shd w:val="clear" w:color="auto" w:fill="FFFFFF"/>
            <w:vAlign w:val="center"/>
          </w:tcPr>
          <w:p>
            <w:pPr>
              <w:keepNext w:val="0"/>
              <w:keepLines w:val="0"/>
              <w:pageBreakBefore w:val="0"/>
              <w:kinsoku/>
              <w:wordWrap/>
              <w:overflowPunct/>
              <w:topLinePunct w:val="0"/>
              <w:autoSpaceDE/>
              <w:autoSpaceDN/>
              <w:bidi w:val="0"/>
              <w:adjustRightInd/>
              <w:snapToGrid/>
              <w:spacing w:line="240" w:lineRule="auto"/>
              <w:ind w:left="0" w:leftChars="0" w:firstLine="480" w:firstLineChars="200"/>
              <w:textAlignment w:val="auto"/>
              <w:rPr>
                <w:rFonts w:hint="default" w:ascii="宋体" w:hAnsi="宋体" w:cs="宋体"/>
                <w:bCs/>
                <w:sz w:val="24"/>
                <w:szCs w:val="24"/>
                <w:lang w:val="en-US" w:eastAsia="zh-CN"/>
              </w:rPr>
            </w:pPr>
            <w:r>
              <w:rPr>
                <w:rFonts w:hint="eastAsia" w:ascii="宋体" w:hAnsi="宋体" w:cs="宋体"/>
                <w:bCs/>
                <w:sz w:val="24"/>
                <w:szCs w:val="24"/>
                <w:lang w:val="en-US" w:eastAsia="zh-CN"/>
              </w:rPr>
              <w:t>2</w:t>
            </w:r>
          </w:p>
        </w:tc>
        <w:tc>
          <w:tcPr>
            <w:tcW w:w="1284" w:type="dxa"/>
            <w:shd w:val="clear" w:color="auto" w:fill="FFFFFF"/>
            <w:vAlign w:val="center"/>
          </w:tcPr>
          <w:p>
            <w:pPr>
              <w:keepNext w:val="0"/>
              <w:keepLines w:val="0"/>
              <w:pageBreakBefore w:val="0"/>
              <w:kinsoku/>
              <w:wordWrap/>
              <w:overflowPunct/>
              <w:topLinePunct w:val="0"/>
              <w:autoSpaceDE/>
              <w:autoSpaceDN/>
              <w:bidi w:val="0"/>
              <w:adjustRightInd/>
              <w:snapToGrid/>
              <w:spacing w:line="240" w:lineRule="auto"/>
              <w:ind w:left="0" w:leftChars="0" w:firstLine="480" w:firstLineChars="200"/>
              <w:textAlignment w:val="auto"/>
              <w:rPr>
                <w:rFonts w:hint="eastAsia" w:ascii="宋体" w:hAnsi="宋体" w:cs="宋体"/>
                <w:bCs/>
                <w:sz w:val="24"/>
                <w:szCs w:val="24"/>
                <w:lang w:val="en-US" w:eastAsia="zh-CN"/>
              </w:rPr>
            </w:pPr>
            <w:r>
              <w:rPr>
                <w:rFonts w:hint="eastAsia" w:ascii="宋体" w:hAnsi="宋体" w:cs="宋体"/>
                <w:bCs/>
                <w:sz w:val="24"/>
                <w:szCs w:val="24"/>
                <w:lang w:val="en-US" w:eastAsia="zh-CN"/>
              </w:rPr>
              <w:t>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1605" w:type="dxa"/>
            <w:shd w:val="clear" w:color="auto" w:fill="FFFFFF"/>
            <w:vAlign w:val="center"/>
          </w:tcPr>
          <w:p>
            <w:pPr>
              <w:keepNext w:val="0"/>
              <w:keepLines w:val="0"/>
              <w:pageBreakBefore w:val="0"/>
              <w:kinsoku/>
              <w:wordWrap/>
              <w:overflowPunct/>
              <w:topLinePunct w:val="0"/>
              <w:autoSpaceDE/>
              <w:autoSpaceDN/>
              <w:bidi w:val="0"/>
              <w:adjustRightInd/>
              <w:snapToGrid/>
              <w:spacing w:line="240" w:lineRule="auto"/>
              <w:ind w:left="0" w:leftChars="0" w:firstLine="480" w:firstLineChars="200"/>
              <w:textAlignment w:val="auto"/>
              <w:rPr>
                <w:rFonts w:hint="eastAsia" w:ascii="宋体" w:hAnsi="宋体" w:cs="宋体"/>
                <w:bCs/>
                <w:sz w:val="24"/>
                <w:szCs w:val="24"/>
                <w:lang w:val="en-US" w:eastAsia="zh-CN"/>
              </w:rPr>
            </w:pPr>
            <w:r>
              <w:rPr>
                <w:rFonts w:hint="eastAsia" w:ascii="宋体" w:hAnsi="宋体" w:cs="宋体"/>
                <w:bCs/>
                <w:sz w:val="24"/>
                <w:szCs w:val="24"/>
                <w:lang w:val="en-US" w:eastAsia="zh-CN"/>
              </w:rPr>
              <w:t>6</w:t>
            </w:r>
          </w:p>
        </w:tc>
        <w:tc>
          <w:tcPr>
            <w:tcW w:w="3518" w:type="dxa"/>
            <w:shd w:val="clear" w:color="auto" w:fill="FFFFFF"/>
            <w:vAlign w:val="center"/>
          </w:tcPr>
          <w:p>
            <w:pPr>
              <w:keepNext w:val="0"/>
              <w:keepLines w:val="0"/>
              <w:pageBreakBefore w:val="0"/>
              <w:kinsoku/>
              <w:wordWrap/>
              <w:overflowPunct/>
              <w:topLinePunct w:val="0"/>
              <w:autoSpaceDE/>
              <w:autoSpaceDN/>
              <w:bidi w:val="0"/>
              <w:adjustRightInd/>
              <w:snapToGrid/>
              <w:spacing w:line="240" w:lineRule="auto"/>
              <w:ind w:left="0" w:leftChars="0" w:firstLine="480" w:firstLineChars="200"/>
              <w:textAlignment w:val="auto"/>
              <w:rPr>
                <w:rFonts w:hint="eastAsia" w:ascii="宋体" w:hAnsi="宋体" w:cs="宋体"/>
                <w:bCs/>
                <w:sz w:val="24"/>
                <w:szCs w:val="24"/>
                <w:lang w:val="en-US" w:eastAsia="zh-CN"/>
              </w:rPr>
            </w:pPr>
            <w:r>
              <w:rPr>
                <w:rFonts w:hint="eastAsia" w:ascii="宋体" w:hAnsi="宋体" w:cs="宋体"/>
                <w:bCs/>
                <w:sz w:val="24"/>
                <w:szCs w:val="24"/>
                <w:lang w:val="en-US" w:eastAsia="zh-CN"/>
              </w:rPr>
              <w:t>束带</w:t>
            </w:r>
          </w:p>
        </w:tc>
        <w:tc>
          <w:tcPr>
            <w:tcW w:w="1605" w:type="dxa"/>
            <w:shd w:val="clear" w:color="auto" w:fill="FFFFFF"/>
            <w:vAlign w:val="center"/>
          </w:tcPr>
          <w:p>
            <w:pPr>
              <w:keepNext w:val="0"/>
              <w:keepLines w:val="0"/>
              <w:pageBreakBefore w:val="0"/>
              <w:kinsoku/>
              <w:wordWrap/>
              <w:overflowPunct/>
              <w:topLinePunct w:val="0"/>
              <w:autoSpaceDE/>
              <w:autoSpaceDN/>
              <w:bidi w:val="0"/>
              <w:adjustRightInd/>
              <w:snapToGrid/>
              <w:spacing w:line="240" w:lineRule="auto"/>
              <w:ind w:left="0" w:leftChars="0" w:firstLine="480" w:firstLineChars="200"/>
              <w:textAlignment w:val="auto"/>
              <w:rPr>
                <w:rFonts w:hint="eastAsia" w:ascii="宋体" w:hAnsi="宋体" w:cs="宋体"/>
                <w:bCs/>
                <w:sz w:val="24"/>
                <w:szCs w:val="24"/>
                <w:lang w:val="en-US" w:eastAsia="zh-CN"/>
              </w:rPr>
            </w:pPr>
            <w:r>
              <w:rPr>
                <w:rFonts w:hint="default" w:ascii="宋体" w:hAnsi="宋体" w:cs="宋体"/>
                <w:bCs/>
                <w:sz w:val="24"/>
                <w:szCs w:val="24"/>
                <w:lang w:val="en-US" w:eastAsia="zh-CN"/>
              </w:rPr>
              <w:t>2</w:t>
            </w:r>
          </w:p>
        </w:tc>
        <w:tc>
          <w:tcPr>
            <w:tcW w:w="1284" w:type="dxa"/>
            <w:shd w:val="clear" w:color="auto" w:fill="FFFFFF"/>
            <w:vAlign w:val="center"/>
          </w:tcPr>
          <w:p>
            <w:pPr>
              <w:keepNext w:val="0"/>
              <w:keepLines w:val="0"/>
              <w:pageBreakBefore w:val="0"/>
              <w:kinsoku/>
              <w:wordWrap/>
              <w:overflowPunct/>
              <w:topLinePunct w:val="0"/>
              <w:autoSpaceDE/>
              <w:autoSpaceDN/>
              <w:bidi w:val="0"/>
              <w:adjustRightInd/>
              <w:snapToGrid/>
              <w:spacing w:line="240" w:lineRule="auto"/>
              <w:ind w:left="0" w:leftChars="0" w:firstLine="480" w:firstLineChars="200"/>
              <w:textAlignment w:val="auto"/>
              <w:rPr>
                <w:rFonts w:hint="eastAsia" w:ascii="宋体" w:hAnsi="宋体" w:cs="宋体"/>
                <w:bCs/>
                <w:sz w:val="24"/>
                <w:szCs w:val="24"/>
                <w:lang w:val="en-US" w:eastAsia="zh-CN"/>
              </w:rPr>
            </w:pPr>
            <w:r>
              <w:rPr>
                <w:rFonts w:hint="eastAsia" w:ascii="宋体" w:hAnsi="宋体" w:cs="宋体"/>
                <w:bCs/>
                <w:sz w:val="24"/>
                <w:szCs w:val="24"/>
                <w:lang w:val="en-US" w:eastAsia="zh-CN"/>
              </w:rPr>
              <w:t>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1605" w:type="dxa"/>
            <w:shd w:val="clear" w:color="auto" w:fill="FFFFFF"/>
            <w:vAlign w:val="center"/>
          </w:tcPr>
          <w:p>
            <w:pPr>
              <w:keepNext w:val="0"/>
              <w:keepLines w:val="0"/>
              <w:pageBreakBefore w:val="0"/>
              <w:kinsoku/>
              <w:wordWrap/>
              <w:overflowPunct/>
              <w:topLinePunct w:val="0"/>
              <w:autoSpaceDE/>
              <w:autoSpaceDN/>
              <w:bidi w:val="0"/>
              <w:adjustRightInd/>
              <w:snapToGrid/>
              <w:spacing w:line="240" w:lineRule="auto"/>
              <w:ind w:left="0" w:leftChars="0" w:firstLine="480" w:firstLineChars="200"/>
              <w:textAlignment w:val="auto"/>
              <w:rPr>
                <w:rFonts w:hint="eastAsia" w:ascii="宋体" w:hAnsi="宋体" w:cs="宋体"/>
                <w:bCs/>
                <w:sz w:val="24"/>
                <w:szCs w:val="24"/>
                <w:lang w:val="en-US" w:eastAsia="zh-CN"/>
              </w:rPr>
            </w:pPr>
            <w:r>
              <w:rPr>
                <w:rFonts w:hint="eastAsia" w:ascii="宋体" w:hAnsi="宋体" w:cs="宋体"/>
                <w:bCs/>
                <w:sz w:val="24"/>
                <w:szCs w:val="24"/>
                <w:lang w:val="en-US" w:eastAsia="zh-CN"/>
              </w:rPr>
              <w:t>7</w:t>
            </w:r>
          </w:p>
        </w:tc>
        <w:tc>
          <w:tcPr>
            <w:tcW w:w="3518" w:type="dxa"/>
            <w:shd w:val="clear" w:color="auto" w:fill="FFFFFF"/>
            <w:vAlign w:val="center"/>
          </w:tcPr>
          <w:p>
            <w:pPr>
              <w:keepNext w:val="0"/>
              <w:keepLines w:val="0"/>
              <w:pageBreakBefore w:val="0"/>
              <w:kinsoku/>
              <w:wordWrap/>
              <w:overflowPunct/>
              <w:topLinePunct w:val="0"/>
              <w:autoSpaceDE/>
              <w:autoSpaceDN/>
              <w:bidi w:val="0"/>
              <w:adjustRightInd/>
              <w:snapToGrid/>
              <w:spacing w:line="240" w:lineRule="auto"/>
              <w:ind w:left="0" w:leftChars="0" w:firstLine="480" w:firstLineChars="200"/>
              <w:textAlignment w:val="auto"/>
              <w:rPr>
                <w:rFonts w:hint="eastAsia" w:ascii="宋体" w:hAnsi="宋体" w:cs="宋体"/>
                <w:bCs/>
                <w:sz w:val="24"/>
                <w:szCs w:val="24"/>
                <w:lang w:val="en-US" w:eastAsia="zh-CN"/>
              </w:rPr>
            </w:pPr>
            <w:r>
              <w:rPr>
                <w:rFonts w:hint="eastAsia" w:ascii="宋体" w:hAnsi="宋体" w:cs="宋体"/>
                <w:bCs/>
                <w:sz w:val="24"/>
                <w:szCs w:val="24"/>
                <w:lang w:val="en-US" w:eastAsia="zh-CN"/>
              </w:rPr>
              <w:t>说明书</w:t>
            </w:r>
          </w:p>
        </w:tc>
        <w:tc>
          <w:tcPr>
            <w:tcW w:w="1605" w:type="dxa"/>
            <w:shd w:val="clear" w:color="auto" w:fill="FFFFFF"/>
            <w:vAlign w:val="center"/>
          </w:tcPr>
          <w:p>
            <w:pPr>
              <w:keepNext w:val="0"/>
              <w:keepLines w:val="0"/>
              <w:pageBreakBefore w:val="0"/>
              <w:kinsoku/>
              <w:wordWrap/>
              <w:overflowPunct/>
              <w:topLinePunct w:val="0"/>
              <w:autoSpaceDE/>
              <w:autoSpaceDN/>
              <w:bidi w:val="0"/>
              <w:adjustRightInd/>
              <w:snapToGrid/>
              <w:spacing w:line="240" w:lineRule="auto"/>
              <w:ind w:left="0" w:leftChars="0" w:firstLine="480" w:firstLineChars="200"/>
              <w:textAlignment w:val="auto"/>
              <w:rPr>
                <w:rFonts w:hint="eastAsia" w:ascii="宋体" w:hAnsi="宋体" w:cs="宋体"/>
                <w:bCs/>
                <w:sz w:val="24"/>
                <w:szCs w:val="24"/>
                <w:lang w:val="en-US" w:eastAsia="zh-CN"/>
              </w:rPr>
            </w:pPr>
            <w:r>
              <w:rPr>
                <w:rFonts w:hint="default" w:ascii="宋体" w:hAnsi="宋体" w:cs="宋体"/>
                <w:bCs/>
                <w:sz w:val="24"/>
                <w:szCs w:val="24"/>
                <w:lang w:val="en-US" w:eastAsia="zh-CN"/>
              </w:rPr>
              <w:t>1</w:t>
            </w:r>
          </w:p>
        </w:tc>
        <w:tc>
          <w:tcPr>
            <w:tcW w:w="1284" w:type="dxa"/>
            <w:shd w:val="clear" w:color="auto" w:fill="FFFFFF"/>
            <w:vAlign w:val="center"/>
          </w:tcPr>
          <w:p>
            <w:pPr>
              <w:keepNext w:val="0"/>
              <w:keepLines w:val="0"/>
              <w:pageBreakBefore w:val="0"/>
              <w:kinsoku/>
              <w:wordWrap/>
              <w:overflowPunct/>
              <w:topLinePunct w:val="0"/>
              <w:autoSpaceDE/>
              <w:autoSpaceDN/>
              <w:bidi w:val="0"/>
              <w:adjustRightInd/>
              <w:snapToGrid/>
              <w:spacing w:line="240" w:lineRule="auto"/>
              <w:ind w:left="0" w:leftChars="0" w:firstLine="480" w:firstLineChars="200"/>
              <w:textAlignment w:val="auto"/>
              <w:rPr>
                <w:rFonts w:hint="eastAsia" w:ascii="宋体" w:hAnsi="宋体" w:cs="宋体"/>
                <w:bCs/>
                <w:sz w:val="24"/>
                <w:szCs w:val="24"/>
                <w:lang w:val="en-US" w:eastAsia="zh-CN"/>
              </w:rPr>
            </w:pPr>
            <w:r>
              <w:rPr>
                <w:rFonts w:hint="eastAsia" w:ascii="宋体" w:hAnsi="宋体" w:cs="宋体"/>
                <w:bCs/>
                <w:sz w:val="24"/>
                <w:szCs w:val="24"/>
                <w:lang w:val="en-US" w:eastAsia="zh-CN"/>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1605" w:type="dxa"/>
            <w:shd w:val="clear" w:color="auto" w:fill="FFFFFF"/>
            <w:vAlign w:val="center"/>
          </w:tcPr>
          <w:p>
            <w:pPr>
              <w:keepNext w:val="0"/>
              <w:keepLines w:val="0"/>
              <w:pageBreakBefore w:val="0"/>
              <w:kinsoku/>
              <w:wordWrap/>
              <w:overflowPunct/>
              <w:topLinePunct w:val="0"/>
              <w:autoSpaceDE/>
              <w:autoSpaceDN/>
              <w:bidi w:val="0"/>
              <w:adjustRightInd/>
              <w:snapToGrid/>
              <w:spacing w:line="240" w:lineRule="auto"/>
              <w:ind w:left="0" w:leftChars="0" w:firstLine="480" w:firstLineChars="200"/>
              <w:textAlignment w:val="auto"/>
              <w:rPr>
                <w:rFonts w:hint="default" w:ascii="宋体" w:hAnsi="宋体" w:cs="宋体"/>
                <w:bCs/>
                <w:sz w:val="24"/>
                <w:szCs w:val="24"/>
                <w:lang w:val="en-US" w:eastAsia="zh-CN"/>
              </w:rPr>
            </w:pPr>
            <w:r>
              <w:rPr>
                <w:rFonts w:hint="eastAsia" w:ascii="宋体" w:hAnsi="宋体" w:cs="宋体"/>
                <w:bCs/>
                <w:sz w:val="24"/>
                <w:szCs w:val="24"/>
                <w:lang w:val="en-US" w:eastAsia="zh-CN"/>
              </w:rPr>
              <w:t>8</w:t>
            </w:r>
          </w:p>
        </w:tc>
        <w:tc>
          <w:tcPr>
            <w:tcW w:w="3518" w:type="dxa"/>
            <w:shd w:val="clear" w:color="auto" w:fill="FFFFFF"/>
            <w:vAlign w:val="center"/>
          </w:tcPr>
          <w:p>
            <w:pPr>
              <w:keepNext w:val="0"/>
              <w:keepLines w:val="0"/>
              <w:pageBreakBefore w:val="0"/>
              <w:kinsoku/>
              <w:wordWrap/>
              <w:overflowPunct/>
              <w:topLinePunct w:val="0"/>
              <w:autoSpaceDE/>
              <w:autoSpaceDN/>
              <w:bidi w:val="0"/>
              <w:adjustRightInd/>
              <w:snapToGrid/>
              <w:spacing w:line="240" w:lineRule="auto"/>
              <w:ind w:left="0" w:leftChars="0" w:firstLine="480" w:firstLineChars="200"/>
              <w:textAlignment w:val="auto"/>
              <w:rPr>
                <w:rFonts w:hint="eastAsia" w:ascii="宋体" w:hAnsi="宋体" w:cs="宋体"/>
                <w:bCs/>
                <w:sz w:val="24"/>
                <w:szCs w:val="24"/>
                <w:lang w:val="en-US" w:eastAsia="zh-CN"/>
              </w:rPr>
            </w:pPr>
            <w:r>
              <w:rPr>
                <w:rFonts w:hint="eastAsia" w:ascii="宋体" w:hAnsi="宋体" w:cs="宋体"/>
                <w:bCs/>
                <w:sz w:val="24"/>
                <w:szCs w:val="24"/>
                <w:lang w:val="en-US" w:eastAsia="zh-CN"/>
              </w:rPr>
              <w:t>合格证</w:t>
            </w:r>
          </w:p>
        </w:tc>
        <w:tc>
          <w:tcPr>
            <w:tcW w:w="1605" w:type="dxa"/>
            <w:shd w:val="clear" w:color="auto" w:fill="FFFFFF"/>
            <w:vAlign w:val="center"/>
          </w:tcPr>
          <w:p>
            <w:pPr>
              <w:keepNext w:val="0"/>
              <w:keepLines w:val="0"/>
              <w:pageBreakBefore w:val="0"/>
              <w:kinsoku/>
              <w:wordWrap/>
              <w:overflowPunct/>
              <w:topLinePunct w:val="0"/>
              <w:autoSpaceDE/>
              <w:autoSpaceDN/>
              <w:bidi w:val="0"/>
              <w:adjustRightInd/>
              <w:snapToGrid/>
              <w:spacing w:line="240" w:lineRule="auto"/>
              <w:ind w:left="0" w:leftChars="0" w:firstLine="480" w:firstLineChars="200"/>
              <w:textAlignment w:val="auto"/>
              <w:rPr>
                <w:rFonts w:hint="eastAsia" w:ascii="宋体" w:hAnsi="宋体" w:cs="宋体"/>
                <w:bCs/>
                <w:sz w:val="24"/>
                <w:szCs w:val="24"/>
                <w:lang w:val="en-US" w:eastAsia="zh-CN"/>
              </w:rPr>
            </w:pPr>
            <w:r>
              <w:rPr>
                <w:rFonts w:hint="default" w:ascii="宋体" w:hAnsi="宋体" w:cs="宋体"/>
                <w:bCs/>
                <w:sz w:val="24"/>
                <w:szCs w:val="24"/>
                <w:lang w:val="en-US" w:eastAsia="zh-CN"/>
              </w:rPr>
              <w:t>1</w:t>
            </w:r>
          </w:p>
        </w:tc>
        <w:tc>
          <w:tcPr>
            <w:tcW w:w="1284" w:type="dxa"/>
            <w:shd w:val="clear" w:color="auto" w:fill="FFFFFF"/>
            <w:vAlign w:val="center"/>
          </w:tcPr>
          <w:p>
            <w:pPr>
              <w:keepNext w:val="0"/>
              <w:keepLines w:val="0"/>
              <w:pageBreakBefore w:val="0"/>
              <w:kinsoku/>
              <w:wordWrap/>
              <w:overflowPunct/>
              <w:topLinePunct w:val="0"/>
              <w:autoSpaceDE/>
              <w:autoSpaceDN/>
              <w:bidi w:val="0"/>
              <w:adjustRightInd/>
              <w:snapToGrid/>
              <w:spacing w:line="240" w:lineRule="auto"/>
              <w:ind w:left="0" w:leftChars="0" w:firstLine="480" w:firstLineChars="200"/>
              <w:textAlignment w:val="auto"/>
              <w:rPr>
                <w:rFonts w:hint="default" w:ascii="宋体" w:hAnsi="宋体" w:cs="宋体"/>
                <w:bCs/>
                <w:sz w:val="24"/>
                <w:szCs w:val="24"/>
                <w:lang w:val="en-US" w:eastAsia="zh-CN"/>
              </w:rPr>
            </w:pPr>
            <w:r>
              <w:rPr>
                <w:rFonts w:hint="eastAsia" w:ascii="宋体" w:hAnsi="宋体" w:cs="宋体"/>
                <w:bCs/>
                <w:sz w:val="24"/>
                <w:szCs w:val="24"/>
                <w:lang w:val="en-US" w:eastAsia="zh-CN"/>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1605" w:type="dxa"/>
            <w:shd w:val="clear" w:color="auto" w:fill="FFFFFF"/>
            <w:vAlign w:val="center"/>
          </w:tcPr>
          <w:p>
            <w:pPr>
              <w:keepNext w:val="0"/>
              <w:keepLines w:val="0"/>
              <w:pageBreakBefore w:val="0"/>
              <w:kinsoku/>
              <w:wordWrap/>
              <w:overflowPunct/>
              <w:topLinePunct w:val="0"/>
              <w:autoSpaceDE/>
              <w:autoSpaceDN/>
              <w:bidi w:val="0"/>
              <w:adjustRightInd/>
              <w:snapToGrid/>
              <w:spacing w:line="240" w:lineRule="auto"/>
              <w:ind w:left="0" w:leftChars="0" w:firstLine="480" w:firstLineChars="200"/>
              <w:textAlignment w:val="auto"/>
              <w:rPr>
                <w:rFonts w:hint="default" w:ascii="宋体" w:hAnsi="宋体" w:cs="宋体"/>
                <w:bCs/>
                <w:sz w:val="24"/>
                <w:szCs w:val="24"/>
                <w:lang w:val="en-US" w:eastAsia="zh-CN"/>
              </w:rPr>
            </w:pPr>
            <w:r>
              <w:rPr>
                <w:rFonts w:hint="eastAsia" w:ascii="宋体" w:hAnsi="宋体" w:cs="宋体"/>
                <w:bCs/>
                <w:sz w:val="24"/>
                <w:szCs w:val="24"/>
                <w:lang w:val="en-US" w:eastAsia="zh-CN"/>
              </w:rPr>
              <w:t>9</w:t>
            </w:r>
          </w:p>
        </w:tc>
        <w:tc>
          <w:tcPr>
            <w:tcW w:w="3518" w:type="dxa"/>
            <w:shd w:val="clear" w:color="auto" w:fill="FFFFFF"/>
            <w:vAlign w:val="center"/>
          </w:tcPr>
          <w:p>
            <w:pPr>
              <w:keepNext w:val="0"/>
              <w:keepLines w:val="0"/>
              <w:pageBreakBefore w:val="0"/>
              <w:kinsoku/>
              <w:wordWrap/>
              <w:overflowPunct/>
              <w:topLinePunct w:val="0"/>
              <w:autoSpaceDE/>
              <w:autoSpaceDN/>
              <w:bidi w:val="0"/>
              <w:adjustRightInd/>
              <w:snapToGrid/>
              <w:spacing w:line="240" w:lineRule="auto"/>
              <w:ind w:left="0" w:leftChars="0" w:firstLine="480" w:firstLineChars="200"/>
              <w:textAlignment w:val="auto"/>
              <w:rPr>
                <w:rFonts w:hint="eastAsia" w:ascii="宋体" w:hAnsi="宋体" w:cs="宋体"/>
                <w:bCs/>
                <w:sz w:val="24"/>
                <w:szCs w:val="24"/>
                <w:lang w:val="en-US" w:eastAsia="zh-CN"/>
              </w:rPr>
            </w:pPr>
            <w:r>
              <w:rPr>
                <w:rFonts w:hint="eastAsia" w:ascii="宋体" w:hAnsi="宋体" w:cs="宋体"/>
                <w:bCs/>
                <w:sz w:val="24"/>
                <w:szCs w:val="24"/>
                <w:lang w:val="en-US" w:eastAsia="zh-CN"/>
              </w:rPr>
              <w:t>保修卡</w:t>
            </w:r>
          </w:p>
        </w:tc>
        <w:tc>
          <w:tcPr>
            <w:tcW w:w="1605" w:type="dxa"/>
            <w:shd w:val="clear" w:color="auto" w:fill="FFFFFF"/>
            <w:vAlign w:val="center"/>
          </w:tcPr>
          <w:p>
            <w:pPr>
              <w:keepNext w:val="0"/>
              <w:keepLines w:val="0"/>
              <w:pageBreakBefore w:val="0"/>
              <w:kinsoku/>
              <w:wordWrap/>
              <w:overflowPunct/>
              <w:topLinePunct w:val="0"/>
              <w:autoSpaceDE/>
              <w:autoSpaceDN/>
              <w:bidi w:val="0"/>
              <w:adjustRightInd/>
              <w:snapToGrid/>
              <w:spacing w:line="240" w:lineRule="auto"/>
              <w:ind w:left="0" w:leftChars="0" w:firstLine="480" w:firstLineChars="200"/>
              <w:textAlignment w:val="auto"/>
              <w:rPr>
                <w:rFonts w:hint="eastAsia" w:ascii="宋体" w:hAnsi="宋体" w:cs="宋体"/>
                <w:bCs/>
                <w:sz w:val="24"/>
                <w:szCs w:val="24"/>
                <w:lang w:val="en-US" w:eastAsia="zh-CN"/>
              </w:rPr>
            </w:pPr>
            <w:r>
              <w:rPr>
                <w:rFonts w:hint="default" w:ascii="宋体" w:hAnsi="宋体" w:cs="宋体"/>
                <w:bCs/>
                <w:sz w:val="24"/>
                <w:szCs w:val="24"/>
                <w:lang w:val="en-US" w:eastAsia="zh-CN"/>
              </w:rPr>
              <w:t>1</w:t>
            </w:r>
          </w:p>
        </w:tc>
        <w:tc>
          <w:tcPr>
            <w:tcW w:w="1284" w:type="dxa"/>
            <w:shd w:val="clear" w:color="auto" w:fill="FFFFFF"/>
            <w:vAlign w:val="center"/>
          </w:tcPr>
          <w:p>
            <w:pPr>
              <w:keepNext w:val="0"/>
              <w:keepLines w:val="0"/>
              <w:pageBreakBefore w:val="0"/>
              <w:kinsoku/>
              <w:wordWrap/>
              <w:overflowPunct/>
              <w:topLinePunct w:val="0"/>
              <w:autoSpaceDE/>
              <w:autoSpaceDN/>
              <w:bidi w:val="0"/>
              <w:adjustRightInd/>
              <w:snapToGrid/>
              <w:spacing w:line="240" w:lineRule="auto"/>
              <w:ind w:left="0" w:leftChars="0" w:firstLine="480" w:firstLineChars="200"/>
              <w:textAlignment w:val="auto"/>
              <w:rPr>
                <w:rFonts w:hint="default" w:ascii="宋体" w:hAnsi="宋体" w:cs="宋体"/>
                <w:bCs/>
                <w:sz w:val="24"/>
                <w:szCs w:val="24"/>
                <w:lang w:val="en-US" w:eastAsia="zh-CN"/>
              </w:rPr>
            </w:pPr>
            <w:r>
              <w:rPr>
                <w:rFonts w:hint="eastAsia" w:ascii="宋体" w:hAnsi="宋体" w:cs="宋体"/>
                <w:bCs/>
                <w:sz w:val="24"/>
                <w:szCs w:val="24"/>
                <w:lang w:val="en-US" w:eastAsia="zh-CN"/>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1605" w:type="dxa"/>
            <w:shd w:val="clear" w:color="auto" w:fill="FFFFFF"/>
            <w:vAlign w:val="center"/>
          </w:tcPr>
          <w:p>
            <w:pPr>
              <w:keepNext w:val="0"/>
              <w:keepLines w:val="0"/>
              <w:pageBreakBefore w:val="0"/>
              <w:kinsoku/>
              <w:wordWrap/>
              <w:overflowPunct/>
              <w:topLinePunct w:val="0"/>
              <w:autoSpaceDE/>
              <w:autoSpaceDN/>
              <w:bidi w:val="0"/>
              <w:adjustRightInd/>
              <w:snapToGrid/>
              <w:spacing w:line="240" w:lineRule="auto"/>
              <w:ind w:left="0" w:leftChars="0" w:firstLine="480" w:firstLineChars="200"/>
              <w:textAlignment w:val="auto"/>
              <w:rPr>
                <w:rFonts w:hint="default" w:ascii="宋体" w:hAnsi="宋体" w:cs="宋体"/>
                <w:bCs/>
                <w:sz w:val="24"/>
                <w:szCs w:val="24"/>
                <w:lang w:val="en-US" w:eastAsia="zh-CN"/>
              </w:rPr>
            </w:pPr>
            <w:r>
              <w:rPr>
                <w:rFonts w:hint="eastAsia" w:ascii="宋体" w:hAnsi="宋体" w:cs="宋体"/>
                <w:bCs/>
                <w:sz w:val="24"/>
                <w:szCs w:val="24"/>
                <w:lang w:val="en-US" w:eastAsia="zh-CN"/>
              </w:rPr>
              <w:t>10</w:t>
            </w:r>
          </w:p>
        </w:tc>
        <w:tc>
          <w:tcPr>
            <w:tcW w:w="3518" w:type="dxa"/>
            <w:shd w:val="clear" w:color="auto" w:fill="FFFFFF"/>
            <w:vAlign w:val="center"/>
          </w:tcPr>
          <w:p>
            <w:pPr>
              <w:keepNext w:val="0"/>
              <w:keepLines w:val="0"/>
              <w:pageBreakBefore w:val="0"/>
              <w:kinsoku/>
              <w:wordWrap/>
              <w:overflowPunct/>
              <w:topLinePunct w:val="0"/>
              <w:autoSpaceDE/>
              <w:autoSpaceDN/>
              <w:bidi w:val="0"/>
              <w:adjustRightInd/>
              <w:snapToGrid/>
              <w:spacing w:line="240" w:lineRule="auto"/>
              <w:ind w:left="0" w:leftChars="0" w:firstLine="480" w:firstLineChars="200"/>
              <w:textAlignment w:val="auto"/>
              <w:rPr>
                <w:rFonts w:hint="eastAsia" w:ascii="宋体" w:hAnsi="宋体" w:cs="宋体"/>
                <w:bCs/>
                <w:sz w:val="24"/>
                <w:szCs w:val="24"/>
                <w:lang w:val="en-US" w:eastAsia="zh-CN"/>
              </w:rPr>
            </w:pPr>
            <w:r>
              <w:rPr>
                <w:rFonts w:hint="eastAsia" w:ascii="宋体" w:hAnsi="宋体" w:cs="宋体"/>
                <w:bCs/>
                <w:sz w:val="24"/>
                <w:szCs w:val="24"/>
                <w:lang w:val="en-US" w:eastAsia="zh-CN"/>
              </w:rPr>
              <w:t>操作步骤卡</w:t>
            </w:r>
          </w:p>
        </w:tc>
        <w:tc>
          <w:tcPr>
            <w:tcW w:w="1605" w:type="dxa"/>
            <w:shd w:val="clear" w:color="auto" w:fill="FFFFFF"/>
            <w:vAlign w:val="center"/>
          </w:tcPr>
          <w:p>
            <w:pPr>
              <w:keepNext w:val="0"/>
              <w:keepLines w:val="0"/>
              <w:pageBreakBefore w:val="0"/>
              <w:kinsoku/>
              <w:wordWrap/>
              <w:overflowPunct/>
              <w:topLinePunct w:val="0"/>
              <w:autoSpaceDE/>
              <w:autoSpaceDN/>
              <w:bidi w:val="0"/>
              <w:adjustRightInd/>
              <w:snapToGrid/>
              <w:spacing w:line="240" w:lineRule="auto"/>
              <w:ind w:left="0" w:leftChars="0" w:firstLine="480" w:firstLineChars="200"/>
              <w:textAlignment w:val="auto"/>
              <w:rPr>
                <w:rFonts w:hint="default" w:ascii="宋体" w:hAnsi="宋体" w:cs="宋体"/>
                <w:bCs/>
                <w:sz w:val="24"/>
                <w:szCs w:val="24"/>
                <w:lang w:val="en-US" w:eastAsia="zh-CN"/>
              </w:rPr>
            </w:pPr>
            <w:r>
              <w:rPr>
                <w:rFonts w:hint="default" w:ascii="宋体" w:hAnsi="宋体" w:cs="宋体"/>
                <w:bCs/>
                <w:sz w:val="24"/>
                <w:szCs w:val="24"/>
                <w:lang w:val="en-US" w:eastAsia="zh-CN"/>
              </w:rPr>
              <w:t>1</w:t>
            </w:r>
          </w:p>
        </w:tc>
        <w:tc>
          <w:tcPr>
            <w:tcW w:w="1284" w:type="dxa"/>
            <w:shd w:val="clear" w:color="auto" w:fill="FFFFFF"/>
            <w:vAlign w:val="center"/>
          </w:tcPr>
          <w:p>
            <w:pPr>
              <w:keepNext w:val="0"/>
              <w:keepLines w:val="0"/>
              <w:pageBreakBefore w:val="0"/>
              <w:kinsoku/>
              <w:wordWrap/>
              <w:overflowPunct/>
              <w:topLinePunct w:val="0"/>
              <w:autoSpaceDE/>
              <w:autoSpaceDN/>
              <w:bidi w:val="0"/>
              <w:adjustRightInd/>
              <w:snapToGrid/>
              <w:spacing w:line="240" w:lineRule="auto"/>
              <w:ind w:left="0" w:leftChars="0" w:firstLine="480" w:firstLineChars="200"/>
              <w:textAlignment w:val="auto"/>
              <w:rPr>
                <w:rFonts w:hint="eastAsia" w:ascii="宋体" w:hAnsi="宋体" w:cs="宋体"/>
                <w:bCs/>
                <w:sz w:val="24"/>
                <w:szCs w:val="24"/>
                <w:lang w:val="en-US" w:eastAsia="zh-CN"/>
              </w:rPr>
            </w:pPr>
            <w:r>
              <w:rPr>
                <w:rFonts w:hint="eastAsia" w:ascii="宋体" w:hAnsi="宋体" w:cs="宋体"/>
                <w:bCs/>
                <w:sz w:val="24"/>
                <w:szCs w:val="24"/>
                <w:lang w:val="en-US" w:eastAsia="zh-CN"/>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1605" w:type="dxa"/>
            <w:shd w:val="clear" w:color="auto" w:fill="FFFFFF"/>
            <w:vAlign w:val="center"/>
          </w:tcPr>
          <w:p>
            <w:pPr>
              <w:keepNext w:val="0"/>
              <w:keepLines w:val="0"/>
              <w:pageBreakBefore w:val="0"/>
              <w:kinsoku/>
              <w:wordWrap/>
              <w:overflowPunct/>
              <w:topLinePunct w:val="0"/>
              <w:autoSpaceDE/>
              <w:autoSpaceDN/>
              <w:bidi w:val="0"/>
              <w:adjustRightInd/>
              <w:snapToGrid/>
              <w:spacing w:line="240" w:lineRule="auto"/>
              <w:ind w:left="0" w:leftChars="0" w:firstLine="480" w:firstLineChars="200"/>
              <w:textAlignment w:val="auto"/>
              <w:rPr>
                <w:rFonts w:hint="default" w:ascii="宋体" w:hAnsi="宋体" w:cs="宋体"/>
                <w:bCs/>
                <w:sz w:val="24"/>
                <w:szCs w:val="24"/>
                <w:lang w:val="en-US" w:eastAsia="zh-CN"/>
              </w:rPr>
            </w:pPr>
            <w:r>
              <w:rPr>
                <w:rFonts w:hint="eastAsia" w:ascii="宋体" w:hAnsi="宋体" w:cs="宋体"/>
                <w:bCs/>
                <w:sz w:val="24"/>
                <w:szCs w:val="24"/>
                <w:lang w:val="en-US" w:eastAsia="zh-CN"/>
              </w:rPr>
              <w:t>11</w:t>
            </w:r>
          </w:p>
        </w:tc>
        <w:tc>
          <w:tcPr>
            <w:tcW w:w="3518" w:type="dxa"/>
            <w:shd w:val="clear" w:color="auto" w:fill="FFFFFF"/>
            <w:vAlign w:val="center"/>
          </w:tcPr>
          <w:p>
            <w:pPr>
              <w:keepNext w:val="0"/>
              <w:keepLines w:val="0"/>
              <w:pageBreakBefore w:val="0"/>
              <w:kinsoku/>
              <w:wordWrap/>
              <w:overflowPunct/>
              <w:topLinePunct w:val="0"/>
              <w:autoSpaceDE/>
              <w:autoSpaceDN/>
              <w:bidi w:val="0"/>
              <w:adjustRightInd/>
              <w:snapToGrid/>
              <w:spacing w:line="240" w:lineRule="auto"/>
              <w:ind w:left="0" w:leftChars="0" w:firstLine="480" w:firstLineChars="200"/>
              <w:textAlignment w:val="auto"/>
              <w:rPr>
                <w:rFonts w:hint="eastAsia" w:ascii="宋体" w:hAnsi="宋体" w:cs="宋体"/>
                <w:bCs/>
                <w:sz w:val="24"/>
                <w:szCs w:val="24"/>
                <w:lang w:val="en-US" w:eastAsia="zh-CN"/>
              </w:rPr>
            </w:pPr>
            <w:r>
              <w:rPr>
                <w:rFonts w:hint="eastAsia" w:ascii="宋体" w:hAnsi="宋体" w:cs="宋体"/>
                <w:bCs/>
                <w:sz w:val="24"/>
                <w:szCs w:val="24"/>
                <w:lang w:val="en-US" w:eastAsia="zh-CN"/>
              </w:rPr>
              <w:t>台车</w:t>
            </w:r>
          </w:p>
        </w:tc>
        <w:tc>
          <w:tcPr>
            <w:tcW w:w="1605" w:type="dxa"/>
            <w:shd w:val="clear" w:color="auto" w:fill="FFFFFF"/>
            <w:vAlign w:val="center"/>
          </w:tcPr>
          <w:p>
            <w:pPr>
              <w:keepNext w:val="0"/>
              <w:keepLines w:val="0"/>
              <w:pageBreakBefore w:val="0"/>
              <w:kinsoku/>
              <w:wordWrap/>
              <w:overflowPunct/>
              <w:topLinePunct w:val="0"/>
              <w:autoSpaceDE/>
              <w:autoSpaceDN/>
              <w:bidi w:val="0"/>
              <w:adjustRightInd/>
              <w:snapToGrid/>
              <w:spacing w:line="240" w:lineRule="auto"/>
              <w:ind w:left="0" w:leftChars="0" w:firstLine="480" w:firstLineChars="200"/>
              <w:textAlignment w:val="auto"/>
              <w:rPr>
                <w:rFonts w:hint="default" w:ascii="宋体" w:hAnsi="宋体" w:cs="宋体"/>
                <w:bCs/>
                <w:sz w:val="24"/>
                <w:szCs w:val="24"/>
                <w:lang w:val="en-US" w:eastAsia="zh-CN"/>
              </w:rPr>
            </w:pPr>
            <w:r>
              <w:rPr>
                <w:rFonts w:hint="eastAsia" w:ascii="宋体" w:hAnsi="宋体" w:cs="宋体"/>
                <w:bCs/>
                <w:sz w:val="24"/>
                <w:szCs w:val="24"/>
                <w:lang w:val="en-US" w:eastAsia="zh-CN"/>
              </w:rPr>
              <w:t>1</w:t>
            </w:r>
          </w:p>
        </w:tc>
        <w:tc>
          <w:tcPr>
            <w:tcW w:w="1284" w:type="dxa"/>
            <w:shd w:val="clear" w:color="auto" w:fill="FFFFFF"/>
            <w:vAlign w:val="center"/>
          </w:tcPr>
          <w:p>
            <w:pPr>
              <w:keepNext w:val="0"/>
              <w:keepLines w:val="0"/>
              <w:pageBreakBefore w:val="0"/>
              <w:kinsoku/>
              <w:wordWrap/>
              <w:overflowPunct/>
              <w:topLinePunct w:val="0"/>
              <w:autoSpaceDE/>
              <w:autoSpaceDN/>
              <w:bidi w:val="0"/>
              <w:adjustRightInd/>
              <w:snapToGrid/>
              <w:spacing w:line="240" w:lineRule="auto"/>
              <w:ind w:left="0" w:leftChars="0" w:firstLine="480" w:firstLineChars="200"/>
              <w:textAlignment w:val="auto"/>
              <w:rPr>
                <w:rFonts w:hint="eastAsia" w:ascii="宋体" w:hAnsi="宋体" w:cs="宋体"/>
                <w:bCs/>
                <w:sz w:val="24"/>
                <w:szCs w:val="24"/>
                <w:lang w:val="en-US" w:eastAsia="zh-CN"/>
              </w:rPr>
            </w:pPr>
            <w:r>
              <w:rPr>
                <w:rFonts w:hint="eastAsia" w:ascii="宋体" w:hAnsi="宋体" w:cs="宋体"/>
                <w:bCs/>
                <w:sz w:val="24"/>
                <w:szCs w:val="24"/>
                <w:lang w:val="en-US" w:eastAsia="zh-CN"/>
              </w:rPr>
              <w:t>台</w:t>
            </w:r>
          </w:p>
        </w:tc>
      </w:tr>
    </w:tbl>
    <w:p>
      <w:pPr>
        <w:pStyle w:val="2"/>
        <w:rPr>
          <w:rFonts w:hint="eastAsia"/>
          <w:lang w:val="en-US" w:eastAsia="zh-CN"/>
        </w:rPr>
      </w:pPr>
    </w:p>
    <w:p>
      <w:pPr>
        <w:ind w:firstLine="482" w:firstLineChars="200"/>
        <w:rPr>
          <w:rFonts w:hint="eastAsia" w:asciiTheme="minorEastAsia" w:hAnsiTheme="minorEastAsia" w:eastAsiaTheme="minorEastAsia" w:cstheme="minorEastAsia"/>
          <w:b/>
          <w:bCs w:val="0"/>
          <w:color w:val="auto"/>
          <w:kern w:val="0"/>
          <w:sz w:val="24"/>
          <w:szCs w:val="24"/>
          <w:lang w:val="en-US" w:eastAsia="zh-CN" w:bidi="ar-SA"/>
        </w:rPr>
      </w:pPr>
    </w:p>
    <w:p>
      <w:pPr>
        <w:ind w:firstLine="482" w:firstLineChars="200"/>
        <w:rPr>
          <w:rFonts w:hint="eastAsia" w:asciiTheme="minorEastAsia" w:hAnsiTheme="minorEastAsia" w:eastAsiaTheme="minorEastAsia" w:cstheme="minorEastAsia"/>
          <w:b/>
          <w:bCs w:val="0"/>
          <w:color w:val="auto"/>
          <w:kern w:val="0"/>
          <w:sz w:val="24"/>
          <w:szCs w:val="24"/>
          <w:lang w:val="en-US" w:eastAsia="zh-CN" w:bidi="ar-SA"/>
        </w:rPr>
      </w:pPr>
    </w:p>
    <w:p>
      <w:pPr>
        <w:ind w:firstLine="482" w:firstLineChars="200"/>
        <w:rPr>
          <w:rFonts w:hint="eastAsia" w:asciiTheme="minorEastAsia" w:hAnsiTheme="minorEastAsia" w:eastAsiaTheme="minorEastAsia" w:cstheme="minorEastAsia"/>
          <w:b/>
          <w:bCs w:val="0"/>
          <w:color w:val="auto"/>
          <w:kern w:val="0"/>
          <w:sz w:val="24"/>
          <w:szCs w:val="24"/>
          <w:lang w:val="en-US" w:eastAsia="zh-CN" w:bidi="ar-SA"/>
        </w:rPr>
      </w:pPr>
    </w:p>
    <w:p>
      <w:pPr>
        <w:ind w:firstLine="482" w:firstLineChars="200"/>
        <w:rPr>
          <w:rFonts w:hint="eastAsia" w:asciiTheme="minorEastAsia" w:hAnsiTheme="minorEastAsia" w:eastAsiaTheme="minorEastAsia" w:cstheme="minorEastAsia"/>
          <w:b/>
          <w:bCs w:val="0"/>
          <w:color w:val="auto"/>
          <w:kern w:val="0"/>
          <w:sz w:val="24"/>
          <w:szCs w:val="24"/>
          <w:lang w:val="en-US" w:eastAsia="zh-CN" w:bidi="ar-SA"/>
        </w:rPr>
      </w:pPr>
    </w:p>
    <w:p>
      <w:pPr>
        <w:ind w:firstLine="482" w:firstLineChars="200"/>
        <w:rPr>
          <w:rFonts w:hint="eastAsia" w:asciiTheme="minorEastAsia" w:hAnsiTheme="minorEastAsia" w:eastAsiaTheme="minorEastAsia" w:cstheme="minorEastAsia"/>
          <w:b/>
          <w:bCs w:val="0"/>
          <w:color w:val="auto"/>
          <w:kern w:val="0"/>
          <w:sz w:val="24"/>
          <w:szCs w:val="24"/>
          <w:lang w:val="en-US" w:eastAsia="zh-CN" w:bidi="ar-SA"/>
        </w:rPr>
      </w:pPr>
    </w:p>
    <w:p>
      <w:pPr>
        <w:ind w:firstLine="482" w:firstLineChars="200"/>
        <w:rPr>
          <w:rFonts w:hint="eastAsia" w:asciiTheme="minorEastAsia" w:hAnsiTheme="minorEastAsia" w:eastAsiaTheme="minorEastAsia" w:cstheme="minorEastAsia"/>
          <w:b/>
          <w:bCs w:val="0"/>
          <w:color w:val="auto"/>
          <w:kern w:val="0"/>
          <w:sz w:val="24"/>
          <w:szCs w:val="24"/>
          <w:lang w:val="en-US" w:eastAsia="zh-CN" w:bidi="ar-SA"/>
        </w:rPr>
      </w:pPr>
    </w:p>
    <w:p>
      <w:pPr>
        <w:ind w:firstLine="482" w:firstLineChars="200"/>
        <w:rPr>
          <w:rFonts w:hint="eastAsia"/>
          <w:lang w:val="en-US" w:eastAsia="zh-CN"/>
        </w:rPr>
      </w:pPr>
      <w:r>
        <w:rPr>
          <w:rFonts w:hint="eastAsia" w:asciiTheme="minorEastAsia" w:hAnsiTheme="minorEastAsia" w:eastAsiaTheme="minorEastAsia" w:cstheme="minorEastAsia"/>
          <w:b/>
          <w:bCs w:val="0"/>
          <w:color w:val="auto"/>
          <w:kern w:val="0"/>
          <w:sz w:val="24"/>
          <w:szCs w:val="24"/>
          <w:lang w:val="en-US" w:eastAsia="zh-CN" w:bidi="ar-SA"/>
        </w:rPr>
        <w:t>商务参数：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*1、运输、装卸、培训、安装调试：由中标人负责承担，最终通过使用科室、设备科及相关部门确认验收交付使用。</w:t>
      </w:r>
      <w:r>
        <w:rPr>
          <w:rFonts w:hint="eastAsia" w:ascii="宋体" w:hAnsi="宋体" w:eastAsia="宋体" w:cs="宋体"/>
          <w:color w:val="auto"/>
          <w:sz w:val="24"/>
          <w:szCs w:val="24"/>
        </w:rPr>
        <w:cr/>
      </w: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rPr>
        <w:t>*2、交货时间：按</w:t>
      </w:r>
      <w:r>
        <w:rPr>
          <w:rFonts w:hint="eastAsia" w:ascii="宋体" w:hAnsi="宋体" w:cs="宋体"/>
          <w:color w:val="auto"/>
          <w:sz w:val="24"/>
          <w:szCs w:val="24"/>
          <w:lang w:val="en-US" w:eastAsia="zh-CN"/>
        </w:rPr>
        <w:t>合同约定的日期交货。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w:t>
      </w: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、交货地点：娄底市中心医院</w:t>
      </w:r>
      <w:r>
        <w:rPr>
          <w:rFonts w:hint="eastAsia" w:ascii="宋体" w:hAnsi="宋体" w:cs="宋体"/>
          <w:color w:val="auto"/>
          <w:sz w:val="24"/>
          <w:szCs w:val="24"/>
          <w:lang w:val="en-US" w:eastAsia="zh-CN"/>
        </w:rPr>
        <w:t>指定地点</w:t>
      </w:r>
      <w:r>
        <w:rPr>
          <w:rFonts w:hint="eastAsia" w:ascii="宋体" w:hAnsi="宋体" w:eastAsia="宋体" w:cs="宋体"/>
          <w:color w:val="auto"/>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w:t>
      </w: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、付款方式：设备验收合格后，供应商将发票交到娄底市中心医院后按程序支付货款90%（按医院财务制度一般情况下4个月内支付、特殊情况下最多不超过6个月），甲方在设备验收合格</w:t>
      </w:r>
      <w:r>
        <w:rPr>
          <w:rFonts w:hint="eastAsia" w:ascii="宋体" w:hAnsi="宋体" w:eastAsia="宋体" w:cs="宋体"/>
          <w:color w:val="auto"/>
          <w:sz w:val="24"/>
          <w:szCs w:val="24"/>
          <w:lang w:val="en-US" w:eastAsia="zh-CN"/>
        </w:rPr>
        <w:t>满</w:t>
      </w:r>
      <w:r>
        <w:rPr>
          <w:rFonts w:hint="eastAsia" w:ascii="宋体" w:hAnsi="宋体" w:cs="宋体"/>
          <w:color w:val="auto"/>
          <w:sz w:val="24"/>
          <w:szCs w:val="24"/>
          <w:u w:val="none"/>
          <w:lang w:val="en-US" w:eastAsia="zh-CN"/>
        </w:rPr>
        <w:t>2年</w:t>
      </w:r>
      <w:r>
        <w:rPr>
          <w:rFonts w:hint="eastAsia" w:ascii="宋体" w:hAnsi="宋体" w:eastAsia="宋体" w:cs="宋体"/>
          <w:color w:val="auto"/>
          <w:sz w:val="24"/>
          <w:szCs w:val="24"/>
        </w:rPr>
        <w:t>后支付10%余款给乙方。</w:t>
      </w:r>
      <w:r>
        <w:rPr>
          <w:rFonts w:hint="eastAsia" w:ascii="宋体" w:hAnsi="宋体" w:eastAsia="宋体" w:cs="宋体"/>
          <w:color w:val="auto"/>
          <w:sz w:val="24"/>
          <w:szCs w:val="24"/>
        </w:rPr>
        <w:cr/>
      </w:r>
      <w:r>
        <w:rPr>
          <w:rFonts w:hint="eastAsia" w:ascii="宋体" w:hAnsi="宋体" w:eastAsia="宋体" w:cs="宋体"/>
          <w:color w:val="auto"/>
          <w:sz w:val="24"/>
          <w:szCs w:val="24"/>
        </w:rPr>
        <w:t>*5、质保与售后：整机保修</w:t>
      </w:r>
      <w:r>
        <w:rPr>
          <w:rFonts w:hint="eastAsia" w:ascii="宋体" w:hAnsi="宋体" w:cs="宋体"/>
          <w:color w:val="auto"/>
          <w:sz w:val="24"/>
          <w:szCs w:val="24"/>
          <w:lang w:val="en-US" w:eastAsia="zh-CN"/>
        </w:rPr>
        <w:t>2</w:t>
      </w:r>
      <w:r>
        <w:rPr>
          <w:rFonts w:hint="eastAsia" w:ascii="宋体" w:hAnsi="宋体" w:eastAsia="宋体" w:cs="宋体"/>
          <w:color w:val="auto"/>
          <w:sz w:val="24"/>
          <w:szCs w:val="24"/>
        </w:rPr>
        <w:t>年，终身维修。</w:t>
      </w:r>
      <w:r>
        <w:rPr>
          <w:rFonts w:hint="eastAsia" w:ascii="宋体" w:hAnsi="宋体" w:cs="宋体"/>
          <w:color w:val="auto"/>
          <w:sz w:val="24"/>
          <w:szCs w:val="24"/>
          <w:lang w:val="en-US" w:eastAsia="zh-CN"/>
        </w:rPr>
        <w:t>验收时</w:t>
      </w:r>
      <w:r>
        <w:rPr>
          <w:rFonts w:hint="eastAsia" w:ascii="宋体" w:hAnsi="宋体" w:eastAsia="宋体" w:cs="宋体"/>
          <w:color w:val="auto"/>
          <w:sz w:val="24"/>
          <w:szCs w:val="24"/>
        </w:rPr>
        <w:t>出具原厂售后质保承诺书，质保期内每年巡检</w:t>
      </w:r>
      <w:r>
        <w:rPr>
          <w:rFonts w:hint="eastAsia" w:ascii="宋体" w:hAnsi="宋体" w:cs="宋体"/>
          <w:color w:val="auto"/>
          <w:sz w:val="24"/>
          <w:szCs w:val="24"/>
          <w:lang w:val="en-US" w:eastAsia="zh-CN"/>
        </w:rPr>
        <w:t>一</w:t>
      </w:r>
      <w:r>
        <w:rPr>
          <w:rFonts w:hint="eastAsia" w:ascii="宋体" w:hAnsi="宋体" w:eastAsia="宋体" w:cs="宋体"/>
          <w:color w:val="auto"/>
          <w:sz w:val="24"/>
          <w:szCs w:val="24"/>
        </w:rPr>
        <w:t>次</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并提交巡检记录</w:t>
      </w:r>
      <w:r>
        <w:rPr>
          <w:rFonts w:hint="eastAsia" w:ascii="宋体" w:hAnsi="宋体" w:eastAsia="宋体" w:cs="宋体"/>
          <w:color w:val="auto"/>
          <w:sz w:val="24"/>
          <w:szCs w:val="24"/>
        </w:rPr>
        <w:t>。</w:t>
      </w:r>
      <w:r>
        <w:rPr>
          <w:rFonts w:hint="eastAsia" w:ascii="宋体" w:hAnsi="宋体" w:eastAsia="宋体" w:cs="宋体"/>
          <w:color w:val="auto"/>
          <w:sz w:val="24"/>
          <w:szCs w:val="24"/>
          <w:lang w:val="zh-CN" w:eastAsia="zh-CN"/>
        </w:rPr>
        <w:t>质保期内</w:t>
      </w:r>
      <w:r>
        <w:rPr>
          <w:rFonts w:hint="eastAsia" w:ascii="宋体" w:hAnsi="宋体" w:cs="宋体"/>
          <w:color w:val="auto"/>
          <w:sz w:val="24"/>
          <w:szCs w:val="24"/>
          <w:lang w:val="en-US" w:eastAsia="zh-CN"/>
        </w:rPr>
        <w:t>出现故障</w:t>
      </w:r>
      <w:r>
        <w:rPr>
          <w:rFonts w:hint="eastAsia" w:ascii="宋体" w:hAnsi="宋体" w:eastAsia="宋体" w:cs="宋体"/>
          <w:color w:val="auto"/>
          <w:sz w:val="24"/>
          <w:szCs w:val="24"/>
          <w:lang w:val="en-US" w:eastAsia="zh-CN"/>
        </w:rPr>
        <w:t>，24小时响应，响应后4小时上门服务</w:t>
      </w:r>
      <w:r>
        <w:rPr>
          <w:rFonts w:hint="eastAsia" w:ascii="宋体" w:hAnsi="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*6、在投标文件中必须提供相关佐证资料（加盖原厂公章的技术参数、技术白皮书、说明书、彩页），并在响应表中备注该条参数响应或正偏离的佐证资料所在页码。</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1、封面：需注明标的名称、投标文件、单位、时间；</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三证合一”或“五证合一”营业执照，医疗器械经营许可证或医疗器械经营备案凭证（按法律规定提供证件）、生产厂家营业执照、生产许可证（如按法律规定需提供）、产品注册证（如按法律规定需提供）；</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3、投标人身份证复印件；</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5、履行本项目所必需的资质证明；</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6、针对此项目的技术、服务方案；</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7、投标人认为需提供的其他和评审有关的资料；</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8、投标文件的每一页都必须加盖投标单位的公章；</w:t>
      </w:r>
    </w:p>
    <w:p>
      <w:pPr>
        <w:spacing w:line="360" w:lineRule="auto"/>
        <w:ind w:firstLine="480" w:firstLineChars="200"/>
        <w:rPr>
          <w:rFonts w:hint="default"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9、投标文件参数响应表中必须标注响应项佐证材料所对应页面。</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10、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四、合同</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color w:val="auto"/>
          <w:sz w:val="24"/>
          <w:szCs w:val="24"/>
          <w:lang w:val="en-US" w:eastAsia="zh-CN"/>
        </w:rPr>
      </w:pPr>
      <w:r>
        <w:rPr>
          <w:rFonts w:hint="eastAsia" w:ascii="黑体" w:hAnsi="黑体" w:eastAsia="黑体" w:cs="黑体"/>
          <w:color w:val="auto"/>
          <w:sz w:val="44"/>
          <w:szCs w:val="44"/>
          <w:lang w:val="en-US" w:eastAsia="zh-CN"/>
        </w:rPr>
        <w:t>医疗设备采购合同</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甲方（采购方）：</w:t>
      </w:r>
      <w:r>
        <w:rPr>
          <w:rFonts w:hint="eastAsia" w:ascii="宋体" w:hAnsi="宋体" w:eastAsia="宋体" w:cs="宋体"/>
          <w:color w:val="auto"/>
          <w:sz w:val="24"/>
          <w:szCs w:val="24"/>
          <w:lang w:val="en-US" w:eastAsia="zh-CN"/>
        </w:rPr>
        <w:t>娄底市中心医院</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法定代表人：李红辉</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统一社会信用代码：12431300447162073W</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地址：湖南省娄底市娄星区长青中街51号</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联系人：朱振宇</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联系电话：15673845559</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乙方（供货方）：</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w:t>
      </w:r>
    </w:p>
    <w:p>
      <w:pPr>
        <w:keepNext w:val="0"/>
        <w:keepLines w:val="0"/>
        <w:pageBreakBefore w:val="0"/>
        <w:widowControl/>
        <w:kinsoku/>
        <w:wordWrap/>
        <w:overflowPunct/>
        <w:topLinePunct w:val="0"/>
        <w:autoSpaceDE/>
        <w:autoSpaceDN/>
        <w:bidi w:val="0"/>
        <w:adjustRightInd/>
        <w:snapToGrid/>
        <w:spacing w:line="480" w:lineRule="exact"/>
        <w:ind w:left="5040" w:hanging="4320" w:hangingChars="1800"/>
        <w:jc w:val="lef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甲方通过</w:t>
      </w:r>
      <w:r>
        <w:rPr>
          <w:rFonts w:hint="eastAsia" w:ascii="宋体" w:hAnsi="宋体" w:eastAsia="宋体" w:cs="宋体"/>
          <w:color w:val="auto"/>
          <w:sz w:val="24"/>
          <w:szCs w:val="24"/>
          <w:u w:val="single"/>
          <w:lang w:val="en-US" w:eastAsia="zh-CN"/>
        </w:rPr>
        <w:t>院内议价</w:t>
      </w:r>
      <w:r>
        <w:rPr>
          <w:rFonts w:hint="eastAsia" w:ascii="宋体" w:hAnsi="宋体" w:eastAsia="宋体" w:cs="宋体"/>
          <w:color w:val="auto"/>
          <w:sz w:val="24"/>
          <w:szCs w:val="24"/>
          <w:lang w:val="en-US" w:eastAsia="zh-CN"/>
        </w:rPr>
        <w:t>采购</w:t>
      </w:r>
      <w:r>
        <w:rPr>
          <w:rFonts w:hint="eastAsia" w:ascii="宋体" w:hAnsi="宋体" w:eastAsia="宋体" w:cs="宋体"/>
          <w:color w:val="auto"/>
          <w:sz w:val="24"/>
          <w:szCs w:val="24"/>
          <w:u w:val="single"/>
          <w:lang w:val="en-US" w:eastAsia="zh-CN"/>
        </w:rPr>
        <w:t xml:space="preserve">  振荡排痰仪</w:t>
      </w:r>
      <w:r>
        <w:rPr>
          <w:rFonts w:hint="eastAsia" w:ascii="宋体" w:hAnsi="宋体" w:eastAsia="宋体" w:cs="宋体"/>
          <w:color w:val="auto"/>
          <w:sz w:val="24"/>
          <w:szCs w:val="24"/>
          <w:lang w:val="en-US" w:eastAsia="zh-CN"/>
        </w:rPr>
        <w:t>，乙方为成交供应商。根据《中华人民共和国民法典》《中华人民共和国政府采购法》等相关法律规定，甲乙双方在采购项目确定的基础上，就采购</w:t>
      </w:r>
      <w:r>
        <w:rPr>
          <w:rFonts w:hint="eastAsia" w:ascii="宋体" w:hAnsi="宋体" w:eastAsia="宋体" w:cs="宋体"/>
          <w:color w:val="auto"/>
          <w:sz w:val="24"/>
          <w:szCs w:val="24"/>
          <w:u w:val="single"/>
          <w:lang w:val="en-US" w:eastAsia="zh-CN"/>
        </w:rPr>
        <w:t>振荡排痰仪</w:t>
      </w:r>
      <w:r>
        <w:rPr>
          <w:rFonts w:hint="eastAsia" w:ascii="宋体" w:hAnsi="宋体" w:eastAsia="宋体" w:cs="宋体"/>
          <w:color w:val="auto"/>
          <w:sz w:val="24"/>
          <w:szCs w:val="24"/>
          <w:lang w:val="en-US" w:eastAsia="zh-CN"/>
        </w:rPr>
        <w:t>事宜平等、自愿、公平、诚信协商，达成一致，特订立本合同，以资共同遵守。</w:t>
      </w:r>
    </w:p>
    <w:p>
      <w:pPr>
        <w:keepNext w:val="0"/>
        <w:keepLines w:val="0"/>
        <w:pageBreakBefore w:val="0"/>
        <w:widowControl w:val="0"/>
        <w:numPr>
          <w:ilvl w:val="0"/>
          <w:numId w:val="3"/>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采购内容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  设备名称、品牌、型号、价格</w:t>
      </w:r>
      <w:bookmarkStart w:id="5" w:name="_GoBack"/>
      <w:bookmarkEnd w:id="5"/>
    </w:p>
    <w:tbl>
      <w:tblPr>
        <w:tblStyle w:val="10"/>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设备</w:t>
            </w:r>
            <w:r>
              <w:rPr>
                <w:rFonts w:hint="eastAsia" w:ascii="宋体" w:hAnsi="宋体" w:eastAsia="宋体" w:cs="宋体"/>
                <w:color w:val="000000" w:themeColor="text1"/>
                <w:kern w:val="0"/>
                <w:sz w:val="24"/>
                <w:szCs w:val="24"/>
                <w14:textFill>
                  <w14:solidFill>
                    <w14:schemeClr w14:val="tx1"/>
                  </w14:solidFill>
                </w14:textFill>
              </w:rPr>
              <w:t>名称</w:t>
            </w:r>
          </w:p>
        </w:tc>
        <w:tc>
          <w:tcPr>
            <w:tcW w:w="12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品牌</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型号</w:t>
            </w: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单价（元）</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数量</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振荡排痰仪</w:t>
            </w:r>
          </w:p>
        </w:tc>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FF"/>
                <w:kern w:val="0"/>
                <w:sz w:val="24"/>
                <w:szCs w:val="24"/>
                <w:lang w:val="en-US" w:eastAsia="zh-CN"/>
              </w:rPr>
              <w:t>1台</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noWrap w:val="0"/>
            <w:vAlign w:val="top"/>
          </w:tcPr>
          <w:p>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合计</w:t>
            </w:r>
            <w:r>
              <w:rPr>
                <w:rFonts w:hint="eastAsia" w:ascii="宋体" w:hAnsi="宋体" w:eastAsia="宋体" w:cs="宋体"/>
                <w:color w:val="000000" w:themeColor="text1"/>
                <w:kern w:val="0"/>
                <w:sz w:val="24"/>
                <w:szCs w:val="24"/>
                <w:lang w:eastAsia="zh-CN"/>
                <w14:textFill>
                  <w14:solidFill>
                    <w14:schemeClr w14:val="tx1"/>
                  </w14:solidFill>
                </w14:textFill>
              </w:rPr>
              <w:t>价款</w:t>
            </w:r>
            <w:r>
              <w:rPr>
                <w:rFonts w:hint="eastAsia" w:ascii="宋体" w:hAnsi="宋体" w:eastAsia="宋体" w:cs="宋体"/>
                <w:color w:val="000000" w:themeColor="text1"/>
                <w:kern w:val="0"/>
                <w:sz w:val="24"/>
                <w:szCs w:val="24"/>
                <w14:textFill>
                  <w14:solidFill>
                    <w14:schemeClr w14:val="tx1"/>
                  </w14:solidFill>
                </w14:textFill>
              </w:rPr>
              <w:t>金额（大写）：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eastAsia="zh-CN"/>
                <w14:textFill>
                  <w14:solidFill>
                    <w14:schemeClr w14:val="tx1"/>
                  </w14:solidFill>
                </w14:textFill>
              </w:rPr>
              <w:t>元</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14:textFill>
                  <w14:solidFill>
                    <w14:schemeClr w14:val="tx1"/>
                  </w14:solidFill>
                </w14:textFill>
              </w:rPr>
              <w:t>人民币（小写）：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  本合同约定价格为固定价格，不因物价、市场波动变更。</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1.3  本合同约定价格包括且不限于设计费、材料费、人工费、安装费、包装费、运输费、装卸费、调试费、检测、检验费、税费、保险费、售后服务费等在内所有费用。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highlight w:val="none"/>
          <w:lang w:val="en-US" w:eastAsia="zh-CN"/>
        </w:rPr>
        <w:t xml:space="preserve">1.4  </w:t>
      </w:r>
      <w:r>
        <w:rPr>
          <w:rFonts w:hint="eastAsia" w:ascii="宋体" w:hAnsi="宋体" w:eastAsia="宋体" w:cs="宋体"/>
          <w:color w:val="auto"/>
          <w:sz w:val="24"/>
          <w:szCs w:val="24"/>
          <w:highlight w:val="none"/>
        </w:rPr>
        <w:t>运输、装卸、培训、安装调试由</w:t>
      </w:r>
      <w:r>
        <w:rPr>
          <w:rFonts w:hint="eastAsia" w:ascii="宋体" w:hAnsi="宋体" w:eastAsia="宋体" w:cs="宋体"/>
          <w:color w:val="0000FF"/>
          <w:sz w:val="24"/>
          <w:szCs w:val="24"/>
          <w:highlight w:val="none"/>
          <w:lang w:val="en-US" w:eastAsia="zh-CN"/>
        </w:rPr>
        <w:t>乙方</w:t>
      </w:r>
      <w:r>
        <w:rPr>
          <w:rFonts w:hint="eastAsia" w:ascii="宋体" w:hAnsi="宋体" w:eastAsia="宋体" w:cs="宋体"/>
          <w:color w:val="auto"/>
          <w:sz w:val="24"/>
          <w:szCs w:val="24"/>
          <w:highlight w:val="none"/>
        </w:rPr>
        <w:t>负责承担，最终通过使用科室、设备科及相关部门确认验收交付使用。</w:t>
      </w:r>
      <w:r>
        <w:rPr>
          <w:rFonts w:hint="eastAsia" w:ascii="宋体" w:hAnsi="宋体" w:eastAsia="宋体" w:cs="宋体"/>
          <w:color w:val="auto"/>
          <w:sz w:val="24"/>
          <w:szCs w:val="24"/>
          <w:lang w:val="en-US" w:eastAsia="zh-CN"/>
        </w:rPr>
        <w:t xml:space="preserve"> </w:t>
      </w:r>
    </w:p>
    <w:p>
      <w:pPr>
        <w:keepNext w:val="0"/>
        <w:keepLines w:val="0"/>
        <w:pageBreakBefore w:val="0"/>
        <w:widowControl w:val="0"/>
        <w:numPr>
          <w:ilvl w:val="0"/>
          <w:numId w:val="3"/>
        </w:numPr>
        <w:kinsoku/>
        <w:wordWrap/>
        <w:overflowPunct/>
        <w:topLinePunct w:val="0"/>
        <w:autoSpaceDE/>
        <w:autoSpaceDN/>
        <w:bidi w:val="0"/>
        <w:adjustRightInd/>
        <w:snapToGrid/>
        <w:spacing w:line="480" w:lineRule="exact"/>
        <w:ind w:left="0" w:leftChars="0" w:firstLine="482" w:firstLineChars="200"/>
        <w:jc w:val="both"/>
        <w:textAlignment w:val="auto"/>
        <w:rPr>
          <w:rFonts w:hint="default"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eastAsia="zh-CN"/>
        </w:rPr>
        <w:t>交货时间、地点、运输及装卸</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2.1  </w:t>
      </w:r>
      <w:r>
        <w:rPr>
          <w:rFonts w:hint="default" w:ascii="宋体" w:hAnsi="宋体" w:eastAsia="宋体" w:cs="宋体"/>
          <w:color w:val="auto"/>
          <w:sz w:val="24"/>
          <w:szCs w:val="24"/>
          <w:lang w:val="en-US" w:eastAsia="zh-CN"/>
        </w:rPr>
        <w:t>交货时间：乙方应在</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日之前将设备运至</w:t>
      </w:r>
      <w:r>
        <w:rPr>
          <w:rFonts w:hint="eastAsia" w:ascii="宋体" w:hAnsi="宋体" w:eastAsia="宋体" w:cs="宋体"/>
          <w:color w:val="auto"/>
          <w:sz w:val="24"/>
          <w:szCs w:val="24"/>
          <w:lang w:val="en-US" w:eastAsia="zh-CN"/>
        </w:rPr>
        <w:t>甲方指定交货</w:t>
      </w:r>
      <w:r>
        <w:rPr>
          <w:rFonts w:hint="default" w:ascii="宋体" w:hAnsi="宋体" w:eastAsia="宋体" w:cs="宋体"/>
          <w:color w:val="auto"/>
          <w:sz w:val="24"/>
          <w:szCs w:val="24"/>
          <w:lang w:val="en-US" w:eastAsia="zh-CN"/>
        </w:rPr>
        <w:t>地点，并</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日之前完成安装、调试，办理验收手续并交付甲方使用。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w:t>
      </w:r>
      <w:r>
        <w:rPr>
          <w:rFonts w:hint="eastAsia" w:ascii="宋体" w:hAnsi="宋体" w:eastAsia="宋体" w:cs="宋体"/>
          <w:color w:val="auto"/>
          <w:sz w:val="24"/>
          <w:szCs w:val="24"/>
          <w:lang w:val="en-US" w:eastAsia="zh-CN"/>
        </w:rPr>
        <w:t>.2  甲方指定</w:t>
      </w:r>
      <w:r>
        <w:rPr>
          <w:rFonts w:hint="default" w:ascii="宋体" w:hAnsi="宋体" w:eastAsia="宋体" w:cs="宋体"/>
          <w:color w:val="auto"/>
          <w:sz w:val="24"/>
          <w:szCs w:val="24"/>
          <w:lang w:val="en-US" w:eastAsia="zh-CN"/>
        </w:rPr>
        <w:t>交货地点：娄底市中心医院</w:t>
      </w:r>
      <w:r>
        <w:rPr>
          <w:rFonts w:hint="eastAsia" w:ascii="宋体" w:hAnsi="宋体" w:eastAsia="宋体" w:cs="宋体"/>
          <w:color w:val="auto"/>
          <w:sz w:val="24"/>
          <w:szCs w:val="24"/>
          <w:lang w:val="en-US" w:eastAsia="zh-CN"/>
        </w:rPr>
        <w:t>设备科</w:t>
      </w:r>
      <w:r>
        <w:rPr>
          <w:rFonts w:hint="default" w:ascii="宋体" w:hAnsi="宋体" w:eastAsia="宋体" w:cs="宋体"/>
          <w:color w:val="auto"/>
          <w:sz w:val="24"/>
          <w:szCs w:val="24"/>
          <w:lang w:val="en-US" w:eastAsia="zh-CN"/>
        </w:rPr>
        <w:t>（湖南省娄底市</w:t>
      </w:r>
      <w:r>
        <w:rPr>
          <w:rFonts w:hint="eastAsia" w:ascii="宋体" w:hAnsi="宋体" w:eastAsia="宋体" w:cs="宋体"/>
          <w:color w:val="auto"/>
          <w:sz w:val="24"/>
          <w:szCs w:val="24"/>
          <w:lang w:val="en-US" w:eastAsia="zh-CN"/>
        </w:rPr>
        <w:t>娄星区</w:t>
      </w:r>
      <w:r>
        <w:rPr>
          <w:rFonts w:hint="default" w:ascii="宋体" w:hAnsi="宋体" w:eastAsia="宋体" w:cs="宋体"/>
          <w:color w:val="auto"/>
          <w:sz w:val="24"/>
          <w:szCs w:val="24"/>
          <w:lang w:val="en-US" w:eastAsia="zh-CN"/>
        </w:rPr>
        <w:t xml:space="preserve">长青中街51号）。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3</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运输及装卸：由乙方自备交通运输工具将设备运至合同约定地点，并负责设备装卸</w:t>
      </w:r>
      <w:r>
        <w:rPr>
          <w:rFonts w:hint="eastAsia" w:ascii="宋体" w:hAnsi="宋体" w:eastAsia="宋体" w:cs="宋体"/>
          <w:color w:val="auto"/>
          <w:sz w:val="24"/>
          <w:szCs w:val="24"/>
          <w:lang w:val="en-US" w:eastAsia="zh-CN"/>
        </w:rPr>
        <w:t>的人工及费用</w:t>
      </w:r>
      <w:r>
        <w:rPr>
          <w:rFonts w:hint="default"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000000" w:themeColor="text1"/>
          <w:sz w:val="24"/>
          <w:szCs w:val="24"/>
          <w:lang w:val="en-US" w:eastAsia="zh-CN"/>
          <w14:textFill>
            <w14:solidFill>
              <w14:schemeClr w14:val="tx1"/>
            </w14:solidFill>
          </w14:textFill>
        </w:rPr>
        <w:t>第三条 质量标准、质量验收、包装要求</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FF"/>
          <w:sz w:val="24"/>
          <w:szCs w:val="24"/>
          <w:lang w:val="en-US" w:eastAsia="zh-CN"/>
        </w:rPr>
      </w:pPr>
      <w:r>
        <w:rPr>
          <w:rFonts w:hint="eastAsia" w:ascii="宋体" w:hAnsi="宋体" w:eastAsia="宋体" w:cs="宋体"/>
          <w:color w:val="auto"/>
          <w:sz w:val="24"/>
          <w:szCs w:val="24"/>
          <w:lang w:val="en-US" w:eastAsia="zh-CN"/>
        </w:rPr>
        <w:t>3.1  质量标准：乙方提供设备的质量、安装应符合或优于国家标准；</w:t>
      </w:r>
      <w:r>
        <w:rPr>
          <w:rFonts w:hint="eastAsia" w:ascii="宋体" w:hAnsi="宋体" w:eastAsia="宋体" w:cs="宋体"/>
          <w:color w:val="0000FF"/>
          <w:sz w:val="24"/>
          <w:szCs w:val="24"/>
          <w:lang w:val="en-US" w:eastAsia="zh-CN"/>
        </w:rPr>
        <w:t>如响应文件中的技术参数和质量标准高于国家标准，则设备的技术参数和质量标准以响应文件为准。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3.2  质量验收：以本合同约定标准按以下方式进行验收：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到货验收：乙方将设备运至指定交货地点后，应通知甲方，并向甲方提供厂家标准资料文件（进口设备需提供真实有效的海关报关单，其他设备需提供产品合格证）。甲方自接到乙方通知之日起7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日内无条件予以更换。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拆包、安装、调试、培训验收：乙方将设备全部拆包、安装、调试、培训后应及时通知甲方，甲方自接到乙方通知之日起7日内自行组织或委托第三方进行总体验收，验收合格后签署总体验收报告单。如经甲方或第三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日内无条件予以返工并承担所有费用。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3.3  包装要求：乙方提供的设备必须为原厂包装，外包装到货时应保证完好无损，否则甲方有权拒绝收货，由此造成的延期交货违约责任和一切经济损失全部由乙方承担。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第四条 安装、培训、通知等事项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4.1  甲方负责协调、处理与安装、调试有关事宜，为乙方创造良好的安装、调试环境。</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4.2  甲方委派</w:t>
      </w:r>
      <w:r>
        <w:rPr>
          <w:rFonts w:hint="eastAsia" w:ascii="宋体" w:hAnsi="宋体" w:eastAsia="宋体" w:cs="宋体"/>
          <w:color w:val="auto"/>
          <w:sz w:val="24"/>
          <w:szCs w:val="24"/>
          <w:u w:val="single"/>
          <w:lang w:val="en-US" w:eastAsia="zh-CN"/>
        </w:rPr>
        <w:t xml:space="preserve">  杨娟  </w:t>
      </w:r>
      <w:r>
        <w:rPr>
          <w:rFonts w:hint="eastAsia" w:ascii="宋体" w:hAnsi="宋体" w:eastAsia="宋体" w:cs="宋体"/>
          <w:color w:val="auto"/>
          <w:sz w:val="24"/>
          <w:szCs w:val="24"/>
          <w:lang w:val="en-US" w:eastAsia="zh-CN"/>
        </w:rPr>
        <w:t>作为代表，跟踪、检查安装、调试现场。</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4.3  乙方负责对甲方的操作人员进行免费培训。</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4.4  乙方在安装、调试过程中应加强操作人员的安全教育，杜绝安全事故的发生。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  本合同任何一方给另一方的通知，除合同另有约定外，都应以书面（包括手机短信、传真、特快专递、电子邮件、媒体公告等）形式发送，另一方应以书面形式确认。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4.6  双方确认的文书（包括法院的法律文书）送达地址：</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（1）甲方的文书送达地址：娄底市中心医院（湖南省娄底市娄星区长青中街51号）；联系人：朱振宇，联系电话：15673845559。</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（2）乙方的文书送达地址</w:t>
      </w:r>
      <w:r>
        <w:rPr>
          <w:rFonts w:hint="eastAsia" w:ascii="宋体" w:hAnsi="宋体" w:eastAsia="宋体" w:cs="宋体"/>
          <w:color w:val="auto"/>
          <w:sz w:val="24"/>
          <w:szCs w:val="24"/>
          <w:u w:val="none"/>
          <w:lang w:val="en-US" w:eastAsia="zh-CN"/>
        </w:rPr>
        <w:t>：</w:t>
      </w:r>
      <w:r>
        <w:rPr>
          <w:rFonts w:hint="eastAsia" w:cs="宋体"/>
          <w:color w:val="000000"/>
          <w:sz w:val="24"/>
          <w:szCs w:val="24"/>
          <w:u w:val="single"/>
          <w:lang w:val="en-US" w:eastAsia="zh-CN"/>
        </w:rPr>
        <w:t xml:space="preserve">       </w:t>
      </w:r>
      <w:r>
        <w:rPr>
          <w:rFonts w:hint="eastAsia" w:ascii="宋体" w:hAnsi="宋体" w:eastAsia="宋体" w:cs="宋体"/>
          <w:color w:val="auto"/>
          <w:sz w:val="24"/>
          <w:szCs w:val="24"/>
          <w:lang w:val="en-US" w:eastAsia="zh-CN"/>
        </w:rPr>
        <w:t>；联系人：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（3）以上地址和联系方式如发生变化，应及时通知对方。如未及时通知，应承担相应的后果。</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第五条 售后服务</w:t>
      </w:r>
    </w:p>
    <w:p>
      <w:pPr>
        <w:keepNext w:val="0"/>
        <w:keepLines w:val="0"/>
        <w:pageBreakBefore w:val="0"/>
        <w:widowControl/>
        <w:numPr>
          <w:ilvl w:val="-1"/>
          <w:numId w:val="0"/>
        </w:numPr>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5.1  本合同设备质保期为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年，自甲方在总体验收报告单上签字确认合格之日起算。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 xml:space="preserve">5.2  </w:t>
      </w:r>
      <w:r>
        <w:rPr>
          <w:rFonts w:hint="eastAsia" w:ascii="宋体" w:hAnsi="宋体" w:eastAsia="宋体" w:cs="宋体"/>
          <w:sz w:val="24"/>
        </w:rPr>
        <w:t>乙方在质保期内免费提供维修、更换、保养、咨询等服务</w:t>
      </w:r>
      <w:r>
        <w:rPr>
          <w:rFonts w:hint="eastAsia" w:ascii="宋体" w:hAnsi="宋体" w:eastAsia="宋体" w:cs="宋体"/>
          <w:color w:val="0000FF"/>
          <w:sz w:val="24"/>
          <w:lang w:val="en-US" w:eastAsia="zh-CN"/>
        </w:rPr>
        <w:t>并</w:t>
      </w:r>
      <w:r>
        <w:rPr>
          <w:rFonts w:hint="eastAsia" w:ascii="宋体" w:hAnsi="宋体" w:eastAsia="宋体" w:cs="宋体"/>
          <w:color w:val="0000FF"/>
          <w:sz w:val="24"/>
          <w:szCs w:val="24"/>
        </w:rPr>
        <w:t>出具原厂售后质保承诺书</w:t>
      </w:r>
      <w:r>
        <w:rPr>
          <w:rFonts w:hint="eastAsia" w:ascii="宋体" w:hAnsi="宋体" w:eastAsia="宋体" w:cs="宋体"/>
          <w:sz w:val="24"/>
        </w:rPr>
        <w:t>。</w:t>
      </w:r>
      <w:r>
        <w:rPr>
          <w:rFonts w:hint="eastAsia" w:ascii="宋体" w:hAnsi="宋体" w:eastAsia="宋体" w:cs="宋体"/>
          <w:color w:val="auto"/>
          <w:sz w:val="24"/>
          <w:szCs w:val="24"/>
          <w:lang w:val="en-US" w:eastAsia="zh-CN"/>
        </w:rPr>
        <w:t>如设备在</w:t>
      </w:r>
      <w:r>
        <w:rPr>
          <w:rFonts w:hint="eastAsia" w:ascii="宋体" w:hAnsi="宋体" w:eastAsia="宋体" w:cs="宋体"/>
          <w:sz w:val="24"/>
        </w:rPr>
        <w:t>质</w:t>
      </w:r>
      <w:r>
        <w:rPr>
          <w:rFonts w:hint="eastAsia" w:ascii="宋体" w:hAnsi="宋体" w:eastAsia="宋体" w:cs="宋体"/>
          <w:color w:val="auto"/>
          <w:sz w:val="24"/>
          <w:szCs w:val="24"/>
          <w:lang w:val="en-US" w:eastAsia="zh-CN"/>
        </w:rPr>
        <w:t>保期内出现质量问题，乙方应在接到甲方通知（包括电话通知）后</w:t>
      </w:r>
      <w:r>
        <w:rPr>
          <w:rFonts w:hint="eastAsia" w:ascii="宋体" w:hAnsi="宋体" w:eastAsia="宋体" w:cs="宋体"/>
          <w:color w:val="0000FF"/>
          <w:sz w:val="24"/>
          <w:szCs w:val="24"/>
          <w:highlight w:val="none"/>
          <w:lang w:val="en-US" w:eastAsia="zh-CN"/>
        </w:rPr>
        <w:t>24小时响应，响应后4小时上门服务</w:t>
      </w:r>
      <w:r>
        <w:rPr>
          <w:rFonts w:hint="eastAsia" w:ascii="宋体" w:hAnsi="宋体" w:eastAsia="宋体" w:cs="宋体"/>
          <w:color w:val="auto"/>
          <w:sz w:val="24"/>
          <w:szCs w:val="24"/>
          <w:lang w:val="en-US" w:eastAsia="zh-CN"/>
        </w:rPr>
        <w:t>，相关费用由乙方承担。如乙方不及时履行保修义务，甲方有权委托第三方进行维修，</w:t>
      </w:r>
      <w:r>
        <w:rPr>
          <w:rFonts w:hint="eastAsia" w:ascii="宋体" w:hAnsi="宋体" w:eastAsia="宋体" w:cs="宋体"/>
          <w:sz w:val="24"/>
          <w:szCs w:val="24"/>
          <w:lang w:val="en-US" w:eastAsia="zh-CN"/>
        </w:rPr>
        <w:t>由此产生的相关费用，在支付价款中予以扣除或要求乙方支付对应货物价款。</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5.3  质保期内，乙方每年至少对设备进行</w:t>
      </w:r>
      <w:r>
        <w:rPr>
          <w:rFonts w:hint="eastAsia" w:ascii="宋体" w:hAnsi="宋体" w:cs="宋体"/>
          <w:color w:val="0000FF"/>
          <w:sz w:val="24"/>
          <w:szCs w:val="24"/>
          <w:lang w:val="en-US" w:eastAsia="zh-CN"/>
        </w:rPr>
        <w:t>一</w:t>
      </w:r>
      <w:r>
        <w:rPr>
          <w:rFonts w:hint="eastAsia" w:ascii="宋体" w:hAnsi="宋体" w:eastAsia="宋体" w:cs="宋体"/>
          <w:color w:val="auto"/>
          <w:sz w:val="24"/>
          <w:szCs w:val="24"/>
          <w:lang w:val="en-US" w:eastAsia="zh-CN"/>
        </w:rPr>
        <w:t>次巡检并免费保养。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5.4  质保期届满后，如设备出现问题，乙方应在接到甲方通知（包括电话通知）24小时响应，响应后4小时上门服务，相关费用由甲方承担。</w:t>
      </w:r>
    </w:p>
    <w:p>
      <w:pPr>
        <w:keepNext w:val="0"/>
        <w:keepLines w:val="0"/>
        <w:pageBreakBefore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color w:val="auto"/>
          <w:sz w:val="24"/>
          <w:szCs w:val="24"/>
          <w:lang w:val="en-US" w:eastAsia="zh-CN"/>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5  </w:t>
      </w:r>
      <w:r>
        <w:rPr>
          <w:rFonts w:hint="eastAsia" w:ascii="宋体" w:hAnsi="宋体" w:eastAsia="宋体" w:cs="宋体"/>
          <w:color w:val="auto"/>
          <w:sz w:val="24"/>
          <w:szCs w:val="24"/>
        </w:rPr>
        <w:t>乙方须指派</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专门负责与甲方联系售后服务事宜，如人员发生变动，应及时通知甲方。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第六条 结算、付款方式</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6.1  甲方通过银行转账方式向乙方指定银行账户支付结算价款：自甲方在总体验收报告单上签字确认合格之日起4个月内，支付结算总价款的90%；自甲方在总体验收报告单上签字确认合格之日起满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年的10个工作日内，</w:t>
      </w:r>
      <w:r>
        <w:rPr>
          <w:rFonts w:hint="eastAsia" w:ascii="宋体" w:hAnsi="宋体" w:eastAsia="宋体" w:cs="宋体"/>
          <w:color w:val="0000FF"/>
          <w:sz w:val="24"/>
          <w:szCs w:val="24"/>
          <w:lang w:val="en-US" w:eastAsia="zh-CN"/>
        </w:rPr>
        <w:t>免息</w:t>
      </w:r>
      <w:r>
        <w:rPr>
          <w:rFonts w:hint="eastAsia" w:ascii="宋体" w:hAnsi="宋体" w:eastAsia="宋体" w:cs="宋体"/>
          <w:color w:val="auto"/>
          <w:sz w:val="24"/>
          <w:szCs w:val="24"/>
          <w:lang w:val="en-US" w:eastAsia="zh-CN"/>
        </w:rPr>
        <w:t>支付结算总价款的10%。</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6.2  乙方应在甲方首次付款前，提供以自己名义开具的与结算总价款对应的增值税普通发票送交甲方，如因未及时提供发票导致逾期付款，乙方自行承担相应责任。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6.3  乙方开具的发票金额应与总体验收报告单内容一致，甲方不支付超出总体验收报告单内容以外的任何费用。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6.4  乙方指定账户</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 xml:space="preserve">开户名：  </w:t>
      </w:r>
      <w:r>
        <w:rPr>
          <w:rFonts w:hint="eastAsia" w:ascii="宋体" w:hAnsi="宋体" w:eastAsia="宋体" w:cs="宋体"/>
          <w:color w:val="auto"/>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4"/>
          <w:szCs w:val="24"/>
          <w:u w:val="none"/>
          <w:lang w:val="en-US" w:eastAsia="zh-CN"/>
        </w:rPr>
      </w:pPr>
      <w:r>
        <w:rPr>
          <w:rFonts w:hint="eastAsia" w:ascii="宋体" w:hAnsi="宋体" w:eastAsia="宋体" w:cs="宋体"/>
          <w:color w:val="auto"/>
          <w:sz w:val="24"/>
          <w:szCs w:val="24"/>
          <w:lang w:val="en-US" w:eastAsia="zh-CN"/>
        </w:rPr>
        <w:t>开户银行：</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4"/>
          <w:szCs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8"/>
          <w:szCs w:val="28"/>
          <w:u w:val="none"/>
          <w:lang w:val="en-US" w:eastAsia="zh-CN"/>
        </w:rPr>
      </w:pPr>
      <w:r>
        <w:rPr>
          <w:rFonts w:hint="eastAsia" w:ascii="宋体" w:hAnsi="宋体" w:eastAsia="宋体" w:cs="宋体"/>
          <w:color w:val="auto"/>
          <w:sz w:val="24"/>
          <w:szCs w:val="24"/>
          <w:lang w:val="en-US" w:eastAsia="zh-CN"/>
        </w:rPr>
        <w:t>账号：</w:t>
      </w:r>
      <w:r>
        <w:rPr>
          <w:rFonts w:hint="eastAsia" w:ascii="宋体" w:hAnsi="宋体"/>
          <w:color w:val="000000"/>
          <w:sz w:val="28"/>
          <w:szCs w:val="28"/>
          <w:u w:val="none"/>
          <w:lang w:val="en-US" w:eastAsia="zh-CN"/>
        </w:rPr>
        <w:t xml:space="preserve"> </w:t>
      </w:r>
      <w:r>
        <w:rPr>
          <w:rFonts w:hint="eastAsia" w:ascii="宋体" w:hAnsi="宋体"/>
          <w:color w:val="000000"/>
          <w:sz w:val="24"/>
          <w:szCs w:val="24"/>
          <w:u w:val="non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8"/>
          <w:szCs w:val="28"/>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第七条 风险承担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7.1  乙方履行本合同过程中发生事故，包括但不限于在运输、装卸、安装及调试过程中发生事故，给甲方、乙方或第三方人身、财产造成的所有损失，均由乙方负责处理和承担全部法律责任、经济赔偿。</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7.2  货物毁损、丢失的风险自甲方在总体验收报告单上签字确认合格后转移给甲方，此前货物的一切风险均由乙方承担。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第八条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8.1  如乙方未在本合同约定时间内将验收合格的货物交付给甲方使用，除应赔偿甲方因此造成的损失外，每逾期一日，按本合同约定总价款的千分之一向甲方支付违约金，甲方可在约定应付价款中对该费用予以扣除。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8.2  乙方出现以下违约情形之一的，甲方有权拒绝支付任何价款并解除合同</w:t>
      </w:r>
      <w:r>
        <w:rPr>
          <w:rFonts w:hint="eastAsia" w:ascii="宋体" w:hAnsi="宋体" w:eastAsia="宋体" w:cs="宋体"/>
          <w:sz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（1）乙方逾期</w:t>
      </w:r>
      <w:r>
        <w:rPr>
          <w:rFonts w:hint="eastAsia" w:ascii="宋体" w:hAnsi="宋体" w:eastAsia="宋体" w:cs="宋体"/>
          <w:color w:val="auto"/>
          <w:sz w:val="24"/>
          <w:szCs w:val="24"/>
          <w:u w:val="single"/>
          <w:lang w:val="en-US" w:eastAsia="zh-CN"/>
        </w:rPr>
        <w:t xml:space="preserve"> 30 </w:t>
      </w:r>
      <w:r>
        <w:rPr>
          <w:rFonts w:hint="eastAsia" w:ascii="宋体" w:hAnsi="宋体" w:eastAsia="宋体" w:cs="宋体"/>
          <w:color w:val="auto"/>
          <w:sz w:val="24"/>
          <w:szCs w:val="24"/>
          <w:lang w:val="en-US" w:eastAsia="zh-CN"/>
        </w:rPr>
        <w:t>日仍不能供货；</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（2）乙方提供的设备质量不符合国家标准、本合同标准或响应文件约定标准；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（4）其他根本违约的情形。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8.3 如乙方单方解除合同或甲方因乙方原因解除合同，乙方应赔偿给甲方造成的全部经济损失，并按本合同总价款 30%标准支付甲方违约金。</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第九条 争议解决</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本合同履行中发生争议，双方应先协商解决，协商解决不成的，由甲方所在地有管辖权的人民法院管辖。</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第十条 附则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10.1 本合同未尽事宜，双方另行协商签订补充协议。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10.2 本合同组成文件和优先解释顺序：本合同补充协议；本合同及附件；议价结果公示；响应文件；采购文件；其他与本合同有关的资料。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10.3 本合同一式五份，甲方执四份、乙方执一份，自双方签字并盖章之日起生效。</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甲方（盖章）：</w:t>
      </w:r>
      <w:r>
        <w:rPr>
          <w:rFonts w:hint="eastAsia" w:ascii="宋体" w:hAnsi="宋体" w:eastAsia="宋体" w:cs="宋体"/>
          <w:color w:val="auto"/>
          <w:sz w:val="24"/>
          <w:szCs w:val="24"/>
          <w:lang w:val="en-US" w:eastAsia="zh-CN"/>
        </w:rPr>
        <w:t>娄底市中心医院</w:t>
      </w:r>
      <w:r>
        <w:rPr>
          <w:rFonts w:hint="default"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乙方（盖章）</w:t>
      </w:r>
      <w:r>
        <w:rPr>
          <w:rFonts w:hint="eastAsia"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 xml:space="preserve">法定代表人（签字）：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或</w:t>
      </w:r>
      <w:r>
        <w:rPr>
          <w:rFonts w:hint="default" w:ascii="宋体" w:hAnsi="宋体" w:eastAsia="宋体" w:cs="宋体"/>
          <w:color w:val="auto"/>
          <w:sz w:val="24"/>
          <w:szCs w:val="24"/>
          <w:lang w:val="en-US" w:eastAsia="zh-CN"/>
        </w:rPr>
        <w:t xml:space="preserve">委托代理人（签字）：        </w:t>
      </w:r>
      <w:r>
        <w:rPr>
          <w:rFonts w:hint="eastAsia" w:ascii="宋体" w:hAnsi="宋体" w:eastAsia="宋体" w:cs="宋体"/>
          <w:color w:val="auto"/>
          <w:sz w:val="24"/>
          <w:szCs w:val="24"/>
          <w:lang w:val="en-US" w:eastAsia="zh-CN"/>
        </w:rPr>
        <w:t xml:space="preserve">      或</w:t>
      </w:r>
      <w:r>
        <w:rPr>
          <w:rFonts w:hint="default" w:ascii="宋体" w:hAnsi="宋体" w:eastAsia="宋体" w:cs="宋体"/>
          <w:color w:val="auto"/>
          <w:sz w:val="24"/>
          <w:szCs w:val="24"/>
          <w:lang w:val="en-US" w:eastAsia="zh-CN"/>
        </w:rPr>
        <w:t>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合同签订地</w:t>
      </w:r>
      <w:r>
        <w:rPr>
          <w:rFonts w:hint="eastAsia" w:ascii="宋体" w:hAnsi="宋体" w:eastAsia="宋体" w:cs="宋体"/>
          <w:color w:val="auto"/>
          <w:sz w:val="24"/>
          <w:szCs w:val="24"/>
          <w:lang w:val="en-US" w:eastAsia="zh-CN"/>
        </w:rPr>
        <w:t>履行地</w:t>
      </w:r>
      <w:r>
        <w:rPr>
          <w:rFonts w:hint="default" w:ascii="宋体" w:hAnsi="宋体" w:eastAsia="宋体" w:cs="宋体"/>
          <w:color w:val="auto"/>
          <w:sz w:val="24"/>
          <w:szCs w:val="24"/>
          <w:lang w:val="en-US" w:eastAsia="zh-CN"/>
        </w:rPr>
        <w:t xml:space="preserve">：娄底市娄星区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签订时间：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日</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cs="宋体"/>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t>第三章</w:t>
      </w:r>
      <w:bookmarkStart w:id="1" w:name="_Toc16523573"/>
      <w:r>
        <w:rPr>
          <w:rFonts w:hint="eastAsia" w:ascii="宋体" w:hAnsi="宋体" w:cs="宋体"/>
          <w:color w:val="auto"/>
          <w:sz w:val="44"/>
          <w:szCs w:val="44"/>
          <w:lang w:val="en-US" w:eastAsia="zh-CN"/>
        </w:rPr>
        <w:t>评标方法及标准</w:t>
      </w:r>
      <w:bookmarkEnd w:id="1"/>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cs="宋体"/>
          <w:b/>
          <w:color w:val="auto"/>
          <w:sz w:val="32"/>
          <w:szCs w:val="32"/>
        </w:rPr>
      </w:pPr>
      <w:r>
        <w:rPr>
          <w:rFonts w:hint="eastAsia" w:ascii="宋体" w:hAnsi="宋体" w:cs="宋体"/>
          <w:b/>
          <w:color w:val="auto"/>
          <w:sz w:val="32"/>
          <w:szCs w:val="32"/>
        </w:rPr>
        <w:t>综合评分表</w:t>
      </w:r>
    </w:p>
    <w:tbl>
      <w:tblPr>
        <w:tblStyle w:val="10"/>
        <w:tblW w:w="4999" w:type="pct"/>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685"/>
        <w:gridCol w:w="903"/>
        <w:gridCol w:w="1245"/>
        <w:gridCol w:w="6318"/>
        <w:gridCol w:w="809"/>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5" w:hRule="atLeast"/>
          <w:jc w:val="center"/>
        </w:trPr>
        <w:tc>
          <w:tcPr>
            <w:tcW w:w="344"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序号</w:t>
            </w:r>
          </w:p>
        </w:tc>
        <w:tc>
          <w:tcPr>
            <w:tcW w:w="1078" w:type="pct"/>
            <w:gridSpan w:val="2"/>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评审项目</w:t>
            </w:r>
          </w:p>
        </w:tc>
        <w:tc>
          <w:tcPr>
            <w:tcW w:w="3171" w:type="pct"/>
            <w:noWrap w:val="0"/>
            <w:vAlign w:val="center"/>
          </w:tcPr>
          <w:p>
            <w:pPr>
              <w:ind w:left="480"/>
              <w:jc w:val="center"/>
              <w:rPr>
                <w:rFonts w:hint="eastAsia" w:ascii="宋体" w:hAnsi="宋体" w:cs="宋体"/>
                <w:color w:val="auto"/>
                <w:sz w:val="24"/>
                <w:szCs w:val="24"/>
              </w:rPr>
            </w:pPr>
            <w:r>
              <w:rPr>
                <w:rFonts w:hint="eastAsia" w:ascii="宋体" w:hAnsi="宋体" w:cs="宋体"/>
                <w:color w:val="auto"/>
                <w:sz w:val="24"/>
                <w:szCs w:val="24"/>
              </w:rPr>
              <w:t>评审标准</w:t>
            </w:r>
          </w:p>
        </w:tc>
        <w:tc>
          <w:tcPr>
            <w:tcW w:w="406"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分值</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53" w:hRule="atLeast"/>
          <w:jc w:val="center"/>
        </w:trPr>
        <w:tc>
          <w:tcPr>
            <w:tcW w:w="344"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1</w:t>
            </w:r>
          </w:p>
        </w:tc>
        <w:tc>
          <w:tcPr>
            <w:tcW w:w="1078" w:type="pct"/>
            <w:gridSpan w:val="2"/>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价格</w:t>
            </w:r>
          </w:p>
          <w:p>
            <w:pPr>
              <w:jc w:val="center"/>
              <w:rPr>
                <w:rFonts w:hint="eastAsia" w:ascii="宋体" w:hAnsi="宋体" w:cs="宋体"/>
                <w:color w:val="auto"/>
                <w:sz w:val="24"/>
                <w:szCs w:val="24"/>
              </w:rPr>
            </w:pPr>
            <w:r>
              <w:rPr>
                <w:rFonts w:hint="eastAsia" w:ascii="宋体" w:hAnsi="宋体" w:cs="宋体"/>
                <w:color w:val="auto"/>
                <w:sz w:val="24"/>
                <w:szCs w:val="24"/>
              </w:rPr>
              <w:t>（</w:t>
            </w:r>
            <w:r>
              <w:rPr>
                <w:rFonts w:hint="eastAsia" w:ascii="宋体" w:hAnsi="宋体" w:cs="宋体"/>
                <w:color w:val="auto"/>
                <w:sz w:val="24"/>
                <w:szCs w:val="24"/>
                <w:lang w:val="en-US" w:eastAsia="zh-CN"/>
              </w:rPr>
              <w:t>4</w:t>
            </w:r>
            <w:r>
              <w:rPr>
                <w:rFonts w:hint="eastAsia" w:ascii="宋体" w:hAnsi="宋体" w:cs="宋体"/>
                <w:color w:val="auto"/>
                <w:sz w:val="24"/>
                <w:szCs w:val="24"/>
              </w:rPr>
              <w:t>0分）</w:t>
            </w:r>
          </w:p>
        </w:tc>
        <w:tc>
          <w:tcPr>
            <w:tcW w:w="3171" w:type="pct"/>
            <w:noWrap w:val="0"/>
            <w:vAlign w:val="center"/>
          </w:tcPr>
          <w:p>
            <w:pPr>
              <w:rPr>
                <w:rFonts w:hint="eastAsia" w:ascii="宋体" w:hAnsi="宋体" w:eastAsia="宋体" w:cs="Times New Roman"/>
                <w:color w:val="auto"/>
                <w:sz w:val="24"/>
                <w:szCs w:val="24"/>
              </w:rPr>
            </w:pPr>
            <w:r>
              <w:rPr>
                <w:rFonts w:hint="eastAsia" w:ascii="宋体" w:hAnsi="宋体" w:eastAsia="宋体" w:cs="Times New Roman"/>
                <w:color w:val="auto"/>
                <w:sz w:val="24"/>
                <w:szCs w:val="24"/>
              </w:rPr>
              <w:t>满足招标文件要求且最终投标价格最低的投标报价为评标基准价，其价格分为满分，其他有效投标人的价格分按照下列公式计算：投标报价得分=（评标基准价 ／最终投标报价）×</w:t>
            </w:r>
            <w:r>
              <w:rPr>
                <w:rFonts w:hint="eastAsia" w:ascii="宋体" w:hAnsi="宋体" w:cs="Times New Roman"/>
                <w:color w:val="auto"/>
                <w:sz w:val="24"/>
                <w:szCs w:val="24"/>
                <w:lang w:val="en-US" w:eastAsia="zh-CN"/>
              </w:rPr>
              <w:t>4</w:t>
            </w:r>
            <w:r>
              <w:rPr>
                <w:rFonts w:hint="eastAsia" w:ascii="宋体" w:hAnsi="宋体" w:eastAsia="宋体" w:cs="Times New Roman"/>
                <w:color w:val="auto"/>
                <w:sz w:val="24"/>
                <w:szCs w:val="24"/>
                <w:lang w:val="en-US" w:eastAsia="zh-CN"/>
              </w:rPr>
              <w:t>0</w:t>
            </w:r>
            <w:r>
              <w:rPr>
                <w:rFonts w:hint="eastAsia" w:ascii="宋体" w:hAnsi="宋体" w:eastAsia="宋体" w:cs="Times New Roman"/>
                <w:color w:val="auto"/>
                <w:sz w:val="24"/>
                <w:szCs w:val="24"/>
              </w:rPr>
              <w:t>。</w:t>
            </w:r>
          </w:p>
          <w:p>
            <w:pPr>
              <w:rPr>
                <w:rFonts w:hint="eastAsia"/>
                <w:color w:val="auto"/>
                <w:sz w:val="24"/>
                <w:szCs w:val="24"/>
              </w:rPr>
            </w:pPr>
            <w:r>
              <w:rPr>
                <w:rFonts w:hint="eastAsia" w:ascii="宋体" w:hAnsi="宋体" w:eastAsia="宋体" w:cs="Times New Roman"/>
                <w:color w:val="auto"/>
                <w:sz w:val="24"/>
                <w:szCs w:val="24"/>
              </w:rPr>
              <w:t>“评标委员会认为投标人的报价明显低于其他通过符合性审查投标人的报价，有可能影响产品质量或者不能诚信履约的，应当要求其在评标现场合理的时间内提供书面说明，必要时提交相关证明材料</w:t>
            </w:r>
            <w:r>
              <w:rPr>
                <w:rFonts w:hint="default" w:ascii="宋体" w:hAnsi="宋体" w:eastAsia="宋体" w:cs="Times New Roman"/>
                <w:color w:val="auto"/>
                <w:sz w:val="24"/>
                <w:szCs w:val="24"/>
              </w:rPr>
              <w:t>;</w:t>
            </w:r>
            <w:r>
              <w:rPr>
                <w:rFonts w:hint="eastAsia" w:ascii="宋体" w:hAnsi="宋体" w:eastAsia="宋体" w:cs="Times New Roman"/>
                <w:color w:val="auto"/>
                <w:sz w:val="24"/>
                <w:szCs w:val="24"/>
              </w:rPr>
              <w:t>投标人不能证明其报价合理性的，评标委员会应当将其作为无效投标处理。”</w:t>
            </w:r>
          </w:p>
        </w:tc>
        <w:tc>
          <w:tcPr>
            <w:tcW w:w="406"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0-</w:t>
            </w:r>
            <w:r>
              <w:rPr>
                <w:rFonts w:hint="eastAsia" w:ascii="宋体" w:hAnsi="宋体" w:cs="宋体"/>
                <w:color w:val="auto"/>
                <w:sz w:val="24"/>
                <w:szCs w:val="24"/>
                <w:lang w:val="en-US" w:eastAsia="zh-CN"/>
              </w:rPr>
              <w:t>4</w:t>
            </w:r>
            <w:r>
              <w:rPr>
                <w:rFonts w:hint="eastAsia" w:ascii="宋体" w:hAnsi="宋体" w:cs="宋体"/>
                <w:color w:val="auto"/>
                <w:sz w:val="24"/>
                <w:szCs w:val="24"/>
              </w:rPr>
              <w:t>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61" w:hRule="atLeast"/>
          <w:jc w:val="center"/>
        </w:trPr>
        <w:tc>
          <w:tcPr>
            <w:tcW w:w="344" w:type="pct"/>
            <w:vMerge w:val="restar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2</w:t>
            </w:r>
          </w:p>
        </w:tc>
        <w:tc>
          <w:tcPr>
            <w:tcW w:w="453" w:type="pct"/>
            <w:vMerge w:val="restar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lang w:eastAsia="zh-CN"/>
              </w:rPr>
              <w:t>招标文件响应程度及服务方案</w:t>
            </w:r>
            <w:r>
              <w:rPr>
                <w:rFonts w:hint="eastAsia" w:ascii="宋体" w:hAnsi="宋体" w:cs="宋体"/>
                <w:color w:val="auto"/>
                <w:sz w:val="24"/>
                <w:szCs w:val="24"/>
              </w:rPr>
              <w:t>（</w:t>
            </w:r>
            <w:r>
              <w:rPr>
                <w:rFonts w:hint="eastAsia" w:ascii="宋体" w:hAnsi="宋体" w:cs="宋体"/>
                <w:color w:val="auto"/>
                <w:sz w:val="24"/>
                <w:szCs w:val="24"/>
                <w:lang w:val="en-US" w:eastAsia="zh-CN"/>
              </w:rPr>
              <w:t>10</w:t>
            </w:r>
            <w:r>
              <w:rPr>
                <w:rFonts w:hint="eastAsia" w:ascii="宋体" w:hAnsi="宋体" w:cs="宋体"/>
                <w:color w:val="auto"/>
                <w:sz w:val="24"/>
                <w:szCs w:val="24"/>
              </w:rPr>
              <w:t>分）</w:t>
            </w:r>
          </w:p>
        </w:tc>
        <w:tc>
          <w:tcPr>
            <w:tcW w:w="625" w:type="pct"/>
            <w:noWrap w:val="0"/>
            <w:vAlign w:val="center"/>
          </w:tcPr>
          <w:p>
            <w:pPr>
              <w:jc w:val="center"/>
              <w:rPr>
                <w:rFonts w:hint="eastAsia" w:ascii="宋体" w:hAnsi="宋体" w:cs="宋体"/>
                <w:color w:val="auto"/>
                <w:sz w:val="24"/>
                <w:szCs w:val="24"/>
              </w:rPr>
            </w:pPr>
            <w:r>
              <w:rPr>
                <w:rFonts w:ascii="宋体" w:hAnsi="宋体"/>
                <w:color w:val="auto"/>
                <w:sz w:val="24"/>
                <w:szCs w:val="24"/>
              </w:rPr>
              <w:t>对招标文件的响应程度</w:t>
            </w:r>
          </w:p>
        </w:tc>
        <w:tc>
          <w:tcPr>
            <w:tcW w:w="3171" w:type="pct"/>
            <w:noWrap w:val="0"/>
            <w:vAlign w:val="center"/>
          </w:tcPr>
          <w:p>
            <w:pPr>
              <w:rPr>
                <w:rFonts w:hint="eastAsia" w:ascii="宋体" w:hAnsi="宋体" w:cs="宋体"/>
                <w:color w:val="auto"/>
                <w:sz w:val="24"/>
                <w:szCs w:val="24"/>
              </w:rPr>
            </w:pPr>
            <w:r>
              <w:rPr>
                <w:rFonts w:hint="eastAsia" w:ascii="宋体" w:hAnsi="宋体"/>
                <w:color w:val="auto"/>
                <w:sz w:val="24"/>
                <w:szCs w:val="24"/>
              </w:rPr>
              <w:t>以招标文件格式为基础，根据投标文件制作的优劣，专家酌情打分，每有一处细微偏差扣1分，扣分最多不超过</w:t>
            </w:r>
            <w:r>
              <w:rPr>
                <w:rFonts w:hint="eastAsia" w:ascii="宋体" w:hAnsi="宋体"/>
                <w:color w:val="auto"/>
                <w:sz w:val="24"/>
                <w:szCs w:val="24"/>
                <w:lang w:val="en-US" w:eastAsia="zh-CN"/>
              </w:rPr>
              <w:t>2</w:t>
            </w:r>
            <w:r>
              <w:rPr>
                <w:rFonts w:hint="eastAsia" w:ascii="宋体" w:hAnsi="宋体"/>
                <w:color w:val="auto"/>
                <w:sz w:val="24"/>
                <w:szCs w:val="24"/>
              </w:rPr>
              <w:t>分。</w:t>
            </w:r>
          </w:p>
        </w:tc>
        <w:tc>
          <w:tcPr>
            <w:tcW w:w="406" w:type="pct"/>
            <w:noWrap w:val="0"/>
            <w:vAlign w:val="center"/>
          </w:tcPr>
          <w:p>
            <w:pPr>
              <w:jc w:val="center"/>
              <w:rPr>
                <w:rFonts w:hint="eastAsia" w:ascii="宋体" w:hAnsi="宋体" w:eastAsia="宋体" w:cs="宋体"/>
                <w:color w:val="auto"/>
                <w:sz w:val="24"/>
                <w:szCs w:val="24"/>
                <w:lang w:val="en-US" w:eastAsia="zh-CN"/>
              </w:rPr>
            </w:pPr>
            <w:r>
              <w:rPr>
                <w:rFonts w:hint="eastAsia" w:ascii="宋体" w:hAnsi="宋体" w:cs="宋体"/>
                <w:color w:val="auto"/>
                <w:sz w:val="24"/>
                <w:szCs w:val="24"/>
              </w:rPr>
              <w:t>0-</w:t>
            </w:r>
            <w:r>
              <w:rPr>
                <w:rFonts w:hint="eastAsia" w:ascii="宋体" w:hAnsi="宋体" w:cs="宋体"/>
                <w:color w:val="auto"/>
                <w:sz w:val="24"/>
                <w:szCs w:val="24"/>
                <w:lang w:val="en-US" w:eastAsia="zh-CN"/>
              </w:rPr>
              <w:t>2</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509" w:hRule="atLeast"/>
          <w:jc w:val="center"/>
        </w:trPr>
        <w:tc>
          <w:tcPr>
            <w:tcW w:w="344" w:type="pct"/>
            <w:vMerge w:val="continue"/>
            <w:noWrap w:val="0"/>
            <w:vAlign w:val="center"/>
          </w:tcPr>
          <w:p>
            <w:pPr>
              <w:jc w:val="center"/>
              <w:rPr>
                <w:rFonts w:hint="eastAsia" w:ascii="宋体" w:hAnsi="宋体" w:cs="宋体"/>
                <w:color w:val="auto"/>
                <w:sz w:val="24"/>
                <w:szCs w:val="24"/>
              </w:rPr>
            </w:pPr>
          </w:p>
        </w:tc>
        <w:tc>
          <w:tcPr>
            <w:tcW w:w="453" w:type="pct"/>
            <w:vMerge w:val="continue"/>
            <w:noWrap w:val="0"/>
            <w:vAlign w:val="center"/>
          </w:tcPr>
          <w:p>
            <w:pPr>
              <w:jc w:val="center"/>
              <w:rPr>
                <w:rFonts w:hint="eastAsia" w:ascii="宋体" w:hAnsi="宋体" w:cs="宋体"/>
                <w:color w:val="auto"/>
                <w:sz w:val="24"/>
                <w:szCs w:val="24"/>
              </w:rPr>
            </w:pPr>
          </w:p>
        </w:tc>
        <w:tc>
          <w:tcPr>
            <w:tcW w:w="625" w:type="pct"/>
            <w:noWrap w:val="0"/>
            <w:vAlign w:val="center"/>
          </w:tcPr>
          <w:p>
            <w:pPr>
              <w:jc w:val="center"/>
              <w:rPr>
                <w:rFonts w:hint="eastAsia" w:ascii="宋体" w:hAnsi="宋体" w:eastAsia="宋体" w:cs="宋体"/>
                <w:color w:val="auto"/>
                <w:sz w:val="24"/>
                <w:szCs w:val="24"/>
                <w:lang w:eastAsia="zh-CN"/>
              </w:rPr>
            </w:pPr>
            <w:r>
              <w:rPr>
                <w:rFonts w:hint="eastAsia" w:ascii="宋体" w:hAnsi="宋体" w:cs="宋体"/>
                <w:color w:val="auto"/>
                <w:sz w:val="24"/>
                <w:szCs w:val="24"/>
                <w:lang w:eastAsia="zh-CN"/>
              </w:rPr>
              <w:t>服务方案</w:t>
            </w:r>
          </w:p>
        </w:tc>
        <w:tc>
          <w:tcPr>
            <w:tcW w:w="3171" w:type="pct"/>
            <w:noWrap w:val="0"/>
            <w:vAlign w:val="center"/>
          </w:tcPr>
          <w:p>
            <w:pPr>
              <w:rPr>
                <w:rFonts w:hint="eastAsia" w:ascii="宋体" w:hAnsi="宋体" w:cs="Times New Roman"/>
                <w:color w:val="auto"/>
                <w:sz w:val="24"/>
                <w:szCs w:val="24"/>
              </w:rPr>
            </w:pPr>
            <w:r>
              <w:rPr>
                <w:rFonts w:hint="eastAsia" w:ascii="宋体" w:hAnsi="宋体" w:cs="Times New Roman"/>
                <w:color w:val="auto"/>
                <w:sz w:val="24"/>
                <w:szCs w:val="24"/>
                <w:lang w:val="en-US" w:eastAsia="zh-CN"/>
              </w:rPr>
              <w:t>1、</w:t>
            </w:r>
            <w:r>
              <w:rPr>
                <w:rFonts w:hint="eastAsia" w:ascii="宋体" w:hAnsi="宋体" w:cs="Times New Roman"/>
                <w:color w:val="auto"/>
                <w:sz w:val="24"/>
                <w:szCs w:val="24"/>
              </w:rPr>
              <w:t>能提供投标人</w:t>
            </w:r>
            <w:r>
              <w:rPr>
                <w:rFonts w:hint="eastAsia" w:ascii="宋体" w:hAnsi="宋体" w:cs="Times New Roman"/>
                <w:color w:val="auto"/>
                <w:sz w:val="24"/>
                <w:szCs w:val="24"/>
                <w:lang w:eastAsia="zh-CN"/>
              </w:rPr>
              <w:t>投标货物的</w:t>
            </w:r>
            <w:r>
              <w:rPr>
                <w:rFonts w:hint="eastAsia" w:ascii="宋体" w:hAnsi="宋体" w:cs="Times New Roman"/>
                <w:color w:val="auto"/>
                <w:sz w:val="24"/>
                <w:szCs w:val="24"/>
              </w:rPr>
              <w:t>同类型合作业绩，</w:t>
            </w:r>
            <w:r>
              <w:rPr>
                <w:rFonts w:hint="eastAsia" w:ascii="宋体" w:hAnsi="宋体" w:cs="Times New Roman"/>
                <w:color w:val="auto"/>
                <w:sz w:val="24"/>
                <w:szCs w:val="24"/>
                <w:lang w:eastAsia="zh-CN"/>
              </w:rPr>
              <w:t>（自开标开标之日止前五年）</w:t>
            </w:r>
            <w:r>
              <w:rPr>
                <w:rFonts w:hint="eastAsia" w:ascii="宋体" w:hAnsi="宋体" w:cs="Times New Roman"/>
                <w:color w:val="auto"/>
                <w:sz w:val="24"/>
                <w:szCs w:val="24"/>
              </w:rPr>
              <w:t>每个</w:t>
            </w:r>
            <w:r>
              <w:rPr>
                <w:rFonts w:hint="eastAsia" w:ascii="宋体" w:hAnsi="宋体" w:cs="Times New Roman"/>
                <w:color w:val="auto"/>
                <w:sz w:val="24"/>
                <w:szCs w:val="24"/>
                <w:lang w:val="en-US" w:eastAsia="zh-CN"/>
              </w:rPr>
              <w:t>业绩</w:t>
            </w:r>
            <w:r>
              <w:rPr>
                <w:rFonts w:hint="eastAsia" w:ascii="宋体" w:hAnsi="宋体" w:cs="Times New Roman"/>
                <w:color w:val="auto"/>
                <w:sz w:val="24"/>
                <w:szCs w:val="24"/>
              </w:rPr>
              <w:t>计</w:t>
            </w:r>
            <w:r>
              <w:rPr>
                <w:rFonts w:hint="eastAsia" w:ascii="宋体" w:hAnsi="宋体" w:cs="Times New Roman"/>
                <w:color w:val="auto"/>
                <w:sz w:val="24"/>
                <w:szCs w:val="24"/>
                <w:lang w:val="en-US" w:eastAsia="zh-CN"/>
              </w:rPr>
              <w:t>2</w:t>
            </w:r>
            <w:r>
              <w:rPr>
                <w:rFonts w:hint="eastAsia" w:ascii="宋体" w:hAnsi="宋体" w:cs="Times New Roman"/>
                <w:color w:val="auto"/>
                <w:sz w:val="24"/>
                <w:szCs w:val="24"/>
              </w:rPr>
              <w:t>分，最多计</w:t>
            </w:r>
            <w:r>
              <w:rPr>
                <w:rFonts w:hint="eastAsia" w:ascii="宋体" w:hAnsi="宋体" w:cs="Times New Roman"/>
                <w:color w:val="auto"/>
                <w:sz w:val="24"/>
                <w:szCs w:val="24"/>
                <w:lang w:val="en-US" w:eastAsia="zh-CN"/>
              </w:rPr>
              <w:t>4</w:t>
            </w:r>
            <w:r>
              <w:rPr>
                <w:rFonts w:hint="eastAsia" w:ascii="宋体" w:hAnsi="宋体" w:cs="Times New Roman"/>
                <w:color w:val="auto"/>
                <w:sz w:val="24"/>
                <w:szCs w:val="24"/>
              </w:rPr>
              <w:t>分（提供合作清单及联系人，并附合同或中标通知书复印件加盖投标人公章）。</w:t>
            </w:r>
          </w:p>
          <w:p>
            <w:pPr>
              <w:rPr>
                <w:rFonts w:hint="eastAsia"/>
                <w:sz w:val="24"/>
                <w:szCs w:val="24"/>
              </w:rPr>
            </w:pPr>
            <w:r>
              <w:rPr>
                <w:rFonts w:hint="eastAsia" w:ascii="宋体" w:hAnsi="宋体" w:cs="Times New Roman"/>
                <w:color w:val="auto"/>
                <w:sz w:val="24"/>
                <w:szCs w:val="24"/>
                <w:lang w:val="en-US" w:eastAsia="zh-CN"/>
              </w:rPr>
              <w:t>2、在上述技术及商务参数中要求的质保年限上，每增加一年计2分，最多计4分。</w:t>
            </w:r>
          </w:p>
        </w:tc>
        <w:tc>
          <w:tcPr>
            <w:tcW w:w="406" w:type="pct"/>
            <w:noWrap w:val="0"/>
            <w:vAlign w:val="center"/>
          </w:tcPr>
          <w:p>
            <w:pPr>
              <w:jc w:val="center"/>
              <w:rPr>
                <w:rFonts w:hint="eastAsia" w:ascii="宋体" w:hAnsi="宋体" w:eastAsia="宋体" w:cs="宋体"/>
                <w:color w:val="auto"/>
                <w:sz w:val="24"/>
                <w:szCs w:val="24"/>
                <w:lang w:val="en-US" w:eastAsia="zh-CN"/>
              </w:rPr>
            </w:pPr>
            <w:r>
              <w:rPr>
                <w:rFonts w:hint="eastAsia" w:ascii="宋体" w:hAnsi="宋体" w:cs="宋体"/>
                <w:color w:val="auto"/>
                <w:sz w:val="24"/>
                <w:szCs w:val="24"/>
              </w:rPr>
              <w:t>0-</w:t>
            </w:r>
            <w:r>
              <w:rPr>
                <w:rFonts w:hint="eastAsia" w:ascii="宋体" w:hAnsi="宋体" w:cs="宋体"/>
                <w:color w:val="auto"/>
                <w:sz w:val="24"/>
                <w:szCs w:val="24"/>
                <w:lang w:val="en-US" w:eastAsia="zh-CN"/>
              </w:rPr>
              <w:t>8</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40" w:hRule="atLeast"/>
          <w:jc w:val="center"/>
        </w:trPr>
        <w:tc>
          <w:tcPr>
            <w:tcW w:w="344"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3</w:t>
            </w:r>
          </w:p>
        </w:tc>
        <w:tc>
          <w:tcPr>
            <w:tcW w:w="453" w:type="pct"/>
            <w:noWrap w:val="0"/>
            <w:vAlign w:val="center"/>
          </w:tcPr>
          <w:p>
            <w:pPr>
              <w:jc w:val="center"/>
              <w:rPr>
                <w:rFonts w:hint="eastAsia" w:ascii="宋体" w:hAnsi="宋体" w:cs="宋体"/>
                <w:color w:val="auto"/>
                <w:sz w:val="24"/>
                <w:szCs w:val="24"/>
              </w:rPr>
            </w:pPr>
            <w:r>
              <w:rPr>
                <w:rFonts w:hint="eastAsia" w:cs="Times New Roman"/>
                <w:bCs/>
                <w:sz w:val="24"/>
                <w:szCs w:val="24"/>
                <w:lang w:val="en-US" w:eastAsia="zh-CN"/>
              </w:rPr>
              <w:t>技术要求及商务要求</w:t>
            </w:r>
            <w:r>
              <w:rPr>
                <w:rFonts w:hint="eastAsia" w:ascii="宋体" w:hAnsi="宋体" w:cs="宋体"/>
                <w:color w:val="auto"/>
                <w:sz w:val="24"/>
                <w:szCs w:val="24"/>
              </w:rPr>
              <w:t>（</w:t>
            </w:r>
            <w:r>
              <w:rPr>
                <w:rFonts w:hint="eastAsia" w:ascii="宋体" w:hAnsi="宋体" w:cs="宋体"/>
                <w:color w:val="auto"/>
                <w:sz w:val="24"/>
                <w:szCs w:val="24"/>
                <w:lang w:val="en-US" w:eastAsia="zh-CN"/>
              </w:rPr>
              <w:t>5</w:t>
            </w:r>
            <w:r>
              <w:rPr>
                <w:rFonts w:hint="eastAsia" w:ascii="宋体" w:hAnsi="宋体" w:cs="宋体"/>
                <w:color w:val="auto"/>
                <w:sz w:val="24"/>
                <w:szCs w:val="24"/>
              </w:rPr>
              <w:t>0分）</w:t>
            </w:r>
          </w:p>
        </w:tc>
        <w:tc>
          <w:tcPr>
            <w:tcW w:w="625" w:type="pct"/>
            <w:noWrap w:val="0"/>
            <w:vAlign w:val="center"/>
          </w:tcPr>
          <w:p>
            <w:pPr>
              <w:jc w:val="center"/>
              <w:rPr>
                <w:rFonts w:hint="default" w:ascii="宋体" w:hAnsi="宋体" w:eastAsia="宋体"/>
                <w:color w:val="auto"/>
                <w:sz w:val="24"/>
                <w:szCs w:val="24"/>
                <w:lang w:val="en-US" w:eastAsia="zh-CN"/>
              </w:rPr>
            </w:pPr>
            <w:r>
              <w:rPr>
                <w:rFonts w:hint="eastAsia" w:cs="Times New Roman"/>
                <w:bCs/>
                <w:sz w:val="24"/>
                <w:szCs w:val="24"/>
                <w:lang w:val="en-US" w:eastAsia="zh-CN"/>
              </w:rPr>
              <w:t>技术要求及商务要求</w:t>
            </w:r>
          </w:p>
        </w:tc>
        <w:tc>
          <w:tcPr>
            <w:tcW w:w="3171" w:type="pct"/>
            <w:noWrap w:val="0"/>
            <w:vAlign w:val="top"/>
          </w:tcPr>
          <w:p>
            <w:pPr>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1、技术参数</w:t>
            </w:r>
            <w:r>
              <w:rPr>
                <w:rFonts w:hint="eastAsia" w:ascii="宋体" w:hAnsi="宋体" w:cs="Times New Roman"/>
                <w:color w:val="auto"/>
                <w:sz w:val="24"/>
                <w:szCs w:val="24"/>
                <w:lang w:val="en-US" w:eastAsia="zh-CN"/>
              </w:rPr>
              <w:t>及商务参数</w:t>
            </w:r>
            <w:r>
              <w:rPr>
                <w:rFonts w:hint="eastAsia" w:ascii="宋体" w:hAnsi="宋体" w:eastAsia="宋体" w:cs="Times New Roman"/>
                <w:color w:val="auto"/>
                <w:sz w:val="24"/>
                <w:szCs w:val="24"/>
                <w:lang w:val="en-US" w:eastAsia="zh-CN"/>
              </w:rPr>
              <w:t>完全符合招标文件要求的，计</w:t>
            </w:r>
            <w:r>
              <w:rPr>
                <w:rFonts w:hint="eastAsia" w:ascii="宋体" w:hAnsi="宋体" w:cs="Times New Roman"/>
                <w:color w:val="auto"/>
                <w:sz w:val="24"/>
                <w:szCs w:val="24"/>
                <w:lang w:val="en-US" w:eastAsia="zh-CN"/>
              </w:rPr>
              <w:t>5</w:t>
            </w:r>
            <w:r>
              <w:rPr>
                <w:rFonts w:hint="eastAsia" w:ascii="宋体" w:hAnsi="宋体" w:eastAsia="宋体" w:cs="Times New Roman"/>
                <w:color w:val="auto"/>
                <w:sz w:val="24"/>
                <w:szCs w:val="24"/>
                <w:lang w:val="en-US" w:eastAsia="zh-CN"/>
              </w:rPr>
              <w:t>0分，任何一条技术参数负偏离扣2分，扣完为止。</w:t>
            </w:r>
          </w:p>
          <w:p>
            <w:pPr>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rPr>
              <w:t>2、</w:t>
            </w:r>
            <w:r>
              <w:rPr>
                <w:rFonts w:hint="eastAsia" w:ascii="宋体" w:hAnsi="宋体" w:eastAsia="宋体" w:cs="Times New Roman"/>
                <w:color w:val="auto"/>
                <w:sz w:val="24"/>
                <w:szCs w:val="24"/>
                <w:lang w:val="en-US" w:eastAsia="zh-CN"/>
              </w:rPr>
              <w:t>带“ ★”“*”号参数为重要条款不允许偏离，否则视同无效投标。</w:t>
            </w:r>
          </w:p>
          <w:p>
            <w:pPr>
              <w:rPr>
                <w:rFonts w:hint="eastAsia" w:ascii="宋体" w:hAnsi="宋体" w:eastAsia="宋体" w:cs="Times New Roman"/>
                <w:color w:val="auto"/>
                <w:sz w:val="24"/>
                <w:szCs w:val="24"/>
                <w:lang w:val="en-US" w:eastAsia="zh-CN"/>
              </w:rPr>
            </w:pPr>
            <w:r>
              <w:rPr>
                <w:rFonts w:hint="eastAsia" w:ascii="宋体" w:hAnsi="宋体" w:cs="Times New Roman"/>
                <w:color w:val="auto"/>
                <w:sz w:val="24"/>
                <w:szCs w:val="24"/>
                <w:lang w:val="en-US" w:eastAsia="zh-CN"/>
              </w:rPr>
              <w:t>4</w:t>
            </w:r>
            <w:r>
              <w:rPr>
                <w:rFonts w:hint="eastAsia" w:ascii="宋体" w:hAnsi="宋体" w:eastAsia="宋体" w:cs="Times New Roman"/>
                <w:color w:val="auto"/>
                <w:sz w:val="24"/>
                <w:szCs w:val="24"/>
                <w:lang w:val="en-US" w:eastAsia="zh-CN"/>
              </w:rPr>
              <w:t>、带“ ▲”号参数为重要条款任何一条技术参数负偏离扣4分，扣完为止。</w:t>
            </w:r>
          </w:p>
          <w:p>
            <w:pPr>
              <w:rPr>
                <w:rFonts w:hint="eastAsia" w:ascii="宋体" w:hAnsi="宋体" w:eastAsia="宋体" w:cs="Times New Roman"/>
                <w:color w:val="auto"/>
                <w:sz w:val="24"/>
                <w:szCs w:val="24"/>
              </w:rPr>
            </w:pPr>
            <w:r>
              <w:rPr>
                <w:rFonts w:hint="eastAsia" w:ascii="宋体" w:hAnsi="宋体" w:cs="Times New Roman"/>
                <w:color w:val="auto"/>
                <w:sz w:val="24"/>
                <w:szCs w:val="24"/>
                <w:lang w:val="en-US" w:eastAsia="zh-CN"/>
              </w:rPr>
              <w:t>5</w:t>
            </w:r>
            <w:r>
              <w:rPr>
                <w:rFonts w:hint="eastAsia" w:ascii="宋体" w:hAnsi="宋体" w:eastAsia="宋体" w:cs="Times New Roman"/>
                <w:color w:val="auto"/>
                <w:sz w:val="24"/>
                <w:szCs w:val="24"/>
              </w:rPr>
              <w:t>、其它技术条款偏离项数之和大于5项将导致无效投标。</w:t>
            </w:r>
          </w:p>
          <w:p>
            <w:pPr>
              <w:rPr>
                <w:rFonts w:hint="eastAsia" w:ascii="宋体" w:hAnsi="宋体" w:eastAsia="宋体" w:cs="Times New Roman"/>
                <w:color w:val="auto"/>
                <w:sz w:val="24"/>
                <w:szCs w:val="24"/>
              </w:rPr>
            </w:pPr>
            <w:r>
              <w:rPr>
                <w:rFonts w:hint="eastAsia" w:ascii="宋体" w:hAnsi="宋体" w:eastAsia="宋体" w:cs="Times New Roman"/>
                <w:color w:val="auto"/>
                <w:sz w:val="24"/>
                <w:szCs w:val="24"/>
              </w:rPr>
              <w:t>说明：</w:t>
            </w:r>
          </w:p>
          <w:p>
            <w:pPr>
              <w:rPr>
                <w:rFonts w:hint="eastAsia" w:ascii="宋体" w:hAnsi="宋体" w:eastAsia="宋体" w:cs="Times New Roman"/>
                <w:color w:val="auto"/>
                <w:sz w:val="24"/>
                <w:szCs w:val="24"/>
              </w:rPr>
            </w:pPr>
            <w:r>
              <w:rPr>
                <w:rFonts w:hint="eastAsia" w:ascii="宋体" w:hAnsi="宋体" w:eastAsia="宋体" w:cs="Times New Roman"/>
                <w:color w:val="auto"/>
                <w:sz w:val="24"/>
                <w:szCs w:val="24"/>
              </w:rPr>
              <w:t>a、偏离：不满足招标参数要求，配置不详，缺漏项，技术参数表述不清的。</w:t>
            </w:r>
          </w:p>
          <w:p>
            <w:pPr>
              <w:rPr>
                <w:rFonts w:hint="default" w:eastAsia="宋体"/>
                <w:sz w:val="24"/>
                <w:szCs w:val="24"/>
                <w:lang w:val="en-US" w:eastAsia="zh-CN"/>
              </w:rPr>
            </w:pPr>
            <w:r>
              <w:rPr>
                <w:rFonts w:hint="eastAsia" w:ascii="宋体" w:hAnsi="宋体" w:eastAsia="宋体" w:cs="Times New Roman"/>
                <w:color w:val="auto"/>
                <w:sz w:val="24"/>
                <w:szCs w:val="24"/>
              </w:rPr>
              <w:t>b、条款数计算：招标文件中，凡编排有单独的中文序数或阿拉伯数字或英文字母序列号等字符的</w:t>
            </w:r>
            <w:r>
              <w:rPr>
                <w:rFonts w:ascii="宋体" w:hAnsi="宋体"/>
                <w:color w:val="000000" w:themeColor="text1"/>
                <w:sz w:val="24"/>
                <w:szCs w:val="24"/>
                <w14:textFill>
                  <w14:solidFill>
                    <w14:schemeClr w14:val="tx1"/>
                  </w14:solidFill>
                </w14:textFill>
              </w:rPr>
              <w:t>条款算一项技术要求项数</w:t>
            </w:r>
            <w:r>
              <w:rPr>
                <w:rFonts w:hint="eastAsia" w:ascii="宋体" w:hAnsi="宋体"/>
                <w:color w:val="000000" w:themeColor="text1"/>
                <w:sz w:val="24"/>
                <w:szCs w:val="24"/>
                <w14:textFill>
                  <w14:solidFill>
                    <w14:schemeClr w14:val="tx1"/>
                  </w14:solidFill>
                </w14:textFill>
              </w:rPr>
              <w:t>。</w:t>
            </w:r>
          </w:p>
        </w:tc>
        <w:tc>
          <w:tcPr>
            <w:tcW w:w="406" w:type="pct"/>
            <w:noWrap w:val="0"/>
            <w:vAlign w:val="center"/>
          </w:tcPr>
          <w:p>
            <w:pPr>
              <w:jc w:val="center"/>
              <w:rPr>
                <w:rFonts w:hint="default" w:ascii="宋体" w:hAnsi="宋体" w:eastAsia="宋体" w:cs="宋体"/>
                <w:color w:val="auto"/>
                <w:sz w:val="24"/>
                <w:szCs w:val="24"/>
                <w:lang w:val="en-US" w:eastAsia="zh-CN"/>
              </w:rPr>
            </w:pPr>
            <w:r>
              <w:rPr>
                <w:rFonts w:hint="eastAsia" w:ascii="宋体" w:hAnsi="宋体" w:cs="宋体"/>
                <w:color w:val="auto"/>
                <w:sz w:val="24"/>
                <w:szCs w:val="24"/>
              </w:rPr>
              <w:t>0-</w:t>
            </w:r>
            <w:r>
              <w:rPr>
                <w:rFonts w:hint="eastAsia" w:ascii="宋体" w:hAnsi="宋体" w:cs="宋体"/>
                <w:color w:val="auto"/>
                <w:sz w:val="24"/>
                <w:szCs w:val="24"/>
                <w:lang w:val="en-US" w:eastAsia="zh-CN"/>
              </w:rPr>
              <w:t>50</w:t>
            </w:r>
          </w:p>
        </w:tc>
      </w:tr>
    </w:tbl>
    <w:p>
      <w:pPr>
        <w:pStyle w:val="16"/>
        <w:rPr>
          <w:rFonts w:hint="eastAsia" w:ascii="宋体" w:hAnsi="宋体" w:cs="宋体"/>
          <w:color w:val="auto"/>
          <w:sz w:val="24"/>
          <w:szCs w:val="24"/>
        </w:rPr>
      </w:pPr>
    </w:p>
    <w:p>
      <w:pPr>
        <w:spacing w:before="120" w:beforeLines="50" w:after="120" w:afterLines="50" w:line="360" w:lineRule="auto"/>
        <w:rPr>
          <w:color w:val="auto"/>
        </w:rPr>
      </w:pPr>
      <w:r>
        <w:rPr>
          <w:rFonts w:hint="eastAsia" w:ascii="宋体" w:hAnsi="宋体" w:cs="宋体"/>
          <w:color w:val="auto"/>
          <w:sz w:val="24"/>
          <w:szCs w:val="24"/>
        </w:rPr>
        <w:t>注：（1）全体评标委员会对投标人评分的算数平均值即为该投标人的最终评标得分（不得去评分项目的最高得分和最低得分），评分分值计算保留小数点后两位，小数点后第三位“四舍五入”。</w:t>
      </w:r>
    </w:p>
    <w:p>
      <w:pPr>
        <w:rPr>
          <w:color w:val="auto"/>
        </w:rPr>
      </w:pPr>
      <w:r>
        <w:rPr>
          <w:color w:val="auto"/>
        </w:rPr>
        <w:br w:type="page"/>
      </w:r>
    </w:p>
    <w:p>
      <w:pPr>
        <w:pStyle w:val="2"/>
        <w:numPr>
          <w:ilvl w:val="0"/>
          <w:numId w:val="4"/>
        </w:numPr>
        <w:spacing w:line="240" w:lineRule="auto"/>
        <w:ind w:firstLine="2409" w:firstLineChars="800"/>
        <w:jc w:val="both"/>
        <w:rPr>
          <w:rFonts w:hint="eastAsia" w:ascii="宋体" w:hAnsi="宋体" w:cs="宋体"/>
          <w:color w:val="auto"/>
          <w:sz w:val="30"/>
          <w:szCs w:val="30"/>
        </w:rPr>
      </w:pPr>
      <w:bookmarkStart w:id="2" w:name="_Toc16523574"/>
      <w:r>
        <w:rPr>
          <w:rFonts w:hint="eastAsia" w:ascii="宋体" w:hAnsi="宋体" w:cs="宋体"/>
          <w:color w:val="auto"/>
          <w:sz w:val="30"/>
          <w:szCs w:val="30"/>
          <w:lang w:val="en-US" w:eastAsia="zh-CN"/>
        </w:rPr>
        <w:t xml:space="preserve">   </w:t>
      </w:r>
      <w:r>
        <w:rPr>
          <w:rFonts w:hint="eastAsia" w:ascii="宋体" w:hAnsi="宋体" w:cs="宋体"/>
          <w:color w:val="auto"/>
          <w:sz w:val="30"/>
          <w:szCs w:val="30"/>
        </w:rPr>
        <w:t>投标文件的格式</w:t>
      </w:r>
    </w:p>
    <w:p>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2"/>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jc w:val="center"/>
        <w:rPr>
          <w:rFonts w:hint="eastAsia" w:eastAsia="宋体"/>
          <w:b/>
          <w:color w:val="auto"/>
          <w:sz w:val="24"/>
          <w:lang w:eastAsia="zh-CN"/>
        </w:rPr>
      </w:pPr>
      <w:r>
        <w:rPr>
          <w:rFonts w:hint="eastAsia"/>
          <w:b/>
          <w:color w:val="auto"/>
          <w:sz w:val="24"/>
          <w:lang w:eastAsia="zh-CN"/>
        </w:rPr>
        <w:t>注：此项内容需包含投标商品名称、数量、品牌、型号、单价、总价、等信息</w:t>
      </w:r>
    </w:p>
    <w:p>
      <w:pPr>
        <w:pStyle w:val="17"/>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6"/>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及资格要求的证明材料，提供信用中国网页查询截图，</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footerReference r:id="rId5" w:type="default"/>
          <w:pgSz w:w="11906" w:h="16838"/>
          <w:pgMar w:top="1440" w:right="1080" w:bottom="1440" w:left="1080" w:header="567" w:footer="283" w:gutter="0"/>
          <w:pgNumType w:fmt="decimal" w:start="1"/>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76514128"/>
      <w:bookmarkStart w:id="4" w:name="_Toc486424819"/>
    </w:p>
    <w:p>
      <w:pPr>
        <w:pStyle w:val="16"/>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0"/>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3"/>
    <w:bookmarkEnd w:id="4"/>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color w:val="auto"/>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pStyle w:val="17"/>
        <w:rPr>
          <w:color w:val="auto"/>
        </w:rPr>
      </w:pPr>
    </w:p>
    <w:p>
      <w:pPr>
        <w:pStyle w:val="18"/>
        <w:tabs>
          <w:tab w:val="left" w:pos="2312"/>
          <w:tab w:val="left" w:pos="2313"/>
        </w:tabs>
        <w:autoSpaceDE w:val="0"/>
        <w:autoSpaceDN w:val="0"/>
        <w:spacing w:before="43"/>
        <w:ind w:left="2312" w:firstLine="562"/>
        <w:rPr>
          <w:rFonts w:ascii="宋体" w:hAnsi="宋体" w:cs="宋体"/>
          <w:b/>
          <w:color w:val="auto"/>
          <w:sz w:val="28"/>
          <w:szCs w:val="28"/>
        </w:rPr>
      </w:pPr>
      <w:r>
        <w:rPr>
          <w:rFonts w:hint="eastAsia" w:ascii="Times New Roman" w:hAnsi="Times New Roman"/>
          <w:b/>
          <w:bCs/>
          <w:color w:val="auto"/>
          <w:sz w:val="28"/>
          <w:szCs w:val="28"/>
        </w:rPr>
        <w:t>第四部分、</w:t>
      </w:r>
      <w:r>
        <w:rPr>
          <w:rFonts w:hint="eastAsia" w:ascii="宋体" w:hAnsi="宋体" w:cs="宋体"/>
          <w:b/>
          <w:color w:val="auto"/>
          <w:sz w:val="28"/>
          <w:szCs w:val="28"/>
        </w:rPr>
        <w:t>同类项目业绩</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8"/>
        <w:tabs>
          <w:tab w:val="left" w:pos="2312"/>
          <w:tab w:val="left" w:pos="2313"/>
        </w:tabs>
        <w:autoSpaceDE w:val="0"/>
        <w:autoSpaceDN w:val="0"/>
        <w:spacing w:before="43"/>
        <w:ind w:left="2312" w:firstLine="0" w:firstLineChars="0"/>
        <w:rPr>
          <w:rFonts w:ascii="宋体" w:hAnsi="宋体" w:cs="宋体"/>
          <w:b/>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r>
        <w:rPr>
          <w:rFonts w:hint="eastAsia" w:ascii="Times New Roman" w:hAnsi="Times New Roman"/>
          <w:b/>
          <w:bCs/>
          <w:color w:val="auto"/>
          <w:sz w:val="28"/>
          <w:szCs w:val="28"/>
        </w:rPr>
        <w:t>第五部分、</w:t>
      </w:r>
      <w:r>
        <w:rPr>
          <w:rFonts w:hint="eastAsia" w:ascii="Times New Roman" w:hAnsi="Times New Roman"/>
          <w:b/>
          <w:bCs/>
          <w:color w:val="auto"/>
          <w:sz w:val="28"/>
          <w:szCs w:val="28"/>
          <w:lang w:val="en-US" w:eastAsia="zh-CN"/>
        </w:rPr>
        <w:t>技术及</w:t>
      </w:r>
      <w:r>
        <w:rPr>
          <w:rFonts w:hint="eastAsia" w:ascii="宋体" w:hAnsi="宋体" w:cs="宋体"/>
          <w:b/>
          <w:color w:val="auto"/>
          <w:sz w:val="28"/>
          <w:szCs w:val="28"/>
        </w:rPr>
        <w:t>服务方案</w:t>
      </w:r>
    </w:p>
    <w:p>
      <w:pPr>
        <w:adjustRightInd w:val="0"/>
        <w:snapToGrid w:val="0"/>
        <w:spacing w:before="120" w:beforeLines="50" w:line="360" w:lineRule="auto"/>
        <w:jc w:val="center"/>
        <w:rPr>
          <w:rFonts w:hint="eastAsia" w:ascii="宋体" w:hAnsi="宋体" w:eastAsia="宋体" w:cs="宋体"/>
          <w:color w:val="auto"/>
          <w:sz w:val="24"/>
          <w:lang w:eastAsia="zh-CN"/>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6"/>
        <w:rPr>
          <w:rFonts w:hint="eastAsia"/>
          <w:lang w:eastAsia="zh-CN"/>
        </w:rPr>
      </w:pPr>
    </w:p>
    <w:p>
      <w:pPr>
        <w:numPr>
          <w:ilvl w:val="0"/>
          <w:numId w:val="5"/>
        </w:numPr>
        <w:jc w:val="center"/>
        <w:rPr>
          <w:rFonts w:hint="eastAsia" w:ascii="Times New Roman" w:hAnsi="Times New Roman" w:eastAsia="宋体" w:cs="Times New Roman"/>
          <w:b/>
          <w:bCs/>
          <w:color w:val="auto"/>
          <w:kern w:val="2"/>
          <w:sz w:val="28"/>
          <w:szCs w:val="28"/>
          <w:lang w:val="en-US" w:eastAsia="zh-CN" w:bidi="ar-SA"/>
        </w:rPr>
      </w:pPr>
      <w:r>
        <w:rPr>
          <w:rFonts w:hint="eastAsia" w:ascii="Times New Roman" w:hAnsi="Times New Roman" w:eastAsia="宋体" w:cs="Times New Roman"/>
          <w:b/>
          <w:bCs/>
          <w:color w:val="auto"/>
          <w:kern w:val="2"/>
          <w:sz w:val="28"/>
          <w:szCs w:val="28"/>
          <w:lang w:val="en-US" w:eastAsia="zh-CN" w:bidi="ar-SA"/>
        </w:rPr>
        <w:t>质保及维护方案</w:t>
      </w:r>
    </w:p>
    <w:p>
      <w:pPr>
        <w:adjustRightInd w:val="0"/>
        <w:snapToGrid w:val="0"/>
        <w:spacing w:before="120" w:beforeLines="50" w:line="360" w:lineRule="auto"/>
        <w:jc w:val="cente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r>
        <w:rPr>
          <w:rFonts w:hint="eastAsia" w:ascii="宋体" w:hAnsi="宋体" w:cs="宋体"/>
          <w:color w:val="auto"/>
          <w:sz w:val="24"/>
          <w:lang w:eastAsia="zh-CN"/>
        </w:rPr>
        <w:t>。</w:t>
      </w:r>
    </w:p>
    <w:p/>
    <w:sectPr>
      <w:footerReference r:id="rId6"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EE324B"/>
    <w:multiLevelType w:val="singleLevel"/>
    <w:tmpl w:val="B6EE324B"/>
    <w:lvl w:ilvl="0" w:tentative="0">
      <w:start w:val="4"/>
      <w:numFmt w:val="chineseCounting"/>
      <w:suff w:val="space"/>
      <w:lvlText w:val="第%1章"/>
      <w:lvlJc w:val="left"/>
      <w:rPr>
        <w:rFonts w:hint="eastAsia"/>
      </w:rPr>
    </w:lvl>
  </w:abstractNum>
  <w:abstractNum w:abstractNumId="1">
    <w:nsid w:val="BB68914C"/>
    <w:multiLevelType w:val="singleLevel"/>
    <w:tmpl w:val="BB68914C"/>
    <w:lvl w:ilvl="0" w:tentative="0">
      <w:start w:val="2"/>
      <w:numFmt w:val="chineseCounting"/>
      <w:suff w:val="nothing"/>
      <w:lvlText w:val="%1、"/>
      <w:lvlJc w:val="left"/>
      <w:rPr>
        <w:rFonts w:hint="eastAsia"/>
      </w:rPr>
    </w:lvl>
  </w:abstractNum>
  <w:abstractNum w:abstractNumId="2">
    <w:nsid w:val="DFCC3393"/>
    <w:multiLevelType w:val="singleLevel"/>
    <w:tmpl w:val="DFCC3393"/>
    <w:lvl w:ilvl="0" w:tentative="0">
      <w:start w:val="6"/>
      <w:numFmt w:val="chineseCounting"/>
      <w:suff w:val="nothing"/>
      <w:lvlText w:val="第%1部分、"/>
      <w:lvlJc w:val="left"/>
      <w:rPr>
        <w:rFonts w:hint="eastAsia"/>
      </w:rPr>
    </w:lvl>
  </w:abstractNum>
  <w:abstractNum w:abstractNumId="3">
    <w:nsid w:val="F22833F1"/>
    <w:multiLevelType w:val="singleLevel"/>
    <w:tmpl w:val="F22833F1"/>
    <w:lvl w:ilvl="0" w:tentative="0">
      <w:start w:val="1"/>
      <w:numFmt w:val="decimal"/>
      <w:suff w:val="nothing"/>
      <w:lvlText w:val="%1、"/>
      <w:lvlJc w:val="left"/>
    </w:lvl>
  </w:abstractNum>
  <w:abstractNum w:abstractNumId="4">
    <w:nsid w:val="1E6DDE31"/>
    <w:multiLevelType w:val="singleLevel"/>
    <w:tmpl w:val="1E6DDE31"/>
    <w:lvl w:ilvl="0" w:tentative="0">
      <w:start w:val="1"/>
      <w:numFmt w:val="chineseCounting"/>
      <w:suff w:val="space"/>
      <w:lvlText w:val="第%1条"/>
      <w:lvlJc w:val="left"/>
      <w:rPr>
        <w:rFonts w:hint="eastAsia"/>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VhNWM2ZGQ3MWRjMzJkNGQ4ZWY1M2EwNzNkYzdhMTgifQ=="/>
  </w:docVars>
  <w:rsids>
    <w:rsidRoot w:val="6DE375E4"/>
    <w:rsid w:val="00AE556A"/>
    <w:rsid w:val="06E91EC4"/>
    <w:rsid w:val="071C689B"/>
    <w:rsid w:val="0B353646"/>
    <w:rsid w:val="0E331420"/>
    <w:rsid w:val="0E76169C"/>
    <w:rsid w:val="0EDD1643"/>
    <w:rsid w:val="12994AC5"/>
    <w:rsid w:val="1AF56B46"/>
    <w:rsid w:val="1FE73549"/>
    <w:rsid w:val="20B41DA7"/>
    <w:rsid w:val="22AB7B8A"/>
    <w:rsid w:val="245079B1"/>
    <w:rsid w:val="28E81B29"/>
    <w:rsid w:val="2C7642D0"/>
    <w:rsid w:val="2EAC037F"/>
    <w:rsid w:val="2EB67A5C"/>
    <w:rsid w:val="302741D2"/>
    <w:rsid w:val="308B184D"/>
    <w:rsid w:val="340F06E9"/>
    <w:rsid w:val="3B3B544D"/>
    <w:rsid w:val="3B654F2B"/>
    <w:rsid w:val="3BAC459E"/>
    <w:rsid w:val="3D0E461F"/>
    <w:rsid w:val="3DF12CFC"/>
    <w:rsid w:val="429A4992"/>
    <w:rsid w:val="43B25DAC"/>
    <w:rsid w:val="4B5372C0"/>
    <w:rsid w:val="4B6B1F47"/>
    <w:rsid w:val="4DCD6AB3"/>
    <w:rsid w:val="50540C20"/>
    <w:rsid w:val="51AC28BD"/>
    <w:rsid w:val="555B5FCF"/>
    <w:rsid w:val="611B6B1B"/>
    <w:rsid w:val="64133D6A"/>
    <w:rsid w:val="66284C0F"/>
    <w:rsid w:val="678E4F5D"/>
    <w:rsid w:val="6DE375E4"/>
    <w:rsid w:val="706D2BBD"/>
    <w:rsid w:val="71584067"/>
    <w:rsid w:val="750117A8"/>
    <w:rsid w:val="76447599"/>
    <w:rsid w:val="7BB37D8B"/>
    <w:rsid w:val="7BBF44BB"/>
    <w:rsid w:val="7BF15C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宋体" w:cs="Times New Roman"/>
      <w:kern w:val="0"/>
      <w:sz w:val="24"/>
    </w:rPr>
  </w:style>
  <w:style w:type="paragraph" w:styleId="5">
    <w:name w:val="Body Text Indent"/>
    <w:basedOn w:val="1"/>
    <w:next w:val="6"/>
    <w:qFormat/>
    <w:uiPriority w:val="99"/>
    <w:pPr>
      <w:spacing w:line="400" w:lineRule="exact"/>
      <w:ind w:left="630"/>
    </w:pPr>
    <w:rPr>
      <w:rFonts w:ascii="楷体_GB2312"/>
      <w:sz w:val="30"/>
      <w:szCs w:val="30"/>
    </w:rPr>
  </w:style>
  <w:style w:type="paragraph" w:styleId="6">
    <w:name w:val="Body Text First Indent 2"/>
    <w:basedOn w:val="5"/>
    <w:next w:val="1"/>
    <w:qFormat/>
    <w:uiPriority w:val="0"/>
    <w:pPr>
      <w:overflowPunct w:val="0"/>
      <w:adjustRightInd w:val="0"/>
      <w:spacing w:line="500" w:lineRule="exact"/>
      <w:ind w:firstLine="420" w:firstLineChars="200"/>
      <w:textAlignment w:val="baseline"/>
    </w:pPr>
    <w:rPr>
      <w:rFonts w:eastAsia="仿宋_GB2312"/>
      <w:kern w:val="28"/>
      <w:sz w:val="28"/>
    </w:rPr>
  </w:style>
  <w:style w:type="paragraph" w:styleId="7">
    <w:name w:val="footer"/>
    <w:basedOn w:val="1"/>
    <w:qFormat/>
    <w:uiPriority w:val="0"/>
    <w:pPr>
      <w:tabs>
        <w:tab w:val="center" w:pos="4153"/>
        <w:tab w:val="right" w:pos="8306"/>
      </w:tabs>
      <w:snapToGrid w:val="0"/>
      <w:jc w:val="left"/>
    </w:pPr>
    <w:rPr>
      <w:kern w:val="0"/>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rPr>
      <w:sz w:val="24"/>
    </w:rPr>
  </w:style>
  <w:style w:type="table" w:styleId="11">
    <w:name w:val="Table Grid"/>
    <w:basedOn w:val="10"/>
    <w:qFormat/>
    <w:uiPriority w:val="0"/>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14">
    <w:name w:val="Default"/>
    <w:next w:val="15"/>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5">
    <w:name w:val="大标题"/>
    <w:basedOn w:val="1"/>
    <w:next w:val="6"/>
    <w:qFormat/>
    <w:uiPriority w:val="0"/>
    <w:pPr>
      <w:jc w:val="center"/>
    </w:pPr>
    <w:rPr>
      <w:rFonts w:ascii="Arial" w:hAnsi="Arial" w:eastAsia="宋体"/>
      <w:b/>
      <w:sz w:val="28"/>
      <w:szCs w:val="24"/>
    </w:rPr>
  </w:style>
  <w:style w:type="paragraph" w:customStyle="1" w:styleId="16">
    <w:name w:val="列出段落1"/>
    <w:basedOn w:val="1"/>
    <w:qFormat/>
    <w:uiPriority w:val="99"/>
    <w:pPr>
      <w:ind w:firstLine="420" w:firstLineChars="200"/>
    </w:pPr>
  </w:style>
  <w:style w:type="paragraph" w:customStyle="1" w:styleId="17">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8">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7742</Words>
  <Characters>8043</Characters>
  <Lines>0</Lines>
  <Paragraphs>0</Paragraphs>
  <TotalTime>0</TotalTime>
  <ScaleCrop>false</ScaleCrop>
  <LinksUpToDate>false</LinksUpToDate>
  <CharactersWithSpaces>8970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2023-07-17T09:45:00Z</dcterms:created>
  <dc:creator>是小豹子</dc:creator>
  <cp:lastModifiedBy>lx</cp:lastModifiedBy>
  <dcterms:modified xsi:type="dcterms:W3CDTF">2023-08-10T13:39:28Z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3505A2AB25E048A4A9B0E6A6741CA1BA_11</vt:lpwstr>
  </property>
</Properties>
</file>