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napToGrid w:val="0"/>
        <w:jc w:val="center"/>
        <w:rPr>
          <w:rFonts w:ascii="Arial" w:hAnsi="Arial" w:eastAsia="方正小标宋简体" w:cs="Arial"/>
          <w:color w:val="auto"/>
          <w:sz w:val="72"/>
          <w:szCs w:val="72"/>
        </w:rPr>
      </w:pPr>
      <w:bookmarkStart w:id="0" w:name="_Toc16523570"/>
    </w:p>
    <w:p>
      <w:pPr>
        <w:pStyle w:val="13"/>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3"/>
        <w:snapToGrid w:val="0"/>
        <w:jc w:val="center"/>
        <w:rPr>
          <w:rFonts w:ascii="Arial" w:hAnsi="Arial" w:cs="Arial"/>
          <w:sz w:val="32"/>
          <w:szCs w:val="32"/>
        </w:rPr>
      </w:pPr>
    </w:p>
    <w:p>
      <w:pPr>
        <w:pStyle w:val="13"/>
        <w:snapToGrid w:val="0"/>
        <w:jc w:val="center"/>
        <w:rPr>
          <w:rFonts w:ascii="Arial" w:hAnsi="Arial" w:cs="Arial"/>
          <w:sz w:val="32"/>
          <w:szCs w:val="32"/>
        </w:rPr>
      </w:pPr>
    </w:p>
    <w:p>
      <w:pPr>
        <w:pStyle w:val="13"/>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（电动床</w:t>
      </w:r>
      <w:r>
        <w:rPr>
          <w:rFonts w:hint="eastAsia" w:ascii="Times New Roman" w:hAnsi="Times New Roman" w:eastAsia="宋体" w:cs="Times New Roman"/>
          <w:b/>
          <w:bCs/>
          <w:kern w:val="44"/>
          <w:sz w:val="32"/>
          <w:szCs w:val="32"/>
          <w:lang w:val="en-US" w:eastAsia="zh-CN" w:bidi="ar-SA"/>
        </w:rPr>
        <w:t>院内</w:t>
      </w:r>
      <w:r>
        <w:rPr>
          <w:rFonts w:hint="eastAsia" w:cs="Times New Roman"/>
          <w:b/>
          <w:bCs/>
          <w:kern w:val="44"/>
          <w:sz w:val="32"/>
          <w:szCs w:val="32"/>
          <w:lang w:val="en-US" w:eastAsia="zh-CN" w:bidi="ar-SA"/>
        </w:rPr>
        <w:t>议价</w:t>
      </w:r>
      <w:r>
        <w:rPr>
          <w:rFonts w:hint="eastAsia" w:ascii="Times New Roman" w:hAnsi="Times New Roman" w:eastAsia="宋体" w:cs="Times New Roman"/>
          <w:b/>
          <w:bCs/>
          <w:kern w:val="44"/>
          <w:sz w:val="32"/>
          <w:szCs w:val="32"/>
          <w:lang w:val="en-US" w:eastAsia="zh-CN" w:bidi="ar-SA"/>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八</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sectPr>
          <w:headerReference r:id="rId3" w:type="default"/>
          <w:footerReference r:id="rId4" w:type="default"/>
          <w:pgSz w:w="11906" w:h="16838"/>
          <w:pgMar w:top="1440" w:right="1080" w:bottom="1440" w:left="1080" w:header="567" w:footer="283" w:gutter="0"/>
          <w:cols w:space="720" w:num="1"/>
          <w:docGrid w:linePitch="312" w:charSpace="0"/>
        </w:sectPr>
      </w:pPr>
    </w:p>
    <w:p>
      <w:pPr>
        <w:rPr>
          <w:rFonts w:hint="eastAsia"/>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3"/>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电动床</w:t>
      </w:r>
      <w:r>
        <w:rPr>
          <w:rFonts w:hint="eastAsia" w:asciiTheme="minorEastAsia" w:hAnsiTheme="minorEastAsia" w:eastAsiaTheme="minorEastAsia" w:cstheme="minorEastAsia"/>
          <w:bCs/>
          <w:color w:val="auto"/>
          <w:sz w:val="24"/>
          <w:szCs w:val="24"/>
          <w:lang w:val="en-US" w:eastAsia="zh-CN"/>
        </w:rPr>
        <w:t>项目进行院内挂网招标，将招标事项公告如下：</w:t>
      </w:r>
    </w:p>
    <w:p>
      <w:pPr>
        <w:pStyle w:val="13"/>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pPr>
        <w:pStyle w:val="13"/>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电动床</w:t>
      </w:r>
      <w:r>
        <w:rPr>
          <w:rFonts w:hint="eastAsia" w:asciiTheme="minorEastAsia" w:hAnsiTheme="minorEastAsia" w:eastAsiaTheme="minorEastAsia" w:cstheme="minorEastAsia"/>
          <w:b w:val="0"/>
          <w:bCs/>
          <w:color w:val="auto"/>
          <w:sz w:val="24"/>
          <w:szCs w:val="24"/>
          <w:lang w:val="en-US" w:eastAsia="zh-CN"/>
        </w:rPr>
        <w:t>采购项目</w:t>
      </w:r>
    </w:p>
    <w:p>
      <w:pPr>
        <w:pStyle w:val="13"/>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pPr>
        <w:pStyle w:val="13"/>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院内议价，按招标文件评分规则进行评审，以评审结果排序，综合评分得分相同的，按投标报价由低到高顺序排列，得分且投标报价相同的，按技术指标优劣顺序排列。</w:t>
      </w:r>
    </w:p>
    <w:bookmarkEnd w:id="0"/>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1、具有独立法人地位，营业执照具有相应的经营范围；</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6、投标人具备湖南省政府采购电子卖场资格，中标人在议价公示后三个工作日内需配合医院完成湖南省政府采购电子卖场直购程序。</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1、投标截止时间、开标时间：具体时间电话通知</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五、招标人地址和联系方法：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1、招标人名称：娄底市中心医院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3、招标人地址：娄底市长青中街51号</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2、有下列情形之一的，招标人将重新招标：</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pPr>
        <w:pStyle w:val="14"/>
        <w:rPr>
          <w:rFonts w:hint="eastAsia"/>
          <w:lang w:val="en-US" w:eastAsia="zh-CN"/>
        </w:rPr>
      </w:pPr>
    </w:p>
    <w:p>
      <w:pPr>
        <w:pStyle w:val="14"/>
        <w:jc w:val="both"/>
        <w:rPr>
          <w:rFonts w:hint="default"/>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4"/>
        <w:rPr>
          <w:rFonts w:hint="eastAsia" w:ascii="宋体" w:hAnsi="宋体" w:cs="宋体"/>
          <w:b/>
          <w:bCs/>
          <w:color w:val="auto"/>
          <w:sz w:val="44"/>
          <w:szCs w:val="44"/>
          <w:lang w:val="en-US" w:eastAsia="zh-CN"/>
        </w:rPr>
      </w:pPr>
    </w:p>
    <w:p>
      <w:pPr>
        <w:pStyle w:val="6"/>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pStyle w:val="12"/>
        <w:rPr>
          <w:rFonts w:hint="eastAsia"/>
          <w:lang w:val="en-US" w:eastAsia="zh-CN"/>
        </w:rPr>
      </w:pPr>
    </w:p>
    <w:p>
      <w:pPr>
        <w:pStyle w:val="2"/>
        <w:rPr>
          <w:rFonts w:hint="eastAsia" w:ascii="宋体" w:hAnsi="宋体" w:cs="宋体"/>
          <w:b/>
          <w:bCs/>
          <w:color w:val="auto"/>
          <w:sz w:val="44"/>
          <w:szCs w:val="44"/>
          <w:lang w:val="en-US" w:eastAsia="zh-CN"/>
        </w:rPr>
      </w:pPr>
    </w:p>
    <w:p>
      <w:pPr>
        <w:rPr>
          <w:rFonts w:hint="eastAsia"/>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0"/>
        <w:tblW w:w="930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58"/>
        <w:gridCol w:w="1721"/>
        <w:gridCol w:w="1710"/>
        <w:gridCol w:w="2134"/>
        <w:gridCol w:w="278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设备名称</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数量</w:t>
            </w:r>
            <w:r>
              <w:rPr>
                <w:rFonts w:hint="eastAsia" w:asciiTheme="minorEastAsia" w:hAnsiTheme="minorEastAsia" w:eastAsiaTheme="minorEastAsia" w:cstheme="minorEastAsia"/>
                <w:sz w:val="24"/>
                <w:szCs w:val="24"/>
              </w:rPr>
              <w:t>(台/套)</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172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rPr>
              <w:t>电动床</w:t>
            </w:r>
          </w:p>
        </w:tc>
        <w:tc>
          <w:tcPr>
            <w:tcW w:w="171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17</w:t>
            </w:r>
          </w:p>
        </w:tc>
        <w:tc>
          <w:tcPr>
            <w:tcW w:w="213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30.6</w:t>
            </w:r>
          </w:p>
        </w:tc>
        <w:tc>
          <w:tcPr>
            <w:tcW w:w="2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否</w:t>
            </w:r>
          </w:p>
        </w:tc>
      </w:tr>
    </w:tbl>
    <w:p>
      <w:pPr>
        <w:spacing w:line="360" w:lineRule="auto"/>
        <w:rPr>
          <w:rFonts w:hint="eastAsia" w:asciiTheme="minorEastAsia" w:hAnsiTheme="minorEastAsia" w:eastAsiaTheme="minorEastAsia" w:cstheme="minorEastAsia"/>
          <w:bCs/>
          <w:color w:val="auto"/>
          <w:kern w:val="0"/>
          <w:sz w:val="24"/>
          <w:szCs w:val="24"/>
          <w:lang w:val="en-US" w:eastAsia="zh-CN" w:bidi="ar-SA"/>
        </w:rPr>
      </w:pP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p>
      <w:pPr>
        <w:spacing w:line="360" w:lineRule="auto"/>
        <w:ind w:firstLine="562" w:firstLineChars="200"/>
        <w:rPr>
          <w:rFonts w:hint="eastAsia"/>
          <w:b/>
          <w:bCs/>
          <w:sz w:val="28"/>
          <w:szCs w:val="28"/>
          <w:lang w:val="en-US" w:eastAsia="zh-CN"/>
        </w:rPr>
      </w:pPr>
      <w:r>
        <w:rPr>
          <w:rFonts w:hint="eastAsia"/>
          <w:b/>
          <w:bCs/>
          <w:sz w:val="28"/>
          <w:szCs w:val="28"/>
          <w:lang w:val="en-US" w:eastAsia="zh-CN"/>
        </w:rPr>
        <w:t>技术参数：</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规格：全长</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b w:val="0"/>
          <w:bCs w:val="0"/>
          <w:sz w:val="24"/>
          <w:szCs w:val="24"/>
        </w:rPr>
        <w:t>2200mm；全宽</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b w:val="0"/>
          <w:bCs w:val="0"/>
          <w:sz w:val="24"/>
          <w:szCs w:val="24"/>
        </w:rPr>
        <w:t>9</w:t>
      </w:r>
      <w:r>
        <w:rPr>
          <w:rFonts w:hint="eastAsia" w:asciiTheme="minorEastAsia" w:hAnsiTheme="minorEastAsia" w:eastAsiaTheme="minorEastAsia" w:cstheme="minorEastAsia"/>
          <w:b w:val="0"/>
          <w:bCs w:val="0"/>
          <w:sz w:val="24"/>
          <w:szCs w:val="24"/>
          <w:lang w:val="en-US" w:eastAsia="zh-CN"/>
        </w:rPr>
        <w:t>7</w:t>
      </w:r>
      <w:r>
        <w:rPr>
          <w:rFonts w:hint="eastAsia" w:asciiTheme="minorEastAsia" w:hAnsiTheme="minorEastAsia" w:eastAsiaTheme="minorEastAsia" w:cstheme="minorEastAsia"/>
          <w:b w:val="0"/>
          <w:bCs w:val="0"/>
          <w:sz w:val="24"/>
          <w:szCs w:val="24"/>
        </w:rPr>
        <w:t>0mm（竖起侧护栏时），高低升降范围4</w:t>
      </w:r>
      <w:r>
        <w:rPr>
          <w:rFonts w:hint="eastAsia" w:asciiTheme="minorEastAsia" w:hAnsiTheme="minorEastAsia" w:eastAsiaTheme="minorEastAsia" w:cstheme="minorEastAsia"/>
          <w:b w:val="0"/>
          <w:bCs w:val="0"/>
          <w:sz w:val="24"/>
          <w:szCs w:val="24"/>
          <w:lang w:val="en-US" w:eastAsia="zh-CN"/>
        </w:rPr>
        <w:t>2</w:t>
      </w:r>
      <w:r>
        <w:rPr>
          <w:rFonts w:hint="eastAsia" w:asciiTheme="minorEastAsia" w:hAnsiTheme="minorEastAsia" w:eastAsiaTheme="minorEastAsia" w:cstheme="minorEastAsia"/>
          <w:b w:val="0"/>
          <w:bCs w:val="0"/>
          <w:sz w:val="24"/>
          <w:szCs w:val="24"/>
        </w:rPr>
        <w:t>5～785mm±50mm（床板到地面的高度）。</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功能：</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体位调节功能背部升降</w:t>
      </w:r>
      <w:r>
        <w:rPr>
          <w:rFonts w:hint="eastAsia" w:asciiTheme="minorEastAsia" w:hAnsiTheme="minorEastAsia" w:eastAsiaTheme="minorEastAsia" w:cstheme="minorEastAsia"/>
          <w:b w:val="0"/>
          <w:bCs w:val="0"/>
          <w:sz w:val="24"/>
          <w:szCs w:val="24"/>
          <w:lang w:val="en-US" w:eastAsia="zh-CN"/>
        </w:rPr>
        <w:t>范围</w:t>
      </w:r>
      <w:r>
        <w:rPr>
          <w:rFonts w:hint="eastAsia" w:asciiTheme="minorEastAsia" w:hAnsiTheme="minorEastAsia" w:eastAsiaTheme="minorEastAsia" w:cstheme="minorEastAsia"/>
          <w:b w:val="0"/>
          <w:bCs w:val="0"/>
          <w:sz w:val="24"/>
          <w:szCs w:val="24"/>
        </w:rPr>
        <w:t>0-70°，膝部升降</w:t>
      </w:r>
      <w:r>
        <w:rPr>
          <w:rFonts w:hint="eastAsia" w:asciiTheme="minorEastAsia" w:hAnsiTheme="minorEastAsia" w:eastAsiaTheme="minorEastAsia" w:cstheme="minorEastAsia"/>
          <w:b w:val="0"/>
          <w:bCs w:val="0"/>
          <w:sz w:val="24"/>
          <w:szCs w:val="24"/>
          <w:lang w:val="en-US" w:eastAsia="zh-CN"/>
        </w:rPr>
        <w:t>范围</w:t>
      </w:r>
      <w:r>
        <w:rPr>
          <w:rFonts w:hint="eastAsia" w:asciiTheme="minorEastAsia" w:hAnsiTheme="minorEastAsia" w:eastAsiaTheme="minorEastAsia" w:cstheme="minorEastAsia"/>
          <w:b w:val="0"/>
          <w:bCs w:val="0"/>
          <w:sz w:val="24"/>
          <w:szCs w:val="24"/>
        </w:rPr>
        <w:t>0-25°，高低升降425-7</w:t>
      </w:r>
      <w:r>
        <w:rPr>
          <w:rFonts w:hint="eastAsia" w:asciiTheme="minorEastAsia" w:hAnsiTheme="minorEastAsia" w:eastAsiaTheme="minorEastAsia" w:cstheme="minorEastAsia"/>
          <w:b w:val="0"/>
          <w:bCs w:val="0"/>
          <w:sz w:val="24"/>
          <w:szCs w:val="24"/>
          <w:lang w:val="en-US" w:eastAsia="zh-CN"/>
        </w:rPr>
        <w:t>85</w:t>
      </w:r>
      <w:r>
        <w:rPr>
          <w:rFonts w:hint="eastAsia" w:asciiTheme="minorEastAsia" w:hAnsiTheme="minorEastAsia" w:eastAsiaTheme="minorEastAsia" w:cstheme="minorEastAsia"/>
          <w:b w:val="0"/>
          <w:bCs w:val="0"/>
          <w:sz w:val="24"/>
          <w:szCs w:val="24"/>
        </w:rPr>
        <w:t>mm±50mm，整体倾斜</w:t>
      </w:r>
      <w:r>
        <w:rPr>
          <w:rFonts w:hint="eastAsia" w:asciiTheme="minorEastAsia" w:hAnsiTheme="minorEastAsia" w:eastAsiaTheme="minorEastAsia" w:cstheme="minorEastAsia"/>
          <w:b w:val="0"/>
          <w:bCs w:val="0"/>
          <w:sz w:val="24"/>
          <w:szCs w:val="24"/>
          <w:lang w:val="en-US" w:eastAsia="zh-CN"/>
        </w:rPr>
        <w:t>范围</w:t>
      </w:r>
      <w:r>
        <w:rPr>
          <w:rFonts w:hint="eastAsia" w:asciiTheme="minorEastAsia" w:hAnsiTheme="minorEastAsia" w:eastAsiaTheme="minorEastAsia" w:cstheme="minorEastAsia"/>
          <w:b w:val="0"/>
          <w:bCs w:val="0"/>
          <w:sz w:val="24"/>
          <w:szCs w:val="24"/>
        </w:rPr>
        <w:t>0-12°，一键式心脏椅位，一键复位，电动CPR功能。</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3、床板：采用冷轧钢板一次冲压成型，床面板带有透气孔；整床采用≥</w:t>
      </w:r>
      <w:r>
        <w:rPr>
          <w:rFonts w:hint="eastAsia" w:asciiTheme="minorEastAsia" w:hAnsiTheme="minorEastAsia" w:eastAsiaTheme="minorEastAsia" w:cstheme="minorEastAsia"/>
          <w:b w:val="0"/>
          <w:bCs w:val="0"/>
          <w:sz w:val="24"/>
          <w:szCs w:val="24"/>
          <w:lang w:val="en-US" w:eastAsia="zh-CN"/>
        </w:rPr>
        <w:t>20</w:t>
      </w:r>
      <w:r>
        <w:rPr>
          <w:rFonts w:hint="eastAsia" w:asciiTheme="minorEastAsia" w:hAnsiTheme="minorEastAsia" w:eastAsiaTheme="minorEastAsia" w:cstheme="minorEastAsia"/>
          <w:b w:val="0"/>
          <w:bCs w:val="0"/>
          <w:sz w:val="24"/>
          <w:szCs w:val="24"/>
        </w:rPr>
        <w:t>道粉末+电泳喷涂处理(提供电泳设备购置证明文件及工序流程图实景图)。</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4、头尾板：可拆卸式床头、床尾板，采用聚乙烯(PE)树脂材料一体吹塑成型，具有锁定装置，在紧急时能方便拆卸抢救、特殊护理及安全搬运患者。头尾板均有把握手柄，便于推行。</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5、护栏：</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lang w:val="en-US" w:eastAsia="zh-CN"/>
        </w:rPr>
        <w:t>5.1</w:t>
      </w:r>
      <w:r>
        <w:rPr>
          <w:rFonts w:hint="eastAsia" w:asciiTheme="minorEastAsia" w:hAnsiTheme="minorEastAsia" w:eastAsiaTheme="minorEastAsia" w:cstheme="minorEastAsia"/>
          <w:b w:val="0"/>
          <w:bCs w:val="0"/>
          <w:sz w:val="24"/>
          <w:szCs w:val="24"/>
        </w:rPr>
        <w:t>四片式分体式升降护栏，安装在床面板上,可随床体的功能同时动作。护栏的上部呈易于握持的形状,可作患者起立时的助力棒。</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lang w:val="en-US" w:eastAsia="zh-CN"/>
        </w:rPr>
        <w:t>5.2</w:t>
      </w:r>
      <w:r>
        <w:rPr>
          <w:rFonts w:hint="eastAsia" w:asciiTheme="minorEastAsia" w:hAnsiTheme="minorEastAsia" w:eastAsiaTheme="minorEastAsia" w:cstheme="minorEastAsia"/>
          <w:b w:val="0"/>
          <w:bCs w:val="0"/>
          <w:sz w:val="24"/>
          <w:szCs w:val="24"/>
        </w:rPr>
        <w:t>安全型护栏，护栏在受由内向外压力时无法打开，需受外向内压力方可打开。</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lang w:val="en-US" w:eastAsia="zh-CN"/>
        </w:rPr>
        <w:t>5.3</w:t>
      </w:r>
      <w:r>
        <w:rPr>
          <w:rFonts w:hint="eastAsia" w:asciiTheme="minorEastAsia" w:hAnsiTheme="minorEastAsia" w:eastAsiaTheme="minorEastAsia" w:cstheme="minorEastAsia"/>
          <w:b w:val="0"/>
          <w:bCs w:val="0"/>
          <w:sz w:val="24"/>
          <w:szCs w:val="24"/>
        </w:rPr>
        <w:t>前后护栏均设置角度显示器，可清晰显示背部床板升起角度及床体倾斜角度。</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lang w:val="en-US" w:eastAsia="zh-CN"/>
        </w:rPr>
        <w:t>5.4</w:t>
      </w:r>
      <w:r>
        <w:rPr>
          <w:rFonts w:hint="eastAsia" w:asciiTheme="minorEastAsia" w:hAnsiTheme="minorEastAsia" w:eastAsiaTheme="minorEastAsia" w:cstheme="minorEastAsia"/>
          <w:b w:val="0"/>
          <w:bCs w:val="0"/>
          <w:sz w:val="24"/>
          <w:szCs w:val="24"/>
        </w:rPr>
        <w:t>前侧护栏上设置蓄电池电量显示器，可清晰显示蓄电池状态。</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lang w:val="en-US" w:eastAsia="zh-CN"/>
        </w:rPr>
        <w:t>5.5</w:t>
      </w:r>
      <w:r>
        <w:rPr>
          <w:rFonts w:hint="eastAsia" w:asciiTheme="minorEastAsia" w:hAnsiTheme="minorEastAsia" w:eastAsiaTheme="minorEastAsia" w:cstheme="minorEastAsia"/>
          <w:b w:val="0"/>
          <w:bCs w:val="0"/>
          <w:sz w:val="24"/>
          <w:szCs w:val="24"/>
        </w:rPr>
        <w:t>前侧护栏上设置病床最低位显示灯，可显示病床是否达到最低安全位置。</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6、电机：4个电机控制体位升降。</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b w:val="0"/>
          <w:bCs w:val="0"/>
          <w:sz w:val="24"/>
          <w:szCs w:val="24"/>
        </w:rPr>
        <w:t>7、控制器：</w:t>
      </w:r>
      <w:r>
        <w:rPr>
          <w:rFonts w:hint="eastAsia" w:asciiTheme="minorEastAsia" w:hAnsiTheme="minorEastAsia" w:eastAsiaTheme="minorEastAsia" w:cstheme="minorEastAsia"/>
          <w:b w:val="0"/>
          <w:bCs w:val="0"/>
          <w:sz w:val="24"/>
          <w:szCs w:val="24"/>
          <w:lang w:val="en-US" w:eastAsia="zh-CN"/>
        </w:rPr>
        <w:t>数量</w:t>
      </w:r>
      <w:r>
        <w:rPr>
          <w:rFonts w:hint="eastAsia" w:asciiTheme="minorEastAsia" w:hAnsiTheme="minorEastAsia" w:eastAsiaTheme="minorEastAsia" w:cstheme="minorEastAsia"/>
          <w:b w:val="0"/>
          <w:bCs w:val="0"/>
          <w:sz w:val="24"/>
          <w:szCs w:val="24"/>
          <w:lang w:eastAsia="zh-CN"/>
        </w:rPr>
        <w:t>≥</w:t>
      </w:r>
      <w:r>
        <w:rPr>
          <w:rFonts w:hint="eastAsia" w:asciiTheme="minorEastAsia" w:hAnsiTheme="minorEastAsia" w:eastAsiaTheme="minorEastAsia" w:cstheme="minorEastAsia"/>
          <w:b w:val="0"/>
          <w:bCs w:val="0"/>
          <w:sz w:val="24"/>
          <w:szCs w:val="24"/>
          <w:lang w:val="en-US" w:eastAsia="zh-CN"/>
        </w:rPr>
        <w:t>5个，需配备患者操作面板2个、护士操作面板2个、手持遥控器1个。</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7.1</w:t>
      </w:r>
      <w:r>
        <w:rPr>
          <w:rFonts w:hint="eastAsia" w:asciiTheme="minorEastAsia" w:hAnsiTheme="minorEastAsia" w:eastAsiaTheme="minorEastAsia" w:cstheme="minorEastAsia"/>
          <w:b w:val="0"/>
          <w:bCs w:val="0"/>
          <w:sz w:val="24"/>
          <w:szCs w:val="24"/>
        </w:rPr>
        <w:t>手持线型控制器：大图标按键操作，能操作所有体位，并可悬挂在护栏上。</w:t>
      </w:r>
      <w:r>
        <w:rPr>
          <w:rFonts w:hint="eastAsia" w:asciiTheme="minorEastAsia" w:hAnsiTheme="minorEastAsia" w:eastAsiaTheme="minorEastAsia" w:cstheme="minorEastAsia"/>
          <w:b w:val="0"/>
          <w:bCs w:val="0"/>
          <w:sz w:val="24"/>
          <w:szCs w:val="24"/>
          <w:lang w:val="en-US" w:eastAsia="zh-CN"/>
        </w:rPr>
        <w:t>遥控器上设置有急停开关键。</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lang w:val="en-US" w:eastAsia="zh-CN"/>
        </w:rPr>
        <w:t>7.2</w:t>
      </w:r>
      <w:r>
        <w:rPr>
          <w:rFonts w:hint="eastAsia" w:asciiTheme="minorEastAsia" w:hAnsiTheme="minorEastAsia" w:eastAsiaTheme="minorEastAsia" w:cstheme="minorEastAsia"/>
          <w:b w:val="0"/>
          <w:bCs w:val="0"/>
          <w:sz w:val="24"/>
          <w:szCs w:val="24"/>
        </w:rPr>
        <w:t>护栏控制器：护栏内侧具有患者控制器，护栏外侧设有医护人员控制器。</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lang w:val="en-US" w:eastAsia="zh-CN"/>
        </w:rPr>
        <w:t>7.2.1</w:t>
      </w:r>
      <w:r>
        <w:rPr>
          <w:rFonts w:hint="eastAsia" w:asciiTheme="minorEastAsia" w:hAnsiTheme="minorEastAsia" w:eastAsiaTheme="minorEastAsia" w:cstheme="minorEastAsia"/>
          <w:b w:val="0"/>
          <w:bCs w:val="0"/>
          <w:sz w:val="24"/>
          <w:szCs w:val="24"/>
        </w:rPr>
        <w:t>、患者控制器：可操作背部升降及膝部升降功能，并设有紧急停止按键。</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lang w:val="en-US" w:eastAsia="zh-CN"/>
        </w:rPr>
        <w:t>7.2.2</w:t>
      </w:r>
      <w:r>
        <w:rPr>
          <w:rFonts w:hint="eastAsia" w:asciiTheme="minorEastAsia" w:hAnsiTheme="minorEastAsia" w:eastAsiaTheme="minorEastAsia" w:cstheme="minorEastAsia"/>
          <w:b w:val="0"/>
          <w:bCs w:val="0"/>
          <w:sz w:val="24"/>
          <w:szCs w:val="24"/>
        </w:rPr>
        <w:t>、医护人员控制器：可操作病床的所有功能。</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lang w:eastAsia="zh-CN"/>
        </w:rPr>
      </w:pPr>
      <w:r>
        <w:rPr>
          <w:rFonts w:hint="eastAsia" w:asciiTheme="minorEastAsia" w:hAnsiTheme="minorEastAsia" w:eastAsiaTheme="minorEastAsia" w:cstheme="minorEastAsia"/>
          <w:b w:val="0"/>
          <w:bCs w:val="0"/>
          <w:sz w:val="24"/>
          <w:szCs w:val="24"/>
          <w:lang w:val="en-US" w:eastAsia="zh-CN"/>
        </w:rPr>
        <w:t>7.2.3</w:t>
      </w:r>
      <w:r>
        <w:rPr>
          <w:rFonts w:hint="eastAsia" w:asciiTheme="minorEastAsia" w:hAnsiTheme="minorEastAsia" w:eastAsiaTheme="minorEastAsia" w:cstheme="minorEastAsia"/>
          <w:b w:val="0"/>
          <w:bCs w:val="0"/>
          <w:sz w:val="24"/>
          <w:szCs w:val="24"/>
        </w:rPr>
        <w:t>、具备自锁定功能</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b w:val="0"/>
          <w:bCs w:val="0"/>
          <w:sz w:val="24"/>
          <w:szCs w:val="24"/>
        </w:rPr>
        <w:t>无操作时</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b w:val="0"/>
          <w:bCs w:val="0"/>
          <w:sz w:val="24"/>
          <w:szCs w:val="24"/>
        </w:rPr>
        <w:t>护栏遥控器可自动锁定</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b w:val="0"/>
          <w:bCs w:val="0"/>
          <w:sz w:val="24"/>
          <w:szCs w:val="24"/>
        </w:rPr>
        <w:t>避免误操作</w:t>
      </w:r>
      <w:r>
        <w:rPr>
          <w:rFonts w:hint="eastAsia" w:asciiTheme="minorEastAsia" w:hAnsiTheme="minorEastAsia" w:eastAsiaTheme="minorEastAsia" w:cstheme="minorEastAsia"/>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8、脚轮：采用直径125mm脚轮，具有锁定、自由、定向三段式跷跷板中央控制锁定装置；防腐蚀，耐酸性，静音，防缠绕。</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蓄电池：</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标配有蓄电池，可在断电情况下提供体位调节所需电源。</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手动CPR装置：</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床板两侧，各设置手动CPR装置1套。</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束缚装置：</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床板上方两侧，各设置7个束缚装置，用于捆绑特殊病患。</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12、引流袋挂钩：</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床板两侧，各设置引流袋及附属挂钩2个。</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80" w:firstLineChars="200"/>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13、配套产品：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13.1、高密度海绵1张/床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lang w:eastAsia="zh-CN"/>
        </w:rPr>
      </w:pPr>
      <w:r>
        <w:rPr>
          <w:rFonts w:hint="eastAsia" w:asciiTheme="minorEastAsia" w:hAnsiTheme="minorEastAsia" w:eastAsiaTheme="minorEastAsia" w:cstheme="minorEastAsia"/>
          <w:b w:val="0"/>
          <w:bCs w:val="0"/>
          <w:sz w:val="24"/>
          <w:szCs w:val="24"/>
          <w:lang w:val="en-US" w:eastAsia="zh-CN"/>
        </w:rPr>
        <w:t>13.1.1</w:t>
      </w:r>
      <w:r>
        <w:rPr>
          <w:rFonts w:hint="eastAsia" w:asciiTheme="minorEastAsia" w:hAnsiTheme="minorEastAsia" w:eastAsiaTheme="minorEastAsia" w:cstheme="minorEastAsia"/>
          <w:b w:val="0"/>
          <w:bCs w:val="0"/>
          <w:sz w:val="24"/>
          <w:szCs w:val="24"/>
        </w:rPr>
        <w:t>：外套：面料可拆卸，防水，抗菌、阻燃。涤纶加PU涂层</w:t>
      </w:r>
      <w:r>
        <w:rPr>
          <w:rFonts w:hint="eastAsia" w:asciiTheme="minorEastAsia" w:hAnsiTheme="minorEastAsia" w:eastAsiaTheme="minorEastAsia" w:cstheme="minorEastAsia"/>
          <w:b w:val="0"/>
          <w:bCs w:val="0"/>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13.1.2</w:t>
      </w:r>
      <w:r>
        <w:rPr>
          <w:rFonts w:hint="eastAsia" w:asciiTheme="minorEastAsia" w:hAnsiTheme="minorEastAsia" w:eastAsiaTheme="minorEastAsia" w:cstheme="minorEastAsia"/>
          <w:b w:val="0"/>
          <w:bCs w:val="0"/>
          <w:sz w:val="24"/>
          <w:szCs w:val="24"/>
        </w:rPr>
        <w:t xml:space="preserve">：内芯：软硬双层海绵，上层(软面)为波浪型设计，采用一体式波浪形高弹海绵制成，下层(较硬面)为平板式设计；  </w:t>
      </w:r>
    </w:p>
    <w:p>
      <w:pPr>
        <w:keepNext w:val="0"/>
        <w:keepLines w:val="0"/>
        <w:pageBreakBefore w:val="0"/>
        <w:widowControl w:val="0"/>
        <w:numPr>
          <w:ilvl w:val="0"/>
          <w:numId w:val="0"/>
        </w:numPr>
        <w:tabs>
          <w:tab w:val="left" w:pos="2945"/>
        </w:tabs>
        <w:kinsoku/>
        <w:wordWrap/>
        <w:overflowPunct/>
        <w:topLinePunct w:val="0"/>
        <w:autoSpaceDE/>
        <w:autoSpaceDN/>
        <w:bidi w:val="0"/>
        <w:adjustRightInd/>
        <w:snapToGrid/>
        <w:spacing w:line="240" w:lineRule="auto"/>
        <w:ind w:leftChars="0" w:firstLine="480" w:firstLineChars="200"/>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13.2、床上桌 1张/床</w:t>
      </w:r>
      <w:r>
        <w:rPr>
          <w:rFonts w:hint="eastAsia" w:asciiTheme="minorEastAsia" w:hAnsiTheme="minorEastAsia" w:eastAsiaTheme="minorEastAsia" w:cstheme="minorEastAsia"/>
          <w:b w:val="0"/>
          <w:bCs w:val="0"/>
          <w:sz w:val="24"/>
          <w:szCs w:val="24"/>
          <w:lang w:val="en-US" w:eastAsia="zh-CN"/>
        </w:rPr>
        <w:tab/>
      </w:r>
    </w:p>
    <w:p>
      <w:pPr>
        <w:keepNext w:val="0"/>
        <w:keepLines w:val="0"/>
        <w:pageBreakBefore w:val="0"/>
        <w:widowControl w:val="0"/>
        <w:numPr>
          <w:ilvl w:val="0"/>
          <w:numId w:val="0"/>
        </w:numPr>
        <w:tabs>
          <w:tab w:val="left" w:pos="2945"/>
        </w:tabs>
        <w:kinsoku/>
        <w:wordWrap/>
        <w:overflowPunct/>
        <w:topLinePunct w:val="0"/>
        <w:autoSpaceDE/>
        <w:autoSpaceDN/>
        <w:bidi w:val="0"/>
        <w:adjustRightInd/>
        <w:snapToGrid/>
        <w:spacing w:line="240" w:lineRule="auto"/>
        <w:ind w:leftChars="0" w:firstLine="480" w:firstLineChars="200"/>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13.3、点滴杆 1根/床</w:t>
      </w:r>
    </w:p>
    <w:p>
      <w:pPr>
        <w:keepNext w:val="0"/>
        <w:keepLines w:val="0"/>
        <w:pageBreakBefore w:val="0"/>
        <w:widowControl w:val="0"/>
        <w:numPr>
          <w:ilvl w:val="0"/>
          <w:numId w:val="0"/>
        </w:numPr>
        <w:tabs>
          <w:tab w:val="left" w:pos="2945"/>
        </w:tabs>
        <w:kinsoku/>
        <w:wordWrap/>
        <w:overflowPunct/>
        <w:topLinePunct w:val="0"/>
        <w:autoSpaceDE/>
        <w:autoSpaceDN/>
        <w:bidi w:val="0"/>
        <w:adjustRightInd/>
        <w:snapToGrid/>
        <w:spacing w:line="240" w:lineRule="auto"/>
        <w:ind w:leftChars="0" w:firstLine="480" w:firstLineChars="200"/>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13.3.1</w:t>
      </w:r>
      <w:r>
        <w:rPr>
          <w:rFonts w:hint="eastAsia" w:asciiTheme="minorEastAsia" w:hAnsiTheme="minorEastAsia" w:eastAsiaTheme="minorEastAsia" w:cstheme="minorEastAsia"/>
          <w:b w:val="0"/>
          <w:bCs w:val="0"/>
          <w:sz w:val="24"/>
          <w:szCs w:val="24"/>
        </w:rPr>
        <w:t>：</w:t>
      </w:r>
      <w:r>
        <w:rPr>
          <w:rFonts w:hint="eastAsia" w:asciiTheme="minorEastAsia" w:hAnsiTheme="minorEastAsia" w:eastAsiaTheme="minorEastAsia" w:cstheme="minorEastAsia"/>
          <w:b w:val="0"/>
          <w:bCs w:val="0"/>
          <w:sz w:val="24"/>
          <w:szCs w:val="24"/>
          <w:lang w:val="en-US" w:eastAsia="zh-CN"/>
        </w:rPr>
        <w:t>输液架标配四个挂钩，可收起放下</w:t>
      </w:r>
    </w:p>
    <w:p>
      <w:pPr>
        <w:keepNext w:val="0"/>
        <w:keepLines w:val="0"/>
        <w:pageBreakBefore w:val="0"/>
        <w:widowControl w:val="0"/>
        <w:numPr>
          <w:ilvl w:val="0"/>
          <w:numId w:val="0"/>
        </w:numPr>
        <w:tabs>
          <w:tab w:val="left" w:pos="2945"/>
        </w:tabs>
        <w:kinsoku/>
        <w:wordWrap/>
        <w:overflowPunct/>
        <w:topLinePunct w:val="0"/>
        <w:autoSpaceDE/>
        <w:autoSpaceDN/>
        <w:bidi w:val="0"/>
        <w:adjustRightInd/>
        <w:snapToGrid/>
        <w:spacing w:line="240" w:lineRule="auto"/>
        <w:ind w:leftChars="0" w:firstLine="480" w:firstLineChars="200"/>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13.3.2</w:t>
      </w:r>
      <w:r>
        <w:rPr>
          <w:rFonts w:hint="eastAsia" w:asciiTheme="minorEastAsia" w:hAnsiTheme="minorEastAsia" w:eastAsiaTheme="minorEastAsia" w:cstheme="minorEastAsia"/>
          <w:b w:val="0"/>
          <w:bCs w:val="0"/>
          <w:sz w:val="24"/>
          <w:szCs w:val="24"/>
        </w:rPr>
        <w:t>：</w:t>
      </w:r>
      <w:r>
        <w:rPr>
          <w:rFonts w:hint="eastAsia" w:asciiTheme="minorEastAsia" w:hAnsiTheme="minorEastAsia" w:eastAsiaTheme="minorEastAsia" w:cstheme="minorEastAsia"/>
          <w:b w:val="0"/>
          <w:bCs w:val="0"/>
          <w:sz w:val="24"/>
          <w:szCs w:val="24"/>
          <w:lang w:val="en-US" w:eastAsia="zh-CN"/>
        </w:rPr>
        <w:t>材质：不锈钢管架，具有树脂制上下锁紧件</w:t>
      </w:r>
    </w:p>
    <w:p>
      <w:pPr>
        <w:keepNext w:val="0"/>
        <w:keepLines w:val="0"/>
        <w:pageBreakBefore w:val="0"/>
        <w:widowControl w:val="0"/>
        <w:numPr>
          <w:ilvl w:val="0"/>
          <w:numId w:val="0"/>
        </w:numPr>
        <w:tabs>
          <w:tab w:val="left" w:pos="2945"/>
        </w:tabs>
        <w:kinsoku/>
        <w:wordWrap/>
        <w:overflowPunct/>
        <w:topLinePunct w:val="0"/>
        <w:autoSpaceDE/>
        <w:autoSpaceDN/>
        <w:bidi w:val="0"/>
        <w:adjustRightInd/>
        <w:snapToGrid/>
        <w:spacing w:line="240" w:lineRule="auto"/>
        <w:ind w:leftChars="0" w:firstLine="480" w:firstLineChars="200"/>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13.3.3</w:t>
      </w:r>
      <w:r>
        <w:rPr>
          <w:rFonts w:hint="eastAsia" w:asciiTheme="minorEastAsia" w:hAnsiTheme="minorEastAsia" w:eastAsiaTheme="minorEastAsia" w:cstheme="minorEastAsia"/>
          <w:b w:val="0"/>
          <w:bCs w:val="0"/>
          <w:sz w:val="24"/>
          <w:szCs w:val="24"/>
        </w:rPr>
        <w:t>：</w:t>
      </w:r>
      <w:r>
        <w:rPr>
          <w:rFonts w:hint="eastAsia" w:asciiTheme="minorEastAsia" w:hAnsiTheme="minorEastAsia" w:eastAsiaTheme="minorEastAsia" w:cstheme="minorEastAsia"/>
          <w:b w:val="0"/>
          <w:bCs w:val="0"/>
          <w:sz w:val="24"/>
          <w:szCs w:val="24"/>
          <w:lang w:val="en-US" w:eastAsia="zh-CN"/>
        </w:rPr>
        <w:t>具有空气阻尼装置：可以使输液杆缓速下降，而且可以通过旋转上下锁紧件调节高度并固定</w:t>
      </w:r>
    </w:p>
    <w:p>
      <w:pPr>
        <w:keepNext w:val="0"/>
        <w:keepLines w:val="0"/>
        <w:pageBreakBefore w:val="0"/>
        <w:widowControl w:val="0"/>
        <w:numPr>
          <w:ilvl w:val="0"/>
          <w:numId w:val="0"/>
        </w:numPr>
        <w:tabs>
          <w:tab w:val="left" w:pos="2945"/>
        </w:tabs>
        <w:kinsoku/>
        <w:wordWrap/>
        <w:overflowPunct/>
        <w:topLinePunct w:val="0"/>
        <w:autoSpaceDE/>
        <w:autoSpaceDN/>
        <w:bidi w:val="0"/>
        <w:adjustRightInd/>
        <w:snapToGrid/>
        <w:spacing w:line="240" w:lineRule="auto"/>
        <w:ind w:leftChars="0" w:firstLine="480" w:firstLineChars="200"/>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13.3.5</w:t>
      </w:r>
      <w:r>
        <w:rPr>
          <w:rFonts w:hint="eastAsia" w:asciiTheme="minorEastAsia" w:hAnsiTheme="minorEastAsia" w:eastAsiaTheme="minorEastAsia" w:cstheme="minorEastAsia"/>
          <w:b w:val="0"/>
          <w:bCs w:val="0"/>
          <w:sz w:val="24"/>
          <w:szCs w:val="24"/>
        </w:rPr>
        <w:t>：</w:t>
      </w:r>
      <w:r>
        <w:rPr>
          <w:rFonts w:hint="eastAsia" w:asciiTheme="minorEastAsia" w:hAnsiTheme="minorEastAsia" w:eastAsiaTheme="minorEastAsia" w:cstheme="minorEastAsia"/>
          <w:b w:val="0"/>
          <w:bCs w:val="0"/>
          <w:sz w:val="24"/>
          <w:szCs w:val="24"/>
          <w:lang w:val="en-US" w:eastAsia="zh-CN"/>
        </w:rPr>
        <w:t>挂钩的荷重≥1KG</w:t>
      </w:r>
    </w:p>
    <w:p>
      <w:pPr>
        <w:keepNext w:val="0"/>
        <w:keepLines w:val="0"/>
        <w:pageBreakBefore w:val="0"/>
        <w:widowControl w:val="0"/>
        <w:numPr>
          <w:ilvl w:val="0"/>
          <w:numId w:val="0"/>
        </w:numPr>
        <w:tabs>
          <w:tab w:val="left" w:pos="2945"/>
        </w:tabs>
        <w:kinsoku/>
        <w:wordWrap/>
        <w:overflowPunct/>
        <w:topLinePunct w:val="0"/>
        <w:autoSpaceDE/>
        <w:autoSpaceDN/>
        <w:bidi w:val="0"/>
        <w:adjustRightInd/>
        <w:snapToGrid/>
        <w:spacing w:line="240" w:lineRule="auto"/>
        <w:ind w:leftChars="0" w:firstLine="480" w:firstLineChars="200"/>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13.4、钢制床头柜  1个/床</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lang w:eastAsia="zh-CN"/>
        </w:rPr>
      </w:pPr>
      <w:r>
        <w:rPr>
          <w:rFonts w:hint="eastAsia" w:asciiTheme="minorEastAsia" w:hAnsiTheme="minorEastAsia" w:eastAsiaTheme="minorEastAsia" w:cstheme="minorEastAsia"/>
          <w:b w:val="0"/>
          <w:bCs w:val="0"/>
          <w:sz w:val="24"/>
          <w:szCs w:val="24"/>
          <w:lang w:val="en-US" w:eastAsia="zh-CN"/>
        </w:rPr>
        <w:t>13.4.1</w:t>
      </w:r>
      <w:r>
        <w:rPr>
          <w:rFonts w:hint="eastAsia" w:asciiTheme="minorEastAsia" w:hAnsiTheme="minorEastAsia" w:eastAsiaTheme="minorEastAsia" w:cstheme="minorEastAsia"/>
          <w:b w:val="0"/>
          <w:bCs w:val="0"/>
          <w:sz w:val="24"/>
          <w:szCs w:val="24"/>
        </w:rPr>
        <w:t>：全钢制床头柜,柜体钢板厚度0.5mm，采用冷扎钢板冲压成型，静电粉末喷涂，涂层厚度达80微米：门与抽屉表面覆盖木纹贴纸</w:t>
      </w:r>
      <w:r>
        <w:rPr>
          <w:rFonts w:hint="eastAsia" w:asciiTheme="minorEastAsia" w:hAnsiTheme="minorEastAsia" w:eastAsiaTheme="minorEastAsia" w:cstheme="minorEastAsia"/>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lang w:val="en-US" w:eastAsia="zh-CN"/>
        </w:rPr>
        <w:t>13.4.2</w:t>
      </w:r>
      <w:r>
        <w:rPr>
          <w:rFonts w:hint="eastAsia" w:asciiTheme="minorEastAsia" w:hAnsiTheme="minorEastAsia" w:eastAsiaTheme="minorEastAsia" w:cstheme="minorEastAsia"/>
          <w:b w:val="0"/>
          <w:bCs w:val="0"/>
          <w:sz w:val="24"/>
          <w:szCs w:val="24"/>
        </w:rPr>
        <w:t>：配4个40mm脚轮；</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lang w:val="en-US" w:eastAsia="zh-CN"/>
        </w:rPr>
        <w:t>13.4.3</w:t>
      </w:r>
      <w:r>
        <w:rPr>
          <w:rFonts w:hint="eastAsia" w:asciiTheme="minorEastAsia" w:hAnsiTheme="minorEastAsia" w:eastAsiaTheme="minorEastAsia" w:cstheme="minorEastAsia"/>
          <w:b w:val="0"/>
          <w:bCs w:val="0"/>
          <w:sz w:val="24"/>
          <w:szCs w:val="24"/>
        </w:rPr>
        <w:t>：带可拉出式ABS桌板，桌板自带放置茶杯和体温计的凹槽；</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lang w:val="en-US" w:eastAsia="zh-CN"/>
        </w:rPr>
        <w:t>13.4.4</w:t>
      </w:r>
      <w:r>
        <w:rPr>
          <w:rFonts w:hint="eastAsia" w:asciiTheme="minorEastAsia" w:hAnsiTheme="minorEastAsia" w:eastAsiaTheme="minorEastAsia" w:cstheme="minorEastAsia"/>
          <w:b w:val="0"/>
          <w:bCs w:val="0"/>
          <w:sz w:val="24"/>
          <w:szCs w:val="24"/>
        </w:rPr>
        <w:t>：两侧自带可收藏式毛巾架；</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lang w:val="en-US" w:eastAsia="zh-CN"/>
        </w:rPr>
        <w:t>13.4.5</w:t>
      </w:r>
      <w:r>
        <w:rPr>
          <w:rFonts w:hint="eastAsia" w:asciiTheme="minorEastAsia" w:hAnsiTheme="minorEastAsia" w:eastAsiaTheme="minorEastAsia" w:cstheme="minorEastAsia"/>
          <w:b w:val="0"/>
          <w:bCs w:val="0"/>
          <w:sz w:val="24"/>
          <w:szCs w:val="24"/>
        </w:rPr>
        <w:t>：柜门内独特的隔板设计，可将1.4升或1.6升暖水瓶放于柜内。隔板高度可根据使用者需求，进行三档高度调节，可根据需求划分柜内空间。</w:t>
      </w:r>
    </w:p>
    <w:p>
      <w:pPr>
        <w:rPr>
          <w:rFonts w:hint="eastAsia"/>
          <w:lang w:val="en-US" w:eastAsia="zh-CN"/>
        </w:rPr>
      </w:pPr>
    </w:p>
    <w:p>
      <w:pPr>
        <w:ind w:firstLine="482" w:firstLineChars="200"/>
        <w:rPr>
          <w:rFonts w:hint="eastAsia"/>
          <w:lang w:val="en-US" w:eastAsia="zh-CN"/>
        </w:rPr>
      </w:pPr>
      <w:r>
        <w:rPr>
          <w:rFonts w:hint="eastAsia" w:asciiTheme="minorEastAsia" w:hAnsiTheme="minorEastAsia" w:eastAsiaTheme="minorEastAsia" w:cstheme="minorEastAsia"/>
          <w:b/>
          <w:bCs w:val="0"/>
          <w:color w:val="auto"/>
          <w:kern w:val="0"/>
          <w:sz w:val="24"/>
          <w:szCs w:val="24"/>
          <w:lang w:val="en-US" w:eastAsia="zh-CN" w:bidi="ar-SA"/>
        </w:rPr>
        <w:t>商务参数：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*2、交货时间：按</w:t>
      </w:r>
      <w:r>
        <w:rPr>
          <w:rFonts w:hint="eastAsia" w:ascii="宋体" w:hAnsi="宋体" w:cs="宋体"/>
          <w:color w:val="auto"/>
          <w:sz w:val="24"/>
          <w:szCs w:val="24"/>
          <w:lang w:val="en-US" w:eastAsia="zh-CN"/>
        </w:rPr>
        <w:t>合同约定的日期交货。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、交货地点：娄底市中心医院</w:t>
      </w:r>
      <w:r>
        <w:rPr>
          <w:rFonts w:hint="eastAsia" w:ascii="宋体" w:hAnsi="宋体" w:cs="宋体"/>
          <w:color w:val="auto"/>
          <w:sz w:val="24"/>
          <w:szCs w:val="24"/>
          <w:lang w:val="en-US" w:eastAsia="zh-CN"/>
        </w:rPr>
        <w:t>指定地点</w:t>
      </w:r>
      <w:r>
        <w:rPr>
          <w:rFonts w:hint="eastAsia" w:ascii="宋体" w:hAnsi="宋体" w:eastAsia="宋体" w:cs="宋体"/>
          <w:color w:val="auto"/>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2年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年，终身维修。</w:t>
      </w:r>
      <w:r>
        <w:rPr>
          <w:rFonts w:hint="eastAsia" w:ascii="宋体" w:hAnsi="宋体" w:cs="宋体"/>
          <w:color w:val="auto"/>
          <w:sz w:val="24"/>
          <w:szCs w:val="24"/>
          <w:lang w:val="en-US" w:eastAsia="zh-CN"/>
        </w:rPr>
        <w:t>验收时</w:t>
      </w:r>
      <w:r>
        <w:rPr>
          <w:rFonts w:hint="eastAsia" w:ascii="宋体" w:hAnsi="宋体" w:eastAsia="宋体" w:cs="宋体"/>
          <w:color w:val="auto"/>
          <w:sz w:val="24"/>
          <w:szCs w:val="24"/>
        </w:rPr>
        <w:t>出具原厂售后质保承诺书，质保期内每年巡检</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rPr>
        <w:t>次</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并提交巡检记录</w:t>
      </w:r>
      <w:r>
        <w:rPr>
          <w:rFonts w:hint="eastAsia" w:ascii="宋体" w:hAnsi="宋体" w:eastAsia="宋体" w:cs="宋体"/>
          <w:color w:val="auto"/>
          <w:sz w:val="24"/>
          <w:szCs w:val="24"/>
        </w:rPr>
        <w:t>。</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bookmarkStart w:id="5" w:name="_GoBack"/>
      <w:r>
        <w:rPr>
          <w:rFonts w:hint="eastAsia" w:asciiTheme="minorEastAsia" w:hAnsiTheme="minorEastAsia" w:eastAsiaTheme="minorEastAsia" w:cstheme="minorEastAsia"/>
          <w:color w:val="auto"/>
          <w:sz w:val="24"/>
          <w:szCs w:val="24"/>
          <w:lang w:val="en-US" w:eastAsia="zh-CN"/>
        </w:rPr>
        <w:t>固定绑带磨损，承诺终身免费更换</w:t>
      </w:r>
      <w:bookmarkEnd w:id="5"/>
      <w:r>
        <w:rPr>
          <w:rFonts w:hint="eastAsia" w:asciiTheme="minorEastAsia" w:hAnsiTheme="minorEastAsia" w:eastAsiaTheme="minorEastAsia" w:cstheme="minorEastAsia"/>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电动床</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 电动床</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5"/>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10"/>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电动床</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17台</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 xml:space="preserve">1.4  </w:t>
      </w:r>
      <w:r>
        <w:rPr>
          <w:rFonts w:hint="eastAsia" w:ascii="宋体" w:hAnsi="宋体" w:eastAsia="宋体" w:cs="宋体"/>
          <w:color w:val="auto"/>
          <w:sz w:val="24"/>
          <w:szCs w:val="24"/>
          <w:highlight w:val="none"/>
        </w:rPr>
        <w:t>运输、装卸、培训、安装调试由</w:t>
      </w:r>
      <w:r>
        <w:rPr>
          <w:rFonts w:hint="eastAsia" w:ascii="宋体" w:hAnsi="宋体" w:eastAsia="宋体" w:cs="宋体"/>
          <w:color w:val="0000FF"/>
          <w:sz w:val="24"/>
          <w:szCs w:val="24"/>
          <w:highlight w:val="none"/>
          <w:lang w:val="en-US" w:eastAsia="zh-CN"/>
        </w:rPr>
        <w:t>乙方</w:t>
      </w:r>
      <w:r>
        <w:rPr>
          <w:rFonts w:hint="eastAsia" w:ascii="宋体" w:hAnsi="宋体" w:eastAsia="宋体" w:cs="宋体"/>
          <w:color w:val="auto"/>
          <w:sz w:val="24"/>
          <w:szCs w:val="24"/>
          <w:highlight w:val="none"/>
        </w:rPr>
        <w:t>负责承担，最终通过使用科室、设备科及相关部门确认验收交付使用。</w:t>
      </w:r>
    </w:p>
    <w:p>
      <w:pPr>
        <w:keepNext w:val="0"/>
        <w:keepLines w:val="0"/>
        <w:pageBreakBefore w:val="0"/>
        <w:widowControl w:val="0"/>
        <w:numPr>
          <w:ilvl w:val="0"/>
          <w:numId w:val="5"/>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0000FF"/>
          <w:sz w:val="24"/>
          <w:lang w:val="en-US" w:eastAsia="zh-CN"/>
        </w:rPr>
        <w:t>并</w:t>
      </w:r>
      <w:r>
        <w:rPr>
          <w:rFonts w:hint="eastAsia" w:ascii="宋体" w:hAnsi="宋体" w:eastAsia="宋体" w:cs="宋体"/>
          <w:color w:val="0000FF"/>
          <w:sz w:val="24"/>
          <w:szCs w:val="24"/>
        </w:rPr>
        <w:t>出具原厂售后质保承诺书</w:t>
      </w:r>
      <w:r>
        <w:rPr>
          <w:rFonts w:hint="eastAsia" w:ascii="宋体" w:hAnsi="宋体" w:eastAsia="宋体" w:cs="宋体"/>
          <w:sz w:val="24"/>
        </w:rPr>
        <w:t>。</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w:t>
      </w:r>
      <w:r>
        <w:rPr>
          <w:rFonts w:hint="eastAsia" w:ascii="宋体" w:hAnsi="宋体" w:eastAsia="宋体" w:cs="宋体"/>
          <w:color w:val="0000FF"/>
          <w:sz w:val="24"/>
          <w:szCs w:val="24"/>
          <w:highlight w:val="none"/>
          <w:lang w:val="en-US" w:eastAsia="zh-CN"/>
        </w:rPr>
        <w:t>24小时响应，响应后4小时上门服务</w:t>
      </w:r>
      <w:r>
        <w:rPr>
          <w:rFonts w:hint="eastAsia" w:ascii="宋体" w:hAnsi="宋体" w:eastAsia="宋体" w:cs="宋体"/>
          <w:color w:val="auto"/>
          <w:sz w:val="24"/>
          <w:szCs w:val="24"/>
          <w:lang w:val="en-US" w:eastAsia="zh-CN"/>
        </w:rPr>
        <w:t>，相关费用由乙方承担。如乙方不及时履行保修义务，甲方有权委托第三方进行维修，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w:t>
      </w:r>
      <w:r>
        <w:rPr>
          <w:rFonts w:hint="eastAsia" w:ascii="宋体" w:hAnsi="宋体" w:cs="宋体"/>
          <w:color w:val="0000FF"/>
          <w:sz w:val="24"/>
          <w:szCs w:val="24"/>
          <w:lang w:val="en-US" w:eastAsia="zh-CN"/>
        </w:rPr>
        <w:t>一</w:t>
      </w:r>
      <w:r>
        <w:rPr>
          <w:rFonts w:hint="eastAsia" w:ascii="宋体" w:hAnsi="宋体" w:eastAsia="宋体" w:cs="宋体"/>
          <w:color w:val="auto"/>
          <w:sz w:val="24"/>
          <w:szCs w:val="24"/>
          <w:lang w:val="en-US" w:eastAsia="zh-CN"/>
        </w:rPr>
        <w:t>次巡检并免费保养；</w:t>
      </w:r>
      <w:r>
        <w:rPr>
          <w:rFonts w:hint="eastAsia" w:asciiTheme="minorEastAsia" w:hAnsiTheme="minorEastAsia" w:eastAsiaTheme="minorEastAsia" w:cstheme="minorEastAsia"/>
          <w:color w:val="auto"/>
          <w:sz w:val="24"/>
          <w:szCs w:val="24"/>
          <w:lang w:val="en-US" w:eastAsia="zh-CN"/>
        </w:rPr>
        <w:t>固定绑带磨损，</w:t>
      </w:r>
      <w:r>
        <w:rPr>
          <w:rFonts w:hint="eastAsia" w:asciiTheme="minorEastAsia" w:hAnsiTheme="minorEastAsia" w:cstheme="minorEastAsia"/>
          <w:color w:val="0000FF"/>
          <w:sz w:val="24"/>
          <w:szCs w:val="24"/>
          <w:lang w:val="en-US" w:eastAsia="zh-CN"/>
        </w:rPr>
        <w:t>乙方承诺</w:t>
      </w:r>
      <w:r>
        <w:rPr>
          <w:rFonts w:hint="eastAsia" w:asciiTheme="minorEastAsia" w:hAnsiTheme="minorEastAsia" w:eastAsiaTheme="minorEastAsia" w:cstheme="minorEastAsia"/>
          <w:color w:val="auto"/>
          <w:sz w:val="24"/>
          <w:szCs w:val="24"/>
          <w:lang w:val="en-US" w:eastAsia="zh-CN"/>
        </w:rPr>
        <w:t>终身免费更换</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质保期届满后，如设备出现问题，乙方应在接到甲方通知（包括电话通知）24小时响应，响应后4小时上门服务，相关费用由甲方承担。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cs="宋体"/>
          <w:color w:val="auto"/>
          <w:sz w:val="44"/>
          <w:szCs w:val="4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cs="宋体"/>
          <w:b/>
          <w:color w:val="auto"/>
          <w:sz w:val="32"/>
          <w:szCs w:val="32"/>
        </w:rPr>
      </w:pPr>
      <w:r>
        <w:rPr>
          <w:rFonts w:hint="eastAsia" w:ascii="宋体" w:hAnsi="宋体" w:cs="宋体"/>
          <w:b/>
          <w:color w:val="auto"/>
          <w:sz w:val="32"/>
          <w:szCs w:val="32"/>
        </w:rPr>
        <w:t>综合评分表</w:t>
      </w:r>
    </w:p>
    <w:tbl>
      <w:tblPr>
        <w:tblStyle w:val="10"/>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85"/>
        <w:gridCol w:w="903"/>
        <w:gridCol w:w="1245"/>
        <w:gridCol w:w="6318"/>
        <w:gridCol w:w="80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序号</w:t>
            </w:r>
          </w:p>
        </w:tc>
        <w:tc>
          <w:tcPr>
            <w:tcW w:w="1078" w:type="pct"/>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评审项目</w:t>
            </w:r>
          </w:p>
        </w:tc>
        <w:tc>
          <w:tcPr>
            <w:tcW w:w="3171" w:type="pct"/>
            <w:noWrap w:val="0"/>
            <w:vAlign w:val="center"/>
          </w:tcPr>
          <w:p>
            <w:pPr>
              <w:ind w:left="480"/>
              <w:jc w:val="center"/>
              <w:rPr>
                <w:rFonts w:hint="eastAsia" w:ascii="宋体" w:hAnsi="宋体" w:cs="宋体"/>
                <w:color w:val="auto"/>
                <w:sz w:val="24"/>
                <w:szCs w:val="24"/>
              </w:rPr>
            </w:pPr>
            <w:r>
              <w:rPr>
                <w:rFonts w:hint="eastAsia" w:ascii="宋体" w:hAnsi="宋体" w:cs="宋体"/>
                <w:color w:val="auto"/>
                <w:sz w:val="24"/>
                <w:szCs w:val="24"/>
              </w:rPr>
              <w:t>评审标准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53"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1</w:t>
            </w:r>
          </w:p>
        </w:tc>
        <w:tc>
          <w:tcPr>
            <w:tcW w:w="1078" w:type="pct"/>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价格</w:t>
            </w:r>
          </w:p>
          <w:p>
            <w:pPr>
              <w:jc w:val="center"/>
              <w:rPr>
                <w:rFonts w:hint="eastAsia" w:ascii="宋体" w:hAnsi="宋体" w:cs="宋体"/>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4</w:t>
            </w:r>
            <w:r>
              <w:rPr>
                <w:rFonts w:hint="eastAsia" w:ascii="宋体" w:hAnsi="宋体" w:cs="宋体"/>
                <w:color w:val="auto"/>
                <w:sz w:val="24"/>
                <w:szCs w:val="24"/>
              </w:rPr>
              <w:t>0分）</w:t>
            </w:r>
          </w:p>
        </w:tc>
        <w:tc>
          <w:tcPr>
            <w:tcW w:w="3171" w:type="pct"/>
            <w:noWrap w:val="0"/>
            <w:vAlign w:val="center"/>
          </w:tcPr>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4"/>
                <w:szCs w:val="24"/>
                <w:lang w:val="en-US" w:eastAsia="zh-CN"/>
              </w:rPr>
              <w:t>4</w:t>
            </w:r>
            <w:r>
              <w:rPr>
                <w:rFonts w:hint="eastAsia" w:ascii="宋体" w:hAnsi="宋体" w:eastAsia="宋体" w:cs="Times New Roman"/>
                <w:color w:val="auto"/>
                <w:sz w:val="24"/>
                <w:szCs w:val="24"/>
                <w:lang w:val="en-US" w:eastAsia="zh-CN"/>
              </w:rPr>
              <w:t>0</w:t>
            </w:r>
            <w:r>
              <w:rPr>
                <w:rFonts w:hint="eastAsia" w:ascii="宋体" w:hAnsi="宋体" w:eastAsia="宋体" w:cs="Times New Roman"/>
                <w:color w:val="auto"/>
                <w:sz w:val="24"/>
                <w:szCs w:val="24"/>
              </w:rPr>
              <w:t>。</w:t>
            </w:r>
          </w:p>
          <w:p>
            <w:pPr>
              <w:rPr>
                <w:rFonts w:hint="eastAsia"/>
                <w:color w:val="auto"/>
                <w:sz w:val="24"/>
                <w:szCs w:val="24"/>
              </w:rPr>
            </w:pPr>
            <w:r>
              <w:rPr>
                <w:rFonts w:hint="eastAsia" w:ascii="宋体" w:hAnsi="宋体" w:eastAsia="宋体" w:cs="Times New Roman"/>
                <w:color w:val="auto"/>
                <w:sz w:val="24"/>
                <w:szCs w:val="24"/>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4"/>
                <w:szCs w:val="24"/>
              </w:rPr>
              <w:t>;</w:t>
            </w:r>
            <w:r>
              <w:rPr>
                <w:rFonts w:hint="eastAsia" w:ascii="宋体" w:hAnsi="宋体" w:eastAsia="宋体" w:cs="Times New Roman"/>
                <w:color w:val="auto"/>
                <w:sz w:val="24"/>
                <w:szCs w:val="24"/>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0-</w:t>
            </w:r>
            <w:r>
              <w:rPr>
                <w:rFonts w:hint="eastAsia" w:ascii="宋体" w:hAnsi="宋体" w:cs="宋体"/>
                <w:color w:val="auto"/>
                <w:sz w:val="24"/>
                <w:szCs w:val="24"/>
                <w:lang w:val="en-US" w:eastAsia="zh-CN"/>
              </w:rPr>
              <w:t>4</w:t>
            </w:r>
            <w:r>
              <w:rPr>
                <w:rFonts w:hint="eastAsia" w:ascii="宋体" w:hAnsi="宋体" w:cs="宋体"/>
                <w:color w:val="auto"/>
                <w:sz w:val="24"/>
                <w:szCs w:val="24"/>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2</w:t>
            </w:r>
          </w:p>
        </w:tc>
        <w:tc>
          <w:tcPr>
            <w:tcW w:w="453"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lang w:eastAsia="zh-CN"/>
              </w:rPr>
              <w:t>招标文件响应程度及服务方案</w:t>
            </w:r>
            <w:r>
              <w:rPr>
                <w:rFonts w:hint="eastAsia" w:ascii="宋体" w:hAnsi="宋体" w:cs="宋体"/>
                <w:color w:val="auto"/>
                <w:sz w:val="24"/>
                <w:szCs w:val="24"/>
              </w:rPr>
              <w:t>（</w:t>
            </w:r>
            <w:r>
              <w:rPr>
                <w:rFonts w:hint="eastAsia" w:ascii="宋体" w:hAnsi="宋体" w:cs="宋体"/>
                <w:color w:val="auto"/>
                <w:sz w:val="24"/>
                <w:szCs w:val="24"/>
                <w:lang w:val="en-US" w:eastAsia="zh-CN"/>
              </w:rPr>
              <w:t>10</w:t>
            </w:r>
            <w:r>
              <w:rPr>
                <w:rFonts w:hint="eastAsia" w:ascii="宋体" w:hAnsi="宋体" w:cs="宋体"/>
                <w:color w:val="auto"/>
                <w:sz w:val="24"/>
                <w:szCs w:val="24"/>
              </w:rPr>
              <w:t>分）</w:t>
            </w:r>
          </w:p>
        </w:tc>
        <w:tc>
          <w:tcPr>
            <w:tcW w:w="625" w:type="pct"/>
            <w:noWrap w:val="0"/>
            <w:vAlign w:val="center"/>
          </w:tcPr>
          <w:p>
            <w:pPr>
              <w:jc w:val="center"/>
              <w:rPr>
                <w:rFonts w:hint="eastAsia" w:ascii="宋体" w:hAnsi="宋体" w:cs="宋体"/>
                <w:color w:val="auto"/>
                <w:sz w:val="24"/>
                <w:szCs w:val="24"/>
              </w:rPr>
            </w:pPr>
            <w:r>
              <w:rPr>
                <w:rFonts w:ascii="宋体" w:hAnsi="宋体"/>
                <w:color w:val="auto"/>
                <w:sz w:val="24"/>
                <w:szCs w:val="24"/>
              </w:rPr>
              <w:t>对招标文件的响应程度</w:t>
            </w:r>
          </w:p>
        </w:tc>
        <w:tc>
          <w:tcPr>
            <w:tcW w:w="3171" w:type="pct"/>
            <w:noWrap w:val="0"/>
            <w:vAlign w:val="center"/>
          </w:tcPr>
          <w:p>
            <w:pPr>
              <w:rPr>
                <w:rFonts w:hint="eastAsia" w:ascii="宋体" w:hAnsi="宋体" w:cs="宋体"/>
                <w:color w:val="auto"/>
                <w:sz w:val="24"/>
                <w:szCs w:val="24"/>
              </w:rPr>
            </w:pPr>
            <w:r>
              <w:rPr>
                <w:rFonts w:hint="eastAsia" w:ascii="宋体" w:hAnsi="宋体"/>
                <w:color w:val="auto"/>
                <w:sz w:val="24"/>
                <w:szCs w:val="24"/>
              </w:rPr>
              <w:t>以招标文件格式为基础，根据投标文件制作的优劣，专家酌情打分，每有一处细微偏差扣1分，扣分最多不超过</w:t>
            </w:r>
            <w:r>
              <w:rPr>
                <w:rFonts w:hint="eastAsia" w:ascii="宋体" w:hAnsi="宋体"/>
                <w:color w:val="auto"/>
                <w:sz w:val="24"/>
                <w:szCs w:val="24"/>
                <w:lang w:val="en-US" w:eastAsia="zh-CN"/>
              </w:rPr>
              <w:t>2</w:t>
            </w:r>
            <w:r>
              <w:rPr>
                <w:rFonts w:hint="eastAsia" w:ascii="宋体" w:hAnsi="宋体"/>
                <w:color w:val="auto"/>
                <w:sz w:val="24"/>
                <w:szCs w:val="24"/>
              </w:rPr>
              <w:t>分。</w:t>
            </w:r>
          </w:p>
        </w:tc>
        <w:tc>
          <w:tcPr>
            <w:tcW w:w="406"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4"/>
                <w:szCs w:val="24"/>
              </w:rPr>
            </w:pPr>
          </w:p>
        </w:tc>
        <w:tc>
          <w:tcPr>
            <w:tcW w:w="453" w:type="pct"/>
            <w:vMerge w:val="continue"/>
            <w:noWrap w:val="0"/>
            <w:vAlign w:val="center"/>
          </w:tcPr>
          <w:p>
            <w:pPr>
              <w:jc w:val="center"/>
              <w:rPr>
                <w:rFonts w:hint="eastAsia" w:ascii="宋体" w:hAnsi="宋体" w:cs="宋体"/>
                <w:color w:val="auto"/>
                <w:sz w:val="24"/>
                <w:szCs w:val="24"/>
              </w:rPr>
            </w:pPr>
          </w:p>
        </w:tc>
        <w:tc>
          <w:tcPr>
            <w:tcW w:w="625" w:type="pct"/>
            <w:noWrap w:val="0"/>
            <w:vAlign w:val="center"/>
          </w:tcPr>
          <w:p>
            <w:pPr>
              <w:jc w:val="center"/>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服务方案</w:t>
            </w:r>
          </w:p>
        </w:tc>
        <w:tc>
          <w:tcPr>
            <w:tcW w:w="3171" w:type="pct"/>
            <w:noWrap w:val="0"/>
            <w:vAlign w:val="center"/>
          </w:tcPr>
          <w:p>
            <w:pPr>
              <w:rPr>
                <w:rFonts w:hint="eastAsia" w:ascii="宋体" w:hAnsi="宋体" w:cs="Times New Roman"/>
                <w:color w:val="auto"/>
                <w:sz w:val="24"/>
                <w:szCs w:val="24"/>
              </w:rPr>
            </w:pPr>
            <w:r>
              <w:rPr>
                <w:rFonts w:hint="eastAsia" w:ascii="宋体" w:hAnsi="宋体" w:cs="Times New Roman"/>
                <w:color w:val="auto"/>
                <w:sz w:val="24"/>
                <w:szCs w:val="24"/>
                <w:lang w:val="en-US" w:eastAsia="zh-CN"/>
              </w:rPr>
              <w:t>1、</w:t>
            </w:r>
            <w:r>
              <w:rPr>
                <w:rFonts w:hint="eastAsia" w:ascii="宋体" w:hAnsi="宋体" w:cs="Times New Roman"/>
                <w:color w:val="auto"/>
                <w:sz w:val="24"/>
                <w:szCs w:val="24"/>
              </w:rPr>
              <w:t>能提供投标人</w:t>
            </w:r>
            <w:r>
              <w:rPr>
                <w:rFonts w:hint="eastAsia" w:ascii="宋体" w:hAnsi="宋体" w:cs="Times New Roman"/>
                <w:color w:val="auto"/>
                <w:sz w:val="24"/>
                <w:szCs w:val="24"/>
                <w:lang w:eastAsia="zh-CN"/>
              </w:rPr>
              <w:t>投标货物的</w:t>
            </w:r>
            <w:r>
              <w:rPr>
                <w:rFonts w:hint="eastAsia" w:ascii="宋体" w:hAnsi="宋体" w:cs="Times New Roman"/>
                <w:color w:val="auto"/>
                <w:sz w:val="24"/>
                <w:szCs w:val="24"/>
              </w:rPr>
              <w:t>同类型合作业绩，</w:t>
            </w:r>
            <w:r>
              <w:rPr>
                <w:rFonts w:hint="eastAsia" w:ascii="宋体" w:hAnsi="宋体" w:cs="Times New Roman"/>
                <w:color w:val="auto"/>
                <w:sz w:val="24"/>
                <w:szCs w:val="24"/>
                <w:lang w:eastAsia="zh-CN"/>
              </w:rPr>
              <w:t>（自开标开标之日止前五年）</w:t>
            </w:r>
            <w:r>
              <w:rPr>
                <w:rFonts w:hint="eastAsia" w:ascii="宋体" w:hAnsi="宋体" w:cs="Times New Roman"/>
                <w:color w:val="auto"/>
                <w:sz w:val="24"/>
                <w:szCs w:val="24"/>
              </w:rPr>
              <w:t>每个</w:t>
            </w:r>
            <w:r>
              <w:rPr>
                <w:rFonts w:hint="eastAsia" w:ascii="宋体" w:hAnsi="宋体" w:cs="Times New Roman"/>
                <w:color w:val="auto"/>
                <w:sz w:val="24"/>
                <w:szCs w:val="24"/>
                <w:lang w:val="en-US" w:eastAsia="zh-CN"/>
              </w:rPr>
              <w:t>业绩</w:t>
            </w:r>
            <w:r>
              <w:rPr>
                <w:rFonts w:hint="eastAsia" w:ascii="宋体" w:hAnsi="宋体" w:cs="Times New Roman"/>
                <w:color w:val="auto"/>
                <w:sz w:val="24"/>
                <w:szCs w:val="24"/>
              </w:rPr>
              <w:t>计</w:t>
            </w:r>
            <w:r>
              <w:rPr>
                <w:rFonts w:hint="eastAsia" w:ascii="宋体" w:hAnsi="宋体" w:cs="Times New Roman"/>
                <w:color w:val="auto"/>
                <w:sz w:val="24"/>
                <w:szCs w:val="24"/>
                <w:lang w:val="en-US" w:eastAsia="zh-CN"/>
              </w:rPr>
              <w:t>2</w:t>
            </w:r>
            <w:r>
              <w:rPr>
                <w:rFonts w:hint="eastAsia" w:ascii="宋体" w:hAnsi="宋体" w:cs="Times New Roman"/>
                <w:color w:val="auto"/>
                <w:sz w:val="24"/>
                <w:szCs w:val="24"/>
              </w:rPr>
              <w:t>分，最多计</w:t>
            </w:r>
            <w:r>
              <w:rPr>
                <w:rFonts w:hint="eastAsia" w:ascii="宋体" w:hAnsi="宋体" w:cs="Times New Roman"/>
                <w:color w:val="auto"/>
                <w:sz w:val="24"/>
                <w:szCs w:val="24"/>
                <w:lang w:val="en-US" w:eastAsia="zh-CN"/>
              </w:rPr>
              <w:t>4</w:t>
            </w:r>
            <w:r>
              <w:rPr>
                <w:rFonts w:hint="eastAsia" w:ascii="宋体" w:hAnsi="宋体" w:cs="Times New Roman"/>
                <w:color w:val="auto"/>
                <w:sz w:val="24"/>
                <w:szCs w:val="24"/>
              </w:rPr>
              <w:t>分（提供合作清单及联系人，并附合同或中标通知书复印件加盖投标人公章）。</w:t>
            </w:r>
          </w:p>
          <w:p>
            <w:pPr>
              <w:rPr>
                <w:rFonts w:hint="eastAsia"/>
                <w:sz w:val="24"/>
                <w:szCs w:val="24"/>
              </w:rPr>
            </w:pPr>
            <w:r>
              <w:rPr>
                <w:rFonts w:hint="eastAsia" w:ascii="宋体" w:hAnsi="宋体" w:cs="Times New Roman"/>
                <w:color w:val="auto"/>
                <w:sz w:val="24"/>
                <w:szCs w:val="24"/>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3</w:t>
            </w:r>
          </w:p>
        </w:tc>
        <w:tc>
          <w:tcPr>
            <w:tcW w:w="453" w:type="pct"/>
            <w:noWrap w:val="0"/>
            <w:vAlign w:val="center"/>
          </w:tcPr>
          <w:p>
            <w:pPr>
              <w:jc w:val="center"/>
              <w:rPr>
                <w:rFonts w:hint="eastAsia" w:ascii="宋体" w:hAnsi="宋体" w:cs="宋体"/>
                <w:color w:val="auto"/>
                <w:sz w:val="24"/>
                <w:szCs w:val="24"/>
              </w:rPr>
            </w:pPr>
            <w:r>
              <w:rPr>
                <w:rFonts w:hint="eastAsia" w:cs="Times New Roman"/>
                <w:bCs/>
                <w:sz w:val="24"/>
                <w:szCs w:val="24"/>
                <w:lang w:val="en-US" w:eastAsia="zh-CN"/>
              </w:rPr>
              <w:t>技术要求及商务要求</w:t>
            </w:r>
            <w:r>
              <w:rPr>
                <w:rFonts w:hint="eastAsia" w:ascii="宋体" w:hAnsi="宋体" w:cs="宋体"/>
                <w:color w:val="auto"/>
                <w:sz w:val="24"/>
                <w:szCs w:val="24"/>
              </w:rPr>
              <w:t>（</w:t>
            </w:r>
            <w:r>
              <w:rPr>
                <w:rFonts w:hint="eastAsia" w:ascii="宋体" w:hAnsi="宋体" w:cs="宋体"/>
                <w:color w:val="auto"/>
                <w:sz w:val="24"/>
                <w:szCs w:val="24"/>
                <w:lang w:val="en-US" w:eastAsia="zh-CN"/>
              </w:rPr>
              <w:t>5</w:t>
            </w:r>
            <w:r>
              <w:rPr>
                <w:rFonts w:hint="eastAsia" w:ascii="宋体" w:hAnsi="宋体" w:cs="宋体"/>
                <w:color w:val="auto"/>
                <w:sz w:val="24"/>
                <w:szCs w:val="24"/>
              </w:rPr>
              <w:t>0分）</w:t>
            </w:r>
          </w:p>
        </w:tc>
        <w:tc>
          <w:tcPr>
            <w:tcW w:w="625" w:type="pct"/>
            <w:noWrap w:val="0"/>
            <w:vAlign w:val="center"/>
          </w:tcPr>
          <w:p>
            <w:pPr>
              <w:jc w:val="center"/>
              <w:rPr>
                <w:rFonts w:hint="default" w:ascii="宋体" w:hAnsi="宋体" w:eastAsia="宋体"/>
                <w:color w:val="auto"/>
                <w:sz w:val="24"/>
                <w:szCs w:val="24"/>
                <w:lang w:val="en-US" w:eastAsia="zh-CN"/>
              </w:rPr>
            </w:pPr>
            <w:r>
              <w:rPr>
                <w:rFonts w:hint="eastAsia" w:cs="Times New Roman"/>
                <w:bCs/>
                <w:sz w:val="24"/>
                <w:szCs w:val="24"/>
                <w:lang w:val="en-US" w:eastAsia="zh-CN"/>
              </w:rPr>
              <w:t>技术要求及商务要求</w:t>
            </w:r>
          </w:p>
        </w:tc>
        <w:tc>
          <w:tcPr>
            <w:tcW w:w="3171" w:type="pct"/>
            <w:noWrap w:val="0"/>
            <w:vAlign w:val="top"/>
          </w:tcPr>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1、技术参数</w:t>
            </w:r>
            <w:r>
              <w:rPr>
                <w:rFonts w:hint="eastAsia" w:ascii="宋体" w:hAnsi="宋体" w:cs="Times New Roman"/>
                <w:color w:val="auto"/>
                <w:sz w:val="24"/>
                <w:szCs w:val="24"/>
                <w:lang w:val="en-US" w:eastAsia="zh-CN"/>
              </w:rPr>
              <w:t>及商务参数</w:t>
            </w:r>
            <w:r>
              <w:rPr>
                <w:rFonts w:hint="eastAsia" w:ascii="宋体" w:hAnsi="宋体" w:eastAsia="宋体" w:cs="Times New Roman"/>
                <w:color w:val="auto"/>
                <w:sz w:val="24"/>
                <w:szCs w:val="24"/>
                <w:lang w:val="en-US" w:eastAsia="zh-CN"/>
              </w:rPr>
              <w:t>完全符合招标文件要求的，计</w:t>
            </w: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lang w:val="en-US" w:eastAsia="zh-CN"/>
              </w:rPr>
              <w:t>0分，任何一条技术参数负偏离扣2分，扣完为止。</w:t>
            </w:r>
          </w:p>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rPr>
              <w:t>2、</w:t>
            </w:r>
            <w:r>
              <w:rPr>
                <w:rFonts w:hint="eastAsia" w:ascii="宋体" w:hAnsi="宋体" w:eastAsia="宋体" w:cs="Times New Roman"/>
                <w:color w:val="auto"/>
                <w:sz w:val="24"/>
                <w:szCs w:val="24"/>
                <w:lang w:val="en-US" w:eastAsia="zh-CN"/>
              </w:rPr>
              <w:t>带“ ★”“*”号参数为重要条款不允许偏离，否则视同无效投标。</w:t>
            </w:r>
          </w:p>
          <w:p>
            <w:pP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4</w:t>
            </w:r>
            <w:r>
              <w:rPr>
                <w:rFonts w:hint="eastAsia" w:ascii="宋体" w:hAnsi="宋体" w:eastAsia="宋体" w:cs="Times New Roman"/>
                <w:color w:val="auto"/>
                <w:sz w:val="24"/>
                <w:szCs w:val="24"/>
                <w:lang w:val="en-US" w:eastAsia="zh-CN"/>
              </w:rPr>
              <w:t>、带“ ▲”号参数为重要条款任何一条技术参数负偏离扣4分，扣完为止。</w:t>
            </w:r>
          </w:p>
          <w:p>
            <w:pPr>
              <w:rPr>
                <w:rFonts w:hint="eastAsia" w:ascii="宋体" w:hAnsi="宋体" w:eastAsia="宋体" w:cs="Times New Roman"/>
                <w:color w:val="auto"/>
                <w:sz w:val="24"/>
                <w:szCs w:val="24"/>
              </w:rPr>
            </w:pP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rPr>
              <w:t>、其它技术条款偏离项数之和大于5项将导致无效投标。</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说明：</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a、偏离：不满足招标参数要求，配置不详，缺漏项，技术参数表述不清的。</w:t>
            </w:r>
          </w:p>
          <w:p>
            <w:pPr>
              <w:rPr>
                <w:rFonts w:hint="default" w:eastAsia="宋体"/>
                <w:sz w:val="24"/>
                <w:szCs w:val="24"/>
                <w:lang w:val="en-US" w:eastAsia="zh-CN"/>
              </w:rPr>
            </w:pPr>
            <w:r>
              <w:rPr>
                <w:rFonts w:hint="eastAsia" w:ascii="宋体" w:hAnsi="宋体" w:eastAsia="宋体" w:cs="Times New Roman"/>
                <w:color w:val="auto"/>
                <w:sz w:val="24"/>
                <w:szCs w:val="24"/>
              </w:rPr>
              <w:t>b、条款数计算：招标文件中，凡编排有单独的中文序数或阿拉伯数字或英文字母序列号等字符的</w:t>
            </w:r>
            <w:r>
              <w:rPr>
                <w:rFonts w:ascii="宋体" w:hAnsi="宋体"/>
                <w:color w:val="000000" w:themeColor="text1"/>
                <w:sz w:val="24"/>
                <w:szCs w:val="24"/>
                <w14:textFill>
                  <w14:solidFill>
                    <w14:schemeClr w14:val="tx1"/>
                  </w14:solidFill>
                </w14:textFill>
              </w:rPr>
              <w:t>条款算一项技术要求项数</w:t>
            </w:r>
            <w:r>
              <w:rPr>
                <w:rFonts w:hint="eastAsia" w:ascii="宋体" w:hAnsi="宋体"/>
                <w:color w:val="000000" w:themeColor="text1"/>
                <w:sz w:val="24"/>
                <w:szCs w:val="24"/>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50</w:t>
            </w:r>
          </w:p>
        </w:tc>
      </w:tr>
    </w:tbl>
    <w:p>
      <w:pPr>
        <w:pStyle w:val="15"/>
        <w:rPr>
          <w:rFonts w:hint="eastAsia" w:ascii="宋体" w:hAnsi="宋体" w:cs="宋体"/>
          <w:color w:val="auto"/>
          <w:sz w:val="24"/>
          <w:szCs w:val="24"/>
        </w:rPr>
      </w:pPr>
    </w:p>
    <w:p>
      <w:pPr>
        <w:spacing w:before="120" w:beforeLines="50" w:after="120" w:afterLines="50" w:line="360" w:lineRule="auto"/>
        <w:rPr>
          <w:color w:val="auto"/>
        </w:rPr>
      </w:pPr>
      <w:r>
        <w:rPr>
          <w:rFonts w:hint="eastAsia" w:ascii="宋体" w:hAnsi="宋体" w:cs="宋体"/>
          <w:color w:val="auto"/>
          <w:sz w:val="24"/>
          <w:szCs w:val="24"/>
        </w:rPr>
        <w:t>注：（1）全体评标委员会对投标人评分的算数平均值即为该投标人的最终评标得分（不得去评分项目的最高得分和最低得分），评分分值计算保留小数点后两位，小数点后第三位“四舍五入”。</w:t>
      </w:r>
    </w:p>
    <w:p>
      <w:pPr>
        <w:rPr>
          <w:color w:val="auto"/>
        </w:rPr>
      </w:pPr>
      <w:r>
        <w:rPr>
          <w:color w:val="auto"/>
        </w:rPr>
        <w:br w:type="page"/>
      </w:r>
    </w:p>
    <w:p>
      <w:pPr>
        <w:pStyle w:val="2"/>
        <w:numPr>
          <w:ilvl w:val="0"/>
          <w:numId w:val="6"/>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pPr>
        <w:pStyle w:val="16"/>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5"/>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footerReference r:id="rId5"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pPr>
        <w:pStyle w:val="15"/>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0"/>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pStyle w:val="16"/>
        <w:rPr>
          <w:color w:val="auto"/>
        </w:rPr>
      </w:pPr>
    </w:p>
    <w:p>
      <w:pPr>
        <w:pStyle w:val="17"/>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7"/>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5"/>
        <w:rPr>
          <w:rFonts w:hint="eastAsia"/>
          <w:lang w:eastAsia="zh-CN"/>
        </w:rPr>
      </w:pPr>
    </w:p>
    <w:p>
      <w:pPr>
        <w:numPr>
          <w:ilvl w:val="0"/>
          <w:numId w:val="7"/>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sectPr>
      <w:footerReference r:id="rId6"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FCC3393"/>
    <w:multiLevelType w:val="singleLevel"/>
    <w:tmpl w:val="DFCC3393"/>
    <w:lvl w:ilvl="0" w:tentative="0">
      <w:start w:val="6"/>
      <w:numFmt w:val="chineseCounting"/>
      <w:suff w:val="nothing"/>
      <w:lvlText w:val="第%1部分、"/>
      <w:lvlJc w:val="left"/>
      <w:rPr>
        <w:rFonts w:hint="eastAsia"/>
      </w:rPr>
    </w:lvl>
  </w:abstractNum>
  <w:abstractNum w:abstractNumId="3">
    <w:nsid w:val="F22833F1"/>
    <w:multiLevelType w:val="singleLevel"/>
    <w:tmpl w:val="F22833F1"/>
    <w:lvl w:ilvl="0" w:tentative="0">
      <w:start w:val="1"/>
      <w:numFmt w:val="decimal"/>
      <w:suff w:val="nothing"/>
      <w:lvlText w:val="%1、"/>
      <w:lvlJc w:val="left"/>
    </w:lvl>
  </w:abstractNum>
  <w:abstractNum w:abstractNumId="4">
    <w:nsid w:val="00000001"/>
    <w:multiLevelType w:val="singleLevel"/>
    <w:tmpl w:val="00000001"/>
    <w:lvl w:ilvl="0" w:tentative="0">
      <w:start w:val="9"/>
      <w:numFmt w:val="decimal"/>
      <w:suff w:val="nothing"/>
      <w:lvlText w:val="%1、"/>
      <w:lvlJc w:val="left"/>
    </w:lvl>
  </w:abstractNum>
  <w:abstractNum w:abstractNumId="5">
    <w:nsid w:val="0103757D"/>
    <w:multiLevelType w:val="singleLevel"/>
    <w:tmpl w:val="0103757D"/>
    <w:lvl w:ilvl="0" w:tentative="0">
      <w:start w:val="1"/>
      <w:numFmt w:val="decimal"/>
      <w:suff w:val="nothing"/>
      <w:lvlText w:val="%1、"/>
      <w:lvlJc w:val="left"/>
    </w:lvl>
  </w:abstractNum>
  <w:abstractNum w:abstractNumId="6">
    <w:nsid w:val="1E6DDE31"/>
    <w:multiLevelType w:val="singleLevel"/>
    <w:tmpl w:val="1E6DDE31"/>
    <w:lvl w:ilvl="0" w:tentative="0">
      <w:start w:val="1"/>
      <w:numFmt w:val="chineseCounting"/>
      <w:suff w:val="space"/>
      <w:lvlText w:val="第%1条"/>
      <w:lvlJc w:val="left"/>
      <w:rPr>
        <w:rFonts w:hint="eastAsia"/>
      </w:rPr>
    </w:lvl>
  </w:abstractNum>
  <w:num w:numId="1">
    <w:abstractNumId w:val="1"/>
  </w:num>
  <w:num w:numId="2">
    <w:abstractNumId w:val="3"/>
  </w:num>
  <w:num w:numId="3">
    <w:abstractNumId w:val="5"/>
  </w:num>
  <w:num w:numId="4">
    <w:abstractNumId w:val="4"/>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AE556A"/>
    <w:rsid w:val="06E91EC4"/>
    <w:rsid w:val="071C689B"/>
    <w:rsid w:val="0E331420"/>
    <w:rsid w:val="0E76169C"/>
    <w:rsid w:val="0EDD1643"/>
    <w:rsid w:val="12994AC5"/>
    <w:rsid w:val="1AF56B46"/>
    <w:rsid w:val="1DA40436"/>
    <w:rsid w:val="1FE73549"/>
    <w:rsid w:val="20B41DA7"/>
    <w:rsid w:val="20F751FF"/>
    <w:rsid w:val="22AB7B8A"/>
    <w:rsid w:val="23375F96"/>
    <w:rsid w:val="245079B1"/>
    <w:rsid w:val="28E81B29"/>
    <w:rsid w:val="2C7642D0"/>
    <w:rsid w:val="2EAC037F"/>
    <w:rsid w:val="2EB67A5C"/>
    <w:rsid w:val="302741D2"/>
    <w:rsid w:val="308B184D"/>
    <w:rsid w:val="340F06E9"/>
    <w:rsid w:val="3B3B544D"/>
    <w:rsid w:val="3B654F2B"/>
    <w:rsid w:val="3DF12CFC"/>
    <w:rsid w:val="429A4992"/>
    <w:rsid w:val="43B25DAC"/>
    <w:rsid w:val="46202E1C"/>
    <w:rsid w:val="4D8F194C"/>
    <w:rsid w:val="4DA5363F"/>
    <w:rsid w:val="4DCD6AB3"/>
    <w:rsid w:val="50540C20"/>
    <w:rsid w:val="51AC28BD"/>
    <w:rsid w:val="555B5FCF"/>
    <w:rsid w:val="611B6B1B"/>
    <w:rsid w:val="64133D6A"/>
    <w:rsid w:val="678E4F5D"/>
    <w:rsid w:val="69A607E1"/>
    <w:rsid w:val="6DE375E4"/>
    <w:rsid w:val="6E4C6895"/>
    <w:rsid w:val="71584067"/>
    <w:rsid w:val="750117A8"/>
    <w:rsid w:val="76447599"/>
    <w:rsid w:val="7BBF44BB"/>
    <w:rsid w:val="7BF15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宋体" w:cs="Times New Roman"/>
      <w:kern w:val="0"/>
      <w:sz w:val="24"/>
    </w:rPr>
  </w:style>
  <w:style w:type="paragraph" w:styleId="5">
    <w:name w:val="Body Text Indent"/>
    <w:basedOn w:val="1"/>
    <w:next w:val="6"/>
    <w:qFormat/>
    <w:uiPriority w:val="99"/>
    <w:pPr>
      <w:spacing w:line="400" w:lineRule="exact"/>
      <w:ind w:left="630"/>
    </w:pPr>
    <w:rPr>
      <w:rFonts w:ascii="楷体_GB2312"/>
      <w:sz w:val="30"/>
      <w:szCs w:val="30"/>
    </w:rPr>
  </w:style>
  <w:style w:type="paragraph" w:styleId="6">
    <w:name w:val="Body Text First Indent 2"/>
    <w:basedOn w:val="5"/>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paragraph" w:customStyle="1" w:styleId="12">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3">
    <w:name w:val="Default"/>
    <w:next w:val="14"/>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4">
    <w:name w:val="大标题"/>
    <w:basedOn w:val="1"/>
    <w:next w:val="6"/>
    <w:qFormat/>
    <w:uiPriority w:val="0"/>
    <w:pPr>
      <w:jc w:val="center"/>
    </w:pPr>
    <w:rPr>
      <w:rFonts w:ascii="Arial" w:hAnsi="Arial" w:eastAsia="宋体"/>
      <w:b/>
      <w:sz w:val="28"/>
      <w:szCs w:val="24"/>
    </w:rPr>
  </w:style>
  <w:style w:type="paragraph" w:customStyle="1" w:styleId="15">
    <w:name w:val="列出段落1"/>
    <w:basedOn w:val="1"/>
    <w:qFormat/>
    <w:uiPriority w:val="99"/>
    <w:pPr>
      <w:ind w:firstLine="420" w:firstLineChars="200"/>
    </w:p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8381</Words>
  <Characters>8775</Characters>
  <Lines>0</Lines>
  <Paragraphs>0</Paragraphs>
  <TotalTime>0</TotalTime>
  <ScaleCrop>false</ScaleCrop>
  <LinksUpToDate>false</LinksUpToDate>
  <CharactersWithSpaces>9708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2023-08-11T01:07:13Z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3505A2AB25E048A4A9B0E6A6741CA1BA_11</vt:lpwstr>
  </property>
</Properties>
</file>