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snapToGrid w:val="0"/>
        <w:jc w:val="center"/>
        <w:rPr>
          <w:rFonts w:ascii="Arial" w:hAnsi="Arial" w:eastAsia="方正小标宋简体" w:cs="Arial"/>
          <w:color w:val="auto"/>
          <w:sz w:val="72"/>
          <w:szCs w:val="72"/>
        </w:rPr>
      </w:pPr>
      <w:bookmarkStart w:id="0" w:name="_Toc16523570"/>
    </w:p>
    <w:p>
      <w:pPr>
        <w:pStyle w:val="14"/>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4"/>
        <w:snapToGrid w:val="0"/>
        <w:jc w:val="center"/>
        <w:rPr>
          <w:rFonts w:ascii="Arial" w:hAnsi="Arial" w:eastAsia="方正小标宋简体" w:cs="Arial"/>
          <w:sz w:val="72"/>
          <w:szCs w:val="72"/>
        </w:rPr>
      </w:pPr>
    </w:p>
    <w:p>
      <w:pPr>
        <w:pStyle w:val="14"/>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4"/>
        <w:snapToGrid w:val="0"/>
        <w:jc w:val="center"/>
        <w:rPr>
          <w:rFonts w:ascii="Arial" w:hAnsi="Arial" w:eastAsia="方正小标宋简体" w:cs="Arial"/>
          <w:sz w:val="72"/>
          <w:szCs w:val="72"/>
        </w:rPr>
      </w:pPr>
    </w:p>
    <w:p>
      <w:pPr>
        <w:pStyle w:val="14"/>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4"/>
        <w:snapToGrid w:val="0"/>
        <w:jc w:val="center"/>
        <w:rPr>
          <w:rFonts w:ascii="Arial" w:hAnsi="Arial" w:eastAsia="方正小标宋简体" w:cs="Arial"/>
          <w:sz w:val="72"/>
          <w:szCs w:val="72"/>
        </w:rPr>
      </w:pPr>
    </w:p>
    <w:p>
      <w:pPr>
        <w:pStyle w:val="14"/>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4"/>
        <w:snapToGrid w:val="0"/>
        <w:jc w:val="center"/>
        <w:rPr>
          <w:rFonts w:ascii="Arial" w:hAnsi="Arial" w:eastAsia="方正小标宋简体" w:cs="Arial"/>
          <w:sz w:val="72"/>
          <w:szCs w:val="72"/>
        </w:rPr>
      </w:pPr>
    </w:p>
    <w:p>
      <w:pPr>
        <w:pStyle w:val="14"/>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4"/>
        <w:snapToGrid w:val="0"/>
        <w:jc w:val="center"/>
        <w:rPr>
          <w:rFonts w:ascii="Arial" w:hAnsi="Arial" w:cs="Arial"/>
          <w:sz w:val="32"/>
          <w:szCs w:val="32"/>
        </w:rPr>
      </w:pPr>
    </w:p>
    <w:p>
      <w:pPr>
        <w:pStyle w:val="14"/>
        <w:snapToGrid w:val="0"/>
        <w:jc w:val="center"/>
        <w:rPr>
          <w:rFonts w:ascii="Arial" w:hAnsi="Arial" w:cs="Arial"/>
          <w:sz w:val="32"/>
          <w:szCs w:val="32"/>
        </w:rPr>
      </w:pPr>
    </w:p>
    <w:p>
      <w:pPr>
        <w:pStyle w:val="14"/>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（肾镜2条、输尿管镜4条（粗）、输尿管细镜2条</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议价</w:t>
      </w:r>
      <w:r>
        <w:rPr>
          <w:rFonts w:hint="eastAsia" w:ascii="Times New Roman" w:hAnsi="Times New Roman" w:eastAsia="宋体" w:cs="Times New Roman"/>
          <w:b/>
          <w:bCs/>
          <w:kern w:val="44"/>
          <w:sz w:val="32"/>
          <w:szCs w:val="32"/>
          <w:lang w:val="en-US" w:eastAsia="zh-CN" w:bidi="ar-SA"/>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八</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sectPr>
          <w:headerReference r:id="rId3" w:type="default"/>
          <w:footerReference r:id="rId4" w:type="default"/>
          <w:pgSz w:w="11906" w:h="16838"/>
          <w:pgMar w:top="1440" w:right="1080" w:bottom="1440" w:left="1080" w:header="567" w:footer="283" w:gutter="0"/>
          <w:cols w:space="720" w:num="1"/>
          <w:docGrid w:linePitch="312" w:charSpace="0"/>
        </w:sectPr>
      </w:pPr>
    </w:p>
    <w:p>
      <w:pPr>
        <w:rPr>
          <w:rFonts w:hint="eastAsia"/>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4"/>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肾镜2条、输尿管镜4条（粗）、输尿管细镜2条</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4"/>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4"/>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肾镜2条、输尿管镜4条（粗）、输尿管细镜2条</w:t>
      </w:r>
      <w:r>
        <w:rPr>
          <w:rFonts w:hint="eastAsia" w:asciiTheme="minorEastAsia" w:hAnsiTheme="minorEastAsia" w:eastAsiaTheme="minorEastAsia" w:cstheme="minorEastAsia"/>
          <w:b w:val="0"/>
          <w:bCs/>
          <w:color w:val="auto"/>
          <w:sz w:val="24"/>
          <w:szCs w:val="24"/>
          <w:lang w:val="en-US" w:eastAsia="zh-CN"/>
        </w:rPr>
        <w:t>采购项目</w:t>
      </w:r>
    </w:p>
    <w:p>
      <w:pPr>
        <w:pStyle w:val="14"/>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4"/>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院内议价，按招标文件评分规则进行评审，以评审结果排序，综合评分得分相同的，按投标报价由低到高顺序排列，得分且投标报价相同的，按技术指标优劣顺序排列。</w:t>
      </w:r>
    </w:p>
    <w:bookmarkEnd w:id="0"/>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1、具有独立法人地位，营业执照具有相应的经营范围；</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6、投标人具备湖南省政府采购电子卖场资格，中标人在议价公示后三个工作日内需配合医院完成湖南省政府采购电子卖场直购程序。</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1、投标截止时间、开标时间：具体时间电话通知</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4"/>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5"/>
        <w:rPr>
          <w:rFonts w:hint="eastAsia"/>
          <w:lang w:val="en-US" w:eastAsia="zh-CN"/>
        </w:rPr>
      </w:pPr>
    </w:p>
    <w:p>
      <w:pPr>
        <w:pStyle w:val="15"/>
        <w:jc w:val="both"/>
        <w:rPr>
          <w:rFonts w:hint="default"/>
          <w:lang w:val="en-US" w:eastAsia="zh-CN"/>
        </w:rPr>
      </w:pPr>
    </w:p>
    <w:p>
      <w:pPr>
        <w:pStyle w:val="14"/>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4"/>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5"/>
        <w:rPr>
          <w:rFonts w:hint="eastAsia" w:ascii="宋体" w:hAnsi="宋体" w:cs="宋体"/>
          <w:b/>
          <w:bCs/>
          <w:color w:val="auto"/>
          <w:sz w:val="44"/>
          <w:szCs w:val="44"/>
          <w:lang w:val="en-US" w:eastAsia="zh-CN"/>
        </w:rPr>
      </w:pPr>
    </w:p>
    <w:p>
      <w:pPr>
        <w:pStyle w:val="6"/>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pStyle w:val="13"/>
        <w:rPr>
          <w:rFonts w:hint="eastAsia"/>
          <w:lang w:val="en-US" w:eastAsia="zh-CN"/>
        </w:rPr>
      </w:pPr>
    </w:p>
    <w:p>
      <w:pPr>
        <w:pStyle w:val="2"/>
        <w:rPr>
          <w:rFonts w:hint="eastAsia" w:ascii="宋体" w:hAnsi="宋体" w:cs="宋体"/>
          <w:b/>
          <w:bCs/>
          <w:color w:val="auto"/>
          <w:sz w:val="44"/>
          <w:szCs w:val="44"/>
          <w:lang w:val="en-US" w:eastAsia="zh-CN"/>
        </w:rPr>
      </w:pPr>
    </w:p>
    <w:p>
      <w:pPr>
        <w:rPr>
          <w:rFonts w:hint="eastAsia"/>
          <w:lang w:val="en-US" w:eastAsia="zh-CN"/>
        </w:rPr>
      </w:pPr>
    </w:p>
    <w:p>
      <w:pPr>
        <w:pStyle w:val="14"/>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0"/>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肾镜2条、输尿管镜4条（粗）、输尿管细镜2条</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47.44</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否</w:t>
            </w: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pPr>
        <w:spacing w:line="360" w:lineRule="auto"/>
        <w:ind w:firstLine="562" w:firstLineChars="200"/>
        <w:rPr>
          <w:rFonts w:hint="eastAsia"/>
          <w:b/>
          <w:bCs/>
          <w:sz w:val="28"/>
          <w:szCs w:val="28"/>
          <w:lang w:val="en-US" w:eastAsia="zh-CN"/>
        </w:rPr>
      </w:pPr>
      <w:r>
        <w:rPr>
          <w:rFonts w:hint="eastAsia"/>
          <w:b/>
          <w:bCs/>
          <w:sz w:val="28"/>
          <w:szCs w:val="28"/>
          <w:lang w:val="en-US" w:eastAsia="zh-CN"/>
        </w:rPr>
        <w:t>技术参数：</w:t>
      </w:r>
    </w:p>
    <w:p>
      <w:pPr>
        <w:keepNext w:val="0"/>
        <w:keepLines w:val="0"/>
        <w:pageBreakBefore w:val="0"/>
        <w:widowControl w:val="0"/>
        <w:kinsoku/>
        <w:wordWrap/>
        <w:overflowPunct/>
        <w:topLinePunct w:val="0"/>
        <w:autoSpaceDE/>
        <w:autoSpaceDN/>
        <w:bidi w:val="0"/>
        <w:adjustRightInd/>
        <w:snapToGrid/>
        <w:spacing w:line="240" w:lineRule="auto"/>
        <w:ind w:left="0" w:firstLine="482" w:firstLineChars="200"/>
        <w:jc w:val="both"/>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品目1</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一、</w:t>
      </w:r>
      <w:r>
        <w:rPr>
          <w:rFonts w:hint="eastAsia" w:ascii="宋体" w:hAnsi="宋体" w:eastAsia="宋体" w:cs="宋体"/>
          <w:b/>
          <w:bCs/>
          <w:sz w:val="24"/>
          <w:szCs w:val="24"/>
          <w:highlight w:val="none"/>
        </w:rPr>
        <w:t>设备名称：肾镜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82" w:firstLineChars="200"/>
        <w:textAlignment w:val="auto"/>
        <w:outlineLvl w:val="9"/>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eastAsia="zh-CN"/>
        </w:rPr>
        <w:t>二、</w:t>
      </w:r>
      <w:r>
        <w:rPr>
          <w:rFonts w:hint="eastAsia" w:ascii="宋体" w:hAnsi="宋体" w:eastAsia="宋体" w:cs="宋体"/>
          <w:b/>
          <w:bCs/>
          <w:sz w:val="24"/>
          <w:szCs w:val="24"/>
          <w:highlight w:val="none"/>
        </w:rPr>
        <w:t>设备数量：</w:t>
      </w:r>
      <w:r>
        <w:rPr>
          <w:rFonts w:hint="eastAsia" w:ascii="宋体" w:hAnsi="宋体" w:eastAsia="宋体" w:cs="宋体"/>
          <w:b/>
          <w:bCs/>
          <w:sz w:val="24"/>
          <w:szCs w:val="24"/>
          <w:highlight w:val="none"/>
          <w:lang w:val="en-US" w:eastAsia="zh-CN"/>
        </w:rPr>
        <w:t>2条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三、</w:t>
      </w:r>
      <w:r>
        <w:rPr>
          <w:rFonts w:hint="eastAsia" w:ascii="宋体" w:hAnsi="宋体" w:eastAsia="宋体" w:cs="宋体"/>
          <w:b/>
          <w:bCs/>
          <w:sz w:val="24"/>
          <w:szCs w:val="24"/>
          <w:highlight w:val="none"/>
          <w:lang w:val="en-US" w:eastAsia="zh-CN"/>
        </w:rPr>
        <w:t>技术</w:t>
      </w:r>
      <w:r>
        <w:rPr>
          <w:rFonts w:hint="eastAsia" w:ascii="宋体" w:hAnsi="宋体" w:eastAsia="宋体" w:cs="宋体"/>
          <w:b/>
          <w:bCs/>
          <w:sz w:val="24"/>
          <w:szCs w:val="24"/>
          <w:highlight w:val="none"/>
        </w:rPr>
        <w:t>要求：</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视向角：0°。</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工作长度：340 mm。</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器械通道：6Fr，可通过 5Fr 硬性手术器械。</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firstLine="480" w:firstLineChars="20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镜管外径：12Fr</w:t>
      </w:r>
      <w:r>
        <w:rPr>
          <w:rFonts w:hint="eastAsia" w:ascii="宋体" w:hAnsi="宋体" w:eastAsia="宋体" w:cs="宋体"/>
          <w:sz w:val="24"/>
          <w:szCs w:val="24"/>
          <w:highlight w:val="none"/>
          <w:lang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器械通道双层密封：内窥镜器械通道进入端口设有可拆卸直通阀，内置密封片，阀口外装密封帽。</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金属光纤接头：适用于 200-800 um 光纤。</w:t>
      </w:r>
    </w:p>
    <w:p>
      <w:pPr>
        <w:keepNext w:val="0"/>
        <w:keepLines w:val="0"/>
        <w:pageBreakBefore w:val="0"/>
        <w:widowControl w:val="0"/>
        <w:kinsoku/>
        <w:wordWrap/>
        <w:overflowPunct/>
        <w:topLinePunct w:val="0"/>
        <w:autoSpaceDE/>
        <w:autoSpaceDN/>
        <w:bidi w:val="0"/>
        <w:adjustRightInd/>
        <w:snapToGrid/>
        <w:spacing w:line="240" w:lineRule="auto"/>
        <w:ind w:left="0" w:firstLine="482" w:firstLineChars="200"/>
        <w:jc w:val="both"/>
        <w:textAlignment w:val="auto"/>
        <w:rPr>
          <w:rFonts w:hint="eastAsia" w:ascii="宋体" w:hAnsi="宋体" w:eastAsia="宋体" w:cs="宋体"/>
          <w:b/>
          <w:bCs/>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left="0" w:firstLine="482" w:firstLineChars="20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品目2</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一、</w:t>
      </w:r>
      <w:r>
        <w:rPr>
          <w:rFonts w:hint="eastAsia" w:ascii="宋体" w:hAnsi="宋体" w:eastAsia="宋体" w:cs="宋体"/>
          <w:b/>
          <w:bCs/>
          <w:sz w:val="24"/>
          <w:szCs w:val="24"/>
          <w:highlight w:val="none"/>
        </w:rPr>
        <w:t>设备名称：成人输尿管肾镜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82" w:firstLineChars="200"/>
        <w:textAlignment w:val="auto"/>
        <w:outlineLvl w:val="9"/>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eastAsia="zh-CN"/>
        </w:rPr>
        <w:t>二、</w:t>
      </w:r>
      <w:r>
        <w:rPr>
          <w:rFonts w:hint="eastAsia" w:ascii="宋体" w:hAnsi="宋体" w:eastAsia="宋体" w:cs="宋体"/>
          <w:b/>
          <w:bCs/>
          <w:sz w:val="24"/>
          <w:szCs w:val="24"/>
          <w:highlight w:val="none"/>
        </w:rPr>
        <w:t>设备数量：</w:t>
      </w:r>
      <w:r>
        <w:rPr>
          <w:rFonts w:hint="eastAsia" w:ascii="宋体" w:hAnsi="宋体" w:eastAsia="宋体" w:cs="宋体"/>
          <w:b/>
          <w:bCs/>
          <w:sz w:val="24"/>
          <w:szCs w:val="24"/>
          <w:highlight w:val="none"/>
          <w:lang w:val="en-US" w:eastAsia="zh-CN"/>
        </w:rPr>
        <w:t>4条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三、</w:t>
      </w:r>
      <w:r>
        <w:rPr>
          <w:rFonts w:hint="eastAsia" w:ascii="宋体" w:hAnsi="宋体" w:eastAsia="宋体" w:cs="宋体"/>
          <w:b/>
          <w:bCs/>
          <w:sz w:val="24"/>
          <w:szCs w:val="24"/>
          <w:highlight w:val="none"/>
          <w:lang w:val="en-US" w:eastAsia="zh-CN"/>
        </w:rPr>
        <w:t>技术</w:t>
      </w:r>
      <w:r>
        <w:rPr>
          <w:rFonts w:hint="eastAsia" w:ascii="宋体" w:hAnsi="宋体" w:eastAsia="宋体" w:cs="宋体"/>
          <w:b/>
          <w:bCs/>
          <w:sz w:val="24"/>
          <w:szCs w:val="24"/>
          <w:highlight w:val="none"/>
        </w:rPr>
        <w:t>要求：</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水中视向角0度;</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视场角≥75°：</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末</w:t>
      </w:r>
      <w:r>
        <w:rPr>
          <w:rFonts w:hint="eastAsia" w:ascii="宋体" w:hAnsi="宋体" w:eastAsia="宋体" w:cs="宋体"/>
          <w:sz w:val="24"/>
          <w:szCs w:val="24"/>
          <w:highlight w:val="none"/>
        </w:rPr>
        <w:t>段外径Fr8.5可选：</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景深范</w:t>
      </w:r>
      <w:r>
        <w:rPr>
          <w:rFonts w:hint="eastAsia" w:ascii="宋体" w:hAnsi="宋体" w:eastAsia="宋体" w:cs="宋体"/>
          <w:sz w:val="24"/>
          <w:szCs w:val="24"/>
          <w:highlight w:val="none"/>
          <w:lang w:val="en-US" w:eastAsia="zh-CN"/>
        </w:rPr>
        <w:t>围</w:t>
      </w:r>
      <w:r>
        <w:rPr>
          <w:rFonts w:hint="eastAsia" w:ascii="宋体" w:hAnsi="宋体" w:eastAsia="宋体" w:cs="宋体"/>
          <w:sz w:val="24"/>
          <w:szCs w:val="24"/>
          <w:highlight w:val="none"/>
        </w:rPr>
        <w:t xml:space="preserve"> 3~20mm:</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工作长度 425mm：</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工作通道 Fr 6。</w:t>
      </w:r>
    </w:p>
    <w:p>
      <w:pPr>
        <w:keepNext w:val="0"/>
        <w:keepLines w:val="0"/>
        <w:pageBreakBefore w:val="0"/>
        <w:widowControl w:val="0"/>
        <w:kinsoku/>
        <w:wordWrap/>
        <w:overflowPunct/>
        <w:topLinePunct w:val="0"/>
        <w:autoSpaceDE/>
        <w:autoSpaceDN/>
        <w:bidi w:val="0"/>
        <w:adjustRightInd/>
        <w:snapToGrid/>
        <w:spacing w:line="240" w:lineRule="auto"/>
        <w:ind w:left="0" w:firstLine="480" w:firstLineChars="200"/>
        <w:textAlignment w:val="auto"/>
        <w:rPr>
          <w:rFonts w:hint="eastAsia" w:ascii="宋体" w:hAnsi="宋体" w:eastAsia="宋体" w:cs="宋体"/>
          <w:sz w:val="24"/>
          <w:szCs w:val="24"/>
          <w:highlight w:val="none"/>
        </w:rPr>
      </w:pPr>
    </w:p>
    <w:p>
      <w:pPr>
        <w:keepNext w:val="0"/>
        <w:keepLines w:val="0"/>
        <w:pageBreakBefore w:val="0"/>
        <w:widowControl w:val="0"/>
        <w:kinsoku/>
        <w:wordWrap/>
        <w:overflowPunct/>
        <w:topLinePunct w:val="0"/>
        <w:autoSpaceDE/>
        <w:autoSpaceDN/>
        <w:bidi w:val="0"/>
        <w:adjustRightInd/>
        <w:snapToGrid/>
        <w:spacing w:line="240" w:lineRule="auto"/>
        <w:ind w:left="0" w:firstLine="482" w:firstLineChars="20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品目3</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一、</w:t>
      </w:r>
      <w:r>
        <w:rPr>
          <w:rFonts w:hint="eastAsia" w:ascii="宋体" w:hAnsi="宋体" w:eastAsia="宋体" w:cs="宋体"/>
          <w:b/>
          <w:bCs/>
          <w:sz w:val="24"/>
          <w:szCs w:val="24"/>
          <w:highlight w:val="none"/>
        </w:rPr>
        <w:t>设备名称：细输尿管肾镜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82" w:firstLineChars="200"/>
        <w:textAlignment w:val="auto"/>
        <w:outlineLvl w:val="9"/>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eastAsia="zh-CN"/>
        </w:rPr>
        <w:t>二、</w:t>
      </w:r>
      <w:r>
        <w:rPr>
          <w:rFonts w:hint="eastAsia" w:ascii="宋体" w:hAnsi="宋体" w:eastAsia="宋体" w:cs="宋体"/>
          <w:b/>
          <w:bCs/>
          <w:sz w:val="24"/>
          <w:szCs w:val="24"/>
          <w:highlight w:val="none"/>
        </w:rPr>
        <w:t>设备数量：</w:t>
      </w:r>
      <w:r>
        <w:rPr>
          <w:rFonts w:hint="eastAsia" w:ascii="宋体" w:hAnsi="宋体" w:eastAsia="宋体" w:cs="宋体"/>
          <w:b/>
          <w:bCs/>
          <w:sz w:val="24"/>
          <w:szCs w:val="24"/>
          <w:highlight w:val="none"/>
          <w:lang w:val="en-US" w:eastAsia="zh-CN"/>
        </w:rPr>
        <w:t>2条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三、</w:t>
      </w:r>
      <w:r>
        <w:rPr>
          <w:rFonts w:hint="eastAsia" w:ascii="宋体" w:hAnsi="宋体" w:eastAsia="宋体" w:cs="宋体"/>
          <w:b/>
          <w:bCs/>
          <w:sz w:val="24"/>
          <w:szCs w:val="24"/>
          <w:highlight w:val="none"/>
          <w:lang w:val="en-US" w:eastAsia="zh-CN"/>
        </w:rPr>
        <w:t>技术</w:t>
      </w:r>
      <w:r>
        <w:rPr>
          <w:rFonts w:hint="eastAsia" w:ascii="宋体" w:hAnsi="宋体" w:eastAsia="宋体" w:cs="宋体"/>
          <w:b/>
          <w:bCs/>
          <w:sz w:val="24"/>
          <w:szCs w:val="24"/>
          <w:highlight w:val="none"/>
        </w:rPr>
        <w:t>要求：</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水中视向角 6度：</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视场角≥75°；</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末</w:t>
      </w:r>
      <w:r>
        <w:rPr>
          <w:rFonts w:hint="eastAsia" w:ascii="宋体" w:hAnsi="宋体" w:eastAsia="宋体" w:cs="宋体"/>
          <w:sz w:val="24"/>
          <w:szCs w:val="24"/>
          <w:highlight w:val="none"/>
        </w:rPr>
        <w:t>段外径 Fr7.5;</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景深范围 3~20mm:</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工作长度 425mm;</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工作通道 Fr 5.4。</w:t>
      </w:r>
    </w:p>
    <w:p>
      <w:pPr>
        <w:pStyle w:val="2"/>
        <w:keepNext/>
        <w:keepLines/>
        <w:pageBreakBefore w:val="0"/>
        <w:widowControl w:val="0"/>
        <w:numPr>
          <w:ilvl w:val="0"/>
          <w:numId w:val="0"/>
        </w:numPr>
        <w:kinsoku/>
        <w:wordWrap/>
        <w:overflowPunct/>
        <w:topLinePunct w:val="0"/>
        <w:autoSpaceDE/>
        <w:autoSpaceDN/>
        <w:bidi w:val="0"/>
        <w:adjustRightInd w:val="0"/>
        <w:snapToGrid/>
        <w:spacing w:before="0" w:after="0" w:line="360" w:lineRule="auto"/>
        <w:ind w:firstLine="482" w:firstLineChars="200"/>
        <w:textAlignment w:val="baseline"/>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*配置：</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4"/>
        <w:gridCol w:w="4063"/>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vAlign w:val="center"/>
          </w:tcPr>
          <w:p>
            <w:pPr>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序号</w:t>
            </w:r>
          </w:p>
        </w:tc>
        <w:tc>
          <w:tcPr>
            <w:tcW w:w="4063" w:type="dxa"/>
            <w:vAlign w:val="center"/>
          </w:tcPr>
          <w:p>
            <w:pPr>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品名</w:t>
            </w:r>
          </w:p>
        </w:tc>
        <w:tc>
          <w:tcPr>
            <w:tcW w:w="3117" w:type="dxa"/>
            <w:vAlign w:val="center"/>
          </w:tcPr>
          <w:p>
            <w:pPr>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vAlign w:val="center"/>
          </w:tcPr>
          <w:p>
            <w:pPr>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1</w:t>
            </w:r>
          </w:p>
        </w:tc>
        <w:tc>
          <w:tcPr>
            <w:tcW w:w="4063" w:type="dxa"/>
            <w:vAlign w:val="center"/>
          </w:tcPr>
          <w:p>
            <w:pPr>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rPr>
              <w:t>输尿管肾镜（肾镜）包括：</w:t>
            </w:r>
          </w:p>
        </w:tc>
        <w:tc>
          <w:tcPr>
            <w:tcW w:w="3117" w:type="dxa"/>
            <w:vAlign w:val="center"/>
          </w:tcPr>
          <w:p>
            <w:pPr>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vAlign w:val="center"/>
          </w:tcPr>
          <w:p>
            <w:pPr>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1.1</w:t>
            </w:r>
          </w:p>
        </w:tc>
        <w:tc>
          <w:tcPr>
            <w:tcW w:w="4063" w:type="dxa"/>
            <w:vAlign w:val="center"/>
          </w:tcPr>
          <w:p>
            <w:pPr>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rPr>
              <w:t>输尿管肾镜（肾镜）</w:t>
            </w:r>
          </w:p>
        </w:tc>
        <w:tc>
          <w:tcPr>
            <w:tcW w:w="3117" w:type="dxa"/>
            <w:vAlign w:val="center"/>
          </w:tcPr>
          <w:p>
            <w:pPr>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rPr>
              <w:t>2条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vAlign w:val="center"/>
          </w:tcPr>
          <w:p>
            <w:pPr>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1.2</w:t>
            </w:r>
          </w:p>
        </w:tc>
        <w:tc>
          <w:tcPr>
            <w:tcW w:w="4063" w:type="dxa"/>
            <w:vAlign w:val="center"/>
          </w:tcPr>
          <w:p>
            <w:pPr>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rPr>
              <w:t>皮肤组织钻孔器鞘管</w:t>
            </w:r>
          </w:p>
        </w:tc>
        <w:tc>
          <w:tcPr>
            <w:tcW w:w="3117" w:type="dxa"/>
            <w:vAlign w:val="center"/>
          </w:tcPr>
          <w:p>
            <w:pPr>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vAlign w:val="center"/>
          </w:tcPr>
          <w:p>
            <w:pPr>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1.3</w:t>
            </w:r>
          </w:p>
        </w:tc>
        <w:tc>
          <w:tcPr>
            <w:tcW w:w="4063" w:type="dxa"/>
            <w:vAlign w:val="center"/>
          </w:tcPr>
          <w:p>
            <w:pPr>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rPr>
              <w:t>取石钳</w:t>
            </w:r>
          </w:p>
        </w:tc>
        <w:tc>
          <w:tcPr>
            <w:tcW w:w="3117" w:type="dxa"/>
            <w:vAlign w:val="center"/>
          </w:tcPr>
          <w:p>
            <w:pPr>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rPr>
              <w:t>2把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vAlign w:val="center"/>
          </w:tcPr>
          <w:p>
            <w:pPr>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1.4</w:t>
            </w:r>
          </w:p>
        </w:tc>
        <w:tc>
          <w:tcPr>
            <w:tcW w:w="4063" w:type="dxa"/>
            <w:vAlign w:val="center"/>
          </w:tcPr>
          <w:p>
            <w:pPr>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rPr>
              <w:t>消毒盒</w:t>
            </w:r>
          </w:p>
        </w:tc>
        <w:tc>
          <w:tcPr>
            <w:tcW w:w="3117" w:type="dxa"/>
            <w:vAlign w:val="center"/>
          </w:tcPr>
          <w:p>
            <w:pPr>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rPr>
              <w:t>2只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vAlign w:val="center"/>
          </w:tcPr>
          <w:p>
            <w:pPr>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2</w:t>
            </w:r>
          </w:p>
        </w:tc>
        <w:tc>
          <w:tcPr>
            <w:tcW w:w="4063" w:type="dxa"/>
            <w:vAlign w:val="center"/>
          </w:tcPr>
          <w:p>
            <w:pPr>
              <w:jc w:val="center"/>
              <w:rPr>
                <w:rFonts w:hint="default" w:ascii="Times New Roman" w:hAnsi="Times New Roman" w:eastAsia="宋体" w:cs="Times New Roman"/>
                <w:sz w:val="21"/>
                <w:szCs w:val="21"/>
                <w:highlight w:val="none"/>
                <w:vertAlign w:val="baseline"/>
                <w:lang w:eastAsia="zh-CN"/>
              </w:rPr>
            </w:pPr>
            <w:r>
              <w:rPr>
                <w:rFonts w:hint="default" w:ascii="Times New Roman" w:hAnsi="Times New Roman" w:eastAsia="宋体" w:cs="Times New Roman"/>
                <w:sz w:val="21"/>
                <w:szCs w:val="21"/>
                <w:highlight w:val="none"/>
                <w:vertAlign w:val="baseline"/>
              </w:rPr>
              <w:t>输尿管肾镜（成人</w:t>
            </w:r>
            <w:r>
              <w:rPr>
                <w:rFonts w:hint="default" w:ascii="Times New Roman" w:hAnsi="Times New Roman" w:eastAsia="宋体" w:cs="Times New Roman"/>
                <w:sz w:val="21"/>
                <w:szCs w:val="21"/>
                <w:highlight w:val="none"/>
                <w:vertAlign w:val="baseline"/>
                <w:lang w:eastAsia="zh-CN"/>
              </w:rPr>
              <w:t>）</w:t>
            </w:r>
          </w:p>
        </w:tc>
        <w:tc>
          <w:tcPr>
            <w:tcW w:w="3117" w:type="dxa"/>
            <w:vAlign w:val="center"/>
          </w:tcPr>
          <w:p>
            <w:pPr>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rPr>
              <w:t>4套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4" w:type="dxa"/>
            <w:vAlign w:val="center"/>
          </w:tcPr>
          <w:p>
            <w:pPr>
              <w:jc w:val="center"/>
              <w:rPr>
                <w:rFonts w:hint="default" w:ascii="Times New Roman" w:hAnsi="Times New Roman" w:eastAsia="宋体" w:cs="Times New Roman"/>
                <w:sz w:val="21"/>
                <w:szCs w:val="21"/>
                <w:highlight w:val="none"/>
                <w:vertAlign w:val="baseline"/>
                <w:lang w:val="en-US" w:eastAsia="zh-CN"/>
              </w:rPr>
            </w:pPr>
            <w:r>
              <w:rPr>
                <w:rFonts w:hint="default" w:ascii="Times New Roman" w:hAnsi="Times New Roman" w:eastAsia="宋体" w:cs="Times New Roman"/>
                <w:sz w:val="21"/>
                <w:szCs w:val="21"/>
                <w:highlight w:val="none"/>
                <w:vertAlign w:val="baseline"/>
                <w:lang w:val="en-US" w:eastAsia="zh-CN"/>
              </w:rPr>
              <w:t>3</w:t>
            </w:r>
          </w:p>
        </w:tc>
        <w:tc>
          <w:tcPr>
            <w:tcW w:w="4063" w:type="dxa"/>
            <w:vAlign w:val="center"/>
          </w:tcPr>
          <w:p>
            <w:pPr>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rPr>
              <w:t>输尿管肾镜（小儿）</w:t>
            </w:r>
          </w:p>
        </w:tc>
        <w:tc>
          <w:tcPr>
            <w:tcW w:w="3117" w:type="dxa"/>
            <w:vAlign w:val="center"/>
          </w:tcPr>
          <w:p>
            <w:pPr>
              <w:jc w:val="center"/>
              <w:rPr>
                <w:rFonts w:hint="default" w:ascii="Times New Roman" w:hAnsi="Times New Roman" w:eastAsia="宋体" w:cs="Times New Roman"/>
                <w:sz w:val="21"/>
                <w:szCs w:val="21"/>
                <w:highlight w:val="none"/>
                <w:vertAlign w:val="baseline"/>
              </w:rPr>
            </w:pPr>
            <w:r>
              <w:rPr>
                <w:rFonts w:hint="default" w:ascii="Times New Roman" w:hAnsi="Times New Roman" w:eastAsia="宋体" w:cs="Times New Roman"/>
                <w:sz w:val="21"/>
                <w:szCs w:val="21"/>
                <w:highlight w:val="none"/>
                <w:vertAlign w:val="baseline"/>
              </w:rPr>
              <w:t>2套</w:t>
            </w:r>
          </w:p>
        </w:tc>
      </w:tr>
    </w:tbl>
    <w:p>
      <w:pPr>
        <w:rPr>
          <w:rFonts w:hint="eastAsia"/>
          <w:lang w:val="en-US" w:eastAsia="zh-CN"/>
        </w:rPr>
      </w:pPr>
    </w:p>
    <w:p>
      <w:pPr>
        <w:ind w:firstLine="482" w:firstLineChars="200"/>
        <w:rPr>
          <w:rFonts w:hint="eastAsia"/>
          <w:lang w:val="en-US" w:eastAsia="zh-CN"/>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*1、运输、装卸、培训、安装调试：由中标人负责承担，最终通过使用科室、设备科及相关部门确认验收交付使用。</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*2、交货时间：按合同约定的日期交货。</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*3、交货地点：娄底市中心医院指定地点。</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付款方式：设备验收合格后，供应商将发票交到娄底市中心医院后按程序支付货款90%（按医院财务制度一般情况下4个月内支付、特殊情况下最多不超过6个月），甲方在设备验收合格满3年后支付10%余款给乙方。</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*5、质保与售后：整机保修3年，终身维修。验收时出具原厂售后质保承诺书，质保期内每年巡检一次，并提交巡检记录。质保期内出现故障，24小时响应，响应后4小时上门服务。</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*6、在投标文件中必须提供相关佐证资料（加盖原厂公章的技术参数、技术白皮书、说明书、彩页），并在响应表中备注该条参数响应或正偏离的佐证资料所在页码。</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0000FF"/>
          <w:sz w:val="24"/>
          <w:szCs w:val="24"/>
          <w:u w:val="single"/>
          <w:lang w:val="en-US" w:eastAsia="zh-CN"/>
        </w:rPr>
        <w:t>院内议价</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0000FF"/>
          <w:sz w:val="24"/>
          <w:szCs w:val="24"/>
          <w:u w:val="single"/>
          <w:lang w:val="en-US" w:eastAsia="zh-CN"/>
        </w:rPr>
        <w:t>肾镜、输尿管镜（粗细）一批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0000FF"/>
          <w:sz w:val="24"/>
          <w:szCs w:val="24"/>
          <w:u w:val="single"/>
          <w:lang w:val="en-US" w:eastAsia="zh-CN"/>
        </w:rPr>
        <w:t>肾镜、输尿管镜（粗细）一批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6"/>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10"/>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17"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17"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肾镜</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76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94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2条</w:t>
            </w:r>
          </w:p>
        </w:tc>
        <w:tc>
          <w:tcPr>
            <w:tcW w:w="1654"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17"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1"/>
                <w:szCs w:val="21"/>
                <w:lang w:val="en-US" w:eastAsia="zh-CN"/>
                <w14:textFill>
                  <w14:solidFill>
                    <w14:schemeClr w14:val="tx1"/>
                  </w14:solidFill>
                </w14:textFill>
              </w:rPr>
              <w:t>输尿管镜（粗）</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p>
        </w:tc>
        <w:tc>
          <w:tcPr>
            <w:tcW w:w="176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p>
        </w:tc>
        <w:tc>
          <w:tcPr>
            <w:tcW w:w="94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4条</w:t>
            </w:r>
          </w:p>
        </w:tc>
        <w:tc>
          <w:tcPr>
            <w:tcW w:w="1654"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17"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输尿管细镜</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p>
        </w:tc>
        <w:tc>
          <w:tcPr>
            <w:tcW w:w="176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p>
        </w:tc>
        <w:tc>
          <w:tcPr>
            <w:tcW w:w="94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2条</w:t>
            </w:r>
          </w:p>
        </w:tc>
        <w:tc>
          <w:tcPr>
            <w:tcW w:w="1654"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11" w:type="dxa"/>
            <w:gridSpan w:val="6"/>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1.4  </w:t>
      </w:r>
      <w:r>
        <w:rPr>
          <w:rFonts w:hint="eastAsia" w:ascii="宋体" w:hAnsi="宋体" w:eastAsia="宋体" w:cs="宋体"/>
          <w:color w:val="auto"/>
          <w:sz w:val="24"/>
          <w:szCs w:val="24"/>
          <w:highlight w:val="none"/>
        </w:rPr>
        <w:t>运输、装卸、培训、安装调试由</w:t>
      </w:r>
      <w:r>
        <w:rPr>
          <w:rFonts w:hint="eastAsia" w:ascii="宋体" w:hAnsi="宋体" w:eastAsia="宋体" w:cs="宋体"/>
          <w:color w:val="0000FF"/>
          <w:sz w:val="24"/>
          <w:szCs w:val="24"/>
          <w:highlight w:val="none"/>
          <w:lang w:val="en-US" w:eastAsia="zh-CN"/>
        </w:rPr>
        <w:t>乙方</w:t>
      </w:r>
      <w:r>
        <w:rPr>
          <w:rFonts w:hint="eastAsia" w:ascii="宋体" w:hAnsi="宋体" w:eastAsia="宋体" w:cs="宋体"/>
          <w:color w:val="auto"/>
          <w:sz w:val="24"/>
          <w:szCs w:val="24"/>
          <w:highlight w:val="none"/>
        </w:rPr>
        <w:t>负责承担，最终通过使用科室、设备科及相关部门确认验收交付使用。</w:t>
      </w:r>
    </w:p>
    <w:p>
      <w:pPr>
        <w:keepNext w:val="0"/>
        <w:keepLines w:val="0"/>
        <w:pageBreakBefore w:val="0"/>
        <w:widowControl w:val="0"/>
        <w:numPr>
          <w:ilvl w:val="0"/>
          <w:numId w:val="6"/>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0000FF"/>
          <w:sz w:val="24"/>
          <w:lang w:val="en-US" w:eastAsia="zh-CN"/>
        </w:rPr>
        <w:t>并</w:t>
      </w:r>
      <w:r>
        <w:rPr>
          <w:rFonts w:hint="eastAsia" w:ascii="宋体" w:hAnsi="宋体" w:eastAsia="宋体" w:cs="宋体"/>
          <w:color w:val="0000FF"/>
          <w:sz w:val="24"/>
          <w:szCs w:val="24"/>
        </w:rPr>
        <w:t>出具原厂售后质保承诺书</w:t>
      </w:r>
      <w:r>
        <w:rPr>
          <w:rFonts w:hint="eastAsia" w:ascii="宋体" w:hAnsi="宋体" w:eastAsia="宋体" w:cs="宋体"/>
          <w:sz w:val="24"/>
        </w:rPr>
        <w:t>。</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w:t>
      </w:r>
      <w:r>
        <w:rPr>
          <w:rFonts w:hint="eastAsia" w:ascii="宋体" w:hAnsi="宋体" w:eastAsia="宋体" w:cs="宋体"/>
          <w:color w:val="0000FF"/>
          <w:sz w:val="24"/>
          <w:szCs w:val="24"/>
          <w:highlight w:val="none"/>
          <w:lang w:val="en-US" w:eastAsia="zh-CN"/>
        </w:rPr>
        <w:t>24小时响应，响应后4小时上门服务</w:t>
      </w:r>
      <w:r>
        <w:rPr>
          <w:rFonts w:hint="eastAsia" w:ascii="宋体" w:hAnsi="宋体" w:eastAsia="宋体" w:cs="宋体"/>
          <w:color w:val="auto"/>
          <w:sz w:val="24"/>
          <w:szCs w:val="24"/>
          <w:lang w:val="en-US" w:eastAsia="zh-CN"/>
        </w:rPr>
        <w:t>，相关费用由乙方承担。如乙方不及时履行保修义务，甲方有权委托第三方进行维修，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w:t>
      </w:r>
      <w:bookmarkStart w:id="5" w:name="_GoBack"/>
      <w:r>
        <w:rPr>
          <w:rFonts w:hint="eastAsia" w:ascii="宋体" w:hAnsi="宋体" w:cs="宋体"/>
          <w:color w:val="0000FF"/>
          <w:sz w:val="24"/>
          <w:szCs w:val="24"/>
          <w:lang w:val="en-US" w:eastAsia="zh-CN"/>
        </w:rPr>
        <w:t>一</w:t>
      </w:r>
      <w:bookmarkEnd w:id="5"/>
      <w:r>
        <w:rPr>
          <w:rFonts w:hint="eastAsia" w:ascii="宋体" w:hAnsi="宋体" w:eastAsia="宋体" w:cs="宋体"/>
          <w:color w:val="auto"/>
          <w:sz w:val="24"/>
          <w:szCs w:val="24"/>
          <w:lang w:val="en-US" w:eastAsia="zh-CN"/>
        </w:rPr>
        <w:t>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质保期届满后，如设备出现问题，乙方应在接到甲方通知（包括电话通知）24小时响应，响应后4小时上门服务，相关费用由甲方承担。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lang w:val="en-US"/>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color w:val="auto"/>
          <w:sz w:val="32"/>
          <w:szCs w:val="32"/>
        </w:rPr>
      </w:pPr>
      <w:r>
        <w:rPr>
          <w:rFonts w:hint="eastAsia" w:ascii="宋体" w:hAnsi="宋体" w:cs="宋体"/>
          <w:b/>
          <w:color w:val="auto"/>
          <w:sz w:val="32"/>
          <w:szCs w:val="32"/>
        </w:rPr>
        <w:t>综合评分表</w:t>
      </w:r>
    </w:p>
    <w:tbl>
      <w:tblPr>
        <w:tblStyle w:val="10"/>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85"/>
        <w:gridCol w:w="903"/>
        <w:gridCol w:w="1245"/>
        <w:gridCol w:w="6318"/>
        <w:gridCol w:w="80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序号</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评审项目</w:t>
            </w:r>
          </w:p>
        </w:tc>
        <w:tc>
          <w:tcPr>
            <w:tcW w:w="3171" w:type="pct"/>
            <w:noWrap w:val="0"/>
            <w:vAlign w:val="center"/>
          </w:tcPr>
          <w:p>
            <w:pPr>
              <w:ind w:left="480"/>
              <w:jc w:val="center"/>
              <w:rPr>
                <w:rFonts w:hint="eastAsia" w:ascii="宋体" w:hAnsi="宋体" w:cs="宋体"/>
                <w:color w:val="auto"/>
                <w:sz w:val="24"/>
                <w:szCs w:val="24"/>
              </w:rPr>
            </w:pPr>
            <w:r>
              <w:rPr>
                <w:rFonts w:hint="eastAsia" w:ascii="宋体" w:hAnsi="宋体" w:cs="宋体"/>
                <w:color w:val="auto"/>
                <w:sz w:val="24"/>
                <w:szCs w:val="24"/>
              </w:rPr>
              <w:t>评审标准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53"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1</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价格</w:t>
            </w:r>
          </w:p>
          <w:p>
            <w:pPr>
              <w:jc w:val="center"/>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4</w:t>
            </w:r>
            <w:r>
              <w:rPr>
                <w:rFonts w:hint="eastAsia" w:ascii="宋体" w:hAnsi="宋体" w:cs="宋体"/>
                <w:color w:val="auto"/>
                <w:sz w:val="24"/>
                <w:szCs w:val="24"/>
              </w:rPr>
              <w:t>0分）</w:t>
            </w:r>
          </w:p>
        </w:tc>
        <w:tc>
          <w:tcPr>
            <w:tcW w:w="3171" w:type="pct"/>
            <w:noWrap w:val="0"/>
            <w:vAlign w:val="center"/>
          </w:tcPr>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0</w:t>
            </w:r>
            <w:r>
              <w:rPr>
                <w:rFonts w:hint="eastAsia" w:ascii="宋体" w:hAnsi="宋体" w:eastAsia="宋体" w:cs="Times New Roman"/>
                <w:color w:val="auto"/>
                <w:sz w:val="24"/>
                <w:szCs w:val="24"/>
              </w:rPr>
              <w:t>。</w:t>
            </w:r>
          </w:p>
          <w:p>
            <w:pPr>
              <w:rPr>
                <w:rFonts w:hint="eastAsia"/>
                <w:color w:val="auto"/>
                <w:sz w:val="24"/>
                <w:szCs w:val="24"/>
              </w:rPr>
            </w:pPr>
            <w:r>
              <w:rPr>
                <w:rFonts w:hint="eastAsia" w:ascii="宋体" w:hAnsi="宋体" w:eastAsia="宋体" w:cs="Times New Roman"/>
                <w:color w:val="auto"/>
                <w:sz w:val="24"/>
                <w:szCs w:val="24"/>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4"/>
                <w:szCs w:val="24"/>
              </w:rPr>
              <w:t>;</w:t>
            </w:r>
            <w:r>
              <w:rPr>
                <w:rFonts w:hint="eastAsia" w:ascii="宋体" w:hAnsi="宋体" w:eastAsia="宋体" w:cs="Times New Roman"/>
                <w:color w:val="auto"/>
                <w:sz w:val="24"/>
                <w:szCs w:val="24"/>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0-</w:t>
            </w:r>
            <w:r>
              <w:rPr>
                <w:rFonts w:hint="eastAsia" w:ascii="宋体" w:hAnsi="宋体" w:cs="宋体"/>
                <w:color w:val="auto"/>
                <w:sz w:val="24"/>
                <w:szCs w:val="24"/>
                <w:lang w:val="en-US" w:eastAsia="zh-CN"/>
              </w:rPr>
              <w:t>4</w:t>
            </w:r>
            <w:r>
              <w:rPr>
                <w:rFonts w:hint="eastAsia" w:ascii="宋体" w:hAnsi="宋体" w:cs="宋体"/>
                <w:color w:val="auto"/>
                <w:sz w:val="24"/>
                <w:szCs w:val="24"/>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2</w:t>
            </w:r>
          </w:p>
        </w:tc>
        <w:tc>
          <w:tcPr>
            <w:tcW w:w="453"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lang w:eastAsia="zh-CN"/>
              </w:rPr>
              <w:t>招标文件响应程度及服务方案</w:t>
            </w:r>
            <w:r>
              <w:rPr>
                <w:rFonts w:hint="eastAsia" w:ascii="宋体" w:hAnsi="宋体" w:cs="宋体"/>
                <w:color w:val="auto"/>
                <w:sz w:val="24"/>
                <w:szCs w:val="24"/>
              </w:rPr>
              <w:t>（</w:t>
            </w:r>
            <w:r>
              <w:rPr>
                <w:rFonts w:hint="eastAsia" w:ascii="宋体" w:hAnsi="宋体" w:cs="宋体"/>
                <w:color w:val="auto"/>
                <w:sz w:val="24"/>
                <w:szCs w:val="24"/>
                <w:lang w:val="en-US" w:eastAsia="zh-CN"/>
              </w:rPr>
              <w:t>10</w:t>
            </w:r>
            <w:r>
              <w:rPr>
                <w:rFonts w:hint="eastAsia" w:ascii="宋体" w:hAnsi="宋体" w:cs="宋体"/>
                <w:color w:val="auto"/>
                <w:sz w:val="24"/>
                <w:szCs w:val="24"/>
              </w:rPr>
              <w:t>分）</w:t>
            </w:r>
          </w:p>
        </w:tc>
        <w:tc>
          <w:tcPr>
            <w:tcW w:w="625" w:type="pct"/>
            <w:noWrap w:val="0"/>
            <w:vAlign w:val="center"/>
          </w:tcPr>
          <w:p>
            <w:pPr>
              <w:jc w:val="center"/>
              <w:rPr>
                <w:rFonts w:hint="eastAsia" w:ascii="宋体" w:hAnsi="宋体" w:cs="宋体"/>
                <w:color w:val="auto"/>
                <w:sz w:val="24"/>
                <w:szCs w:val="24"/>
              </w:rPr>
            </w:pPr>
            <w:r>
              <w:rPr>
                <w:rFonts w:ascii="宋体" w:hAnsi="宋体"/>
                <w:color w:val="auto"/>
                <w:sz w:val="24"/>
                <w:szCs w:val="24"/>
              </w:rPr>
              <w:t>对招标文件的响应程度</w:t>
            </w:r>
          </w:p>
        </w:tc>
        <w:tc>
          <w:tcPr>
            <w:tcW w:w="3171" w:type="pct"/>
            <w:noWrap w:val="0"/>
            <w:vAlign w:val="center"/>
          </w:tcPr>
          <w:p>
            <w:pPr>
              <w:rPr>
                <w:rFonts w:hint="eastAsia" w:ascii="宋体" w:hAnsi="宋体" w:cs="宋体"/>
                <w:color w:val="auto"/>
                <w:sz w:val="24"/>
                <w:szCs w:val="24"/>
              </w:rPr>
            </w:pPr>
            <w:r>
              <w:rPr>
                <w:rFonts w:hint="eastAsia" w:ascii="宋体" w:hAnsi="宋体"/>
                <w:color w:val="auto"/>
                <w:sz w:val="24"/>
                <w:szCs w:val="24"/>
              </w:rPr>
              <w:t>以招标文件格式为基础，根据投标文件制作的优劣，专家酌情打分，每有一处细微偏差扣1分，扣分最多不超过</w:t>
            </w:r>
            <w:r>
              <w:rPr>
                <w:rFonts w:hint="eastAsia" w:ascii="宋体" w:hAnsi="宋体"/>
                <w:color w:val="auto"/>
                <w:sz w:val="24"/>
                <w:szCs w:val="24"/>
                <w:lang w:val="en-US" w:eastAsia="zh-CN"/>
              </w:rPr>
              <w:t>2</w:t>
            </w:r>
            <w:r>
              <w:rPr>
                <w:rFonts w:hint="eastAsia" w:ascii="宋体" w:hAnsi="宋体"/>
                <w:color w:val="auto"/>
                <w:sz w:val="24"/>
                <w:szCs w:val="24"/>
              </w:rPr>
              <w:t>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4"/>
                <w:szCs w:val="24"/>
              </w:rPr>
            </w:pPr>
          </w:p>
        </w:tc>
        <w:tc>
          <w:tcPr>
            <w:tcW w:w="453" w:type="pct"/>
            <w:vMerge w:val="continue"/>
            <w:noWrap w:val="0"/>
            <w:vAlign w:val="center"/>
          </w:tcPr>
          <w:p>
            <w:pPr>
              <w:jc w:val="center"/>
              <w:rPr>
                <w:rFonts w:hint="eastAsia" w:ascii="宋体" w:hAnsi="宋体" w:cs="宋体"/>
                <w:color w:val="auto"/>
                <w:sz w:val="24"/>
                <w:szCs w:val="24"/>
              </w:rPr>
            </w:pPr>
          </w:p>
        </w:tc>
        <w:tc>
          <w:tcPr>
            <w:tcW w:w="625" w:type="pct"/>
            <w:noWrap w:val="0"/>
            <w:vAlign w:val="center"/>
          </w:tcPr>
          <w:p>
            <w:pPr>
              <w:jc w:val="center"/>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服务方案</w:t>
            </w:r>
          </w:p>
        </w:tc>
        <w:tc>
          <w:tcPr>
            <w:tcW w:w="3171" w:type="pct"/>
            <w:noWrap w:val="0"/>
            <w:vAlign w:val="center"/>
          </w:tcPr>
          <w:p>
            <w:pPr>
              <w:rPr>
                <w:rFonts w:hint="eastAsia" w:ascii="宋体" w:hAnsi="宋体" w:cs="Times New Roman"/>
                <w:color w:val="auto"/>
                <w:sz w:val="24"/>
                <w:szCs w:val="24"/>
              </w:rPr>
            </w:pPr>
            <w:r>
              <w:rPr>
                <w:rFonts w:hint="eastAsia" w:ascii="宋体" w:hAnsi="宋体" w:cs="Times New Roman"/>
                <w:color w:val="auto"/>
                <w:sz w:val="24"/>
                <w:szCs w:val="24"/>
                <w:lang w:val="en-US" w:eastAsia="zh-CN"/>
              </w:rPr>
              <w:t>1、</w:t>
            </w:r>
            <w:r>
              <w:rPr>
                <w:rFonts w:hint="eastAsia" w:ascii="宋体" w:hAnsi="宋体" w:cs="Times New Roman"/>
                <w:color w:val="auto"/>
                <w:sz w:val="24"/>
                <w:szCs w:val="24"/>
              </w:rPr>
              <w:t>能提供投标人</w:t>
            </w:r>
            <w:r>
              <w:rPr>
                <w:rFonts w:hint="eastAsia" w:ascii="宋体" w:hAnsi="宋体" w:cs="Times New Roman"/>
                <w:color w:val="auto"/>
                <w:sz w:val="24"/>
                <w:szCs w:val="24"/>
                <w:lang w:eastAsia="zh-CN"/>
              </w:rPr>
              <w:t>投标货物的</w:t>
            </w:r>
            <w:r>
              <w:rPr>
                <w:rFonts w:hint="eastAsia" w:ascii="宋体" w:hAnsi="宋体" w:cs="Times New Roman"/>
                <w:color w:val="auto"/>
                <w:sz w:val="24"/>
                <w:szCs w:val="24"/>
              </w:rPr>
              <w:t>同类型合作业绩，</w:t>
            </w:r>
            <w:r>
              <w:rPr>
                <w:rFonts w:hint="eastAsia" w:ascii="宋体" w:hAnsi="宋体" w:cs="Times New Roman"/>
                <w:color w:val="auto"/>
                <w:sz w:val="24"/>
                <w:szCs w:val="24"/>
                <w:lang w:eastAsia="zh-CN"/>
              </w:rPr>
              <w:t>（自开标开标之日止前五年）</w:t>
            </w:r>
            <w:r>
              <w:rPr>
                <w:rFonts w:hint="eastAsia" w:ascii="宋体" w:hAnsi="宋体" w:cs="Times New Roman"/>
                <w:color w:val="auto"/>
                <w:sz w:val="24"/>
                <w:szCs w:val="24"/>
              </w:rPr>
              <w:t>每个</w:t>
            </w:r>
            <w:r>
              <w:rPr>
                <w:rFonts w:hint="eastAsia" w:ascii="宋体" w:hAnsi="宋体" w:cs="Times New Roman"/>
                <w:color w:val="auto"/>
                <w:sz w:val="24"/>
                <w:szCs w:val="24"/>
                <w:lang w:val="en-US" w:eastAsia="zh-CN"/>
              </w:rPr>
              <w:t>业绩</w:t>
            </w:r>
            <w:r>
              <w:rPr>
                <w:rFonts w:hint="eastAsia" w:ascii="宋体" w:hAnsi="宋体" w:cs="Times New Roman"/>
                <w:color w:val="auto"/>
                <w:sz w:val="24"/>
                <w:szCs w:val="24"/>
              </w:rPr>
              <w:t>计</w:t>
            </w:r>
            <w:r>
              <w:rPr>
                <w:rFonts w:hint="eastAsia" w:ascii="宋体" w:hAnsi="宋体" w:cs="Times New Roman"/>
                <w:color w:val="auto"/>
                <w:sz w:val="24"/>
                <w:szCs w:val="24"/>
                <w:lang w:val="en-US" w:eastAsia="zh-CN"/>
              </w:rPr>
              <w:t>2</w:t>
            </w:r>
            <w:r>
              <w:rPr>
                <w:rFonts w:hint="eastAsia" w:ascii="宋体" w:hAnsi="宋体" w:cs="Times New Roman"/>
                <w:color w:val="auto"/>
                <w:sz w:val="24"/>
                <w:szCs w:val="24"/>
              </w:rPr>
              <w:t>分，最多计</w:t>
            </w:r>
            <w:r>
              <w:rPr>
                <w:rFonts w:hint="eastAsia" w:ascii="宋体" w:hAnsi="宋体" w:cs="Times New Roman"/>
                <w:color w:val="auto"/>
                <w:sz w:val="24"/>
                <w:szCs w:val="24"/>
                <w:lang w:val="en-US" w:eastAsia="zh-CN"/>
              </w:rPr>
              <w:t>4</w:t>
            </w:r>
            <w:r>
              <w:rPr>
                <w:rFonts w:hint="eastAsia" w:ascii="宋体" w:hAnsi="宋体" w:cs="Times New Roman"/>
                <w:color w:val="auto"/>
                <w:sz w:val="24"/>
                <w:szCs w:val="24"/>
              </w:rPr>
              <w:t>分（提供合作清单及联系人，并附合同或中标通知书复印件加盖投标人公章）。</w:t>
            </w:r>
          </w:p>
          <w:p>
            <w:pPr>
              <w:rPr>
                <w:rFonts w:hint="eastAsia"/>
                <w:sz w:val="24"/>
                <w:szCs w:val="24"/>
              </w:rPr>
            </w:pPr>
            <w:r>
              <w:rPr>
                <w:rFonts w:hint="eastAsia" w:ascii="宋体" w:hAnsi="宋体" w:cs="Times New Roman"/>
                <w:color w:val="auto"/>
                <w:sz w:val="24"/>
                <w:szCs w:val="24"/>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3</w:t>
            </w:r>
          </w:p>
        </w:tc>
        <w:tc>
          <w:tcPr>
            <w:tcW w:w="453" w:type="pct"/>
            <w:noWrap w:val="0"/>
            <w:vAlign w:val="center"/>
          </w:tcPr>
          <w:p>
            <w:pPr>
              <w:jc w:val="center"/>
              <w:rPr>
                <w:rFonts w:hint="eastAsia" w:ascii="宋体" w:hAnsi="宋体" w:cs="宋体"/>
                <w:color w:val="auto"/>
                <w:sz w:val="24"/>
                <w:szCs w:val="24"/>
              </w:rPr>
            </w:pPr>
            <w:r>
              <w:rPr>
                <w:rFonts w:hint="eastAsia" w:cs="Times New Roman"/>
                <w:bCs/>
                <w:sz w:val="24"/>
                <w:szCs w:val="24"/>
                <w:lang w:val="en-US" w:eastAsia="zh-CN"/>
              </w:rPr>
              <w:t>技术要求及商务要求</w:t>
            </w:r>
            <w:r>
              <w:rPr>
                <w:rFonts w:hint="eastAsia" w:ascii="宋体" w:hAnsi="宋体" w:cs="宋体"/>
                <w:color w:val="auto"/>
                <w:sz w:val="24"/>
                <w:szCs w:val="24"/>
              </w:rPr>
              <w:t>（</w:t>
            </w:r>
            <w:r>
              <w:rPr>
                <w:rFonts w:hint="eastAsia" w:ascii="宋体" w:hAnsi="宋体" w:cs="宋体"/>
                <w:color w:val="auto"/>
                <w:sz w:val="24"/>
                <w:szCs w:val="24"/>
                <w:lang w:val="en-US" w:eastAsia="zh-CN"/>
              </w:rPr>
              <w:t>5</w:t>
            </w:r>
            <w:r>
              <w:rPr>
                <w:rFonts w:hint="eastAsia" w:ascii="宋体" w:hAnsi="宋体" w:cs="宋体"/>
                <w:color w:val="auto"/>
                <w:sz w:val="24"/>
                <w:szCs w:val="24"/>
              </w:rPr>
              <w:t>0分）</w:t>
            </w:r>
          </w:p>
        </w:tc>
        <w:tc>
          <w:tcPr>
            <w:tcW w:w="625" w:type="pct"/>
            <w:noWrap w:val="0"/>
            <w:vAlign w:val="center"/>
          </w:tcPr>
          <w:p>
            <w:pPr>
              <w:jc w:val="center"/>
              <w:rPr>
                <w:rFonts w:hint="default" w:ascii="宋体" w:hAnsi="宋体" w:eastAsia="宋体"/>
                <w:color w:val="auto"/>
                <w:sz w:val="24"/>
                <w:szCs w:val="24"/>
                <w:lang w:val="en-US" w:eastAsia="zh-CN"/>
              </w:rPr>
            </w:pPr>
            <w:r>
              <w:rPr>
                <w:rFonts w:hint="eastAsia" w:cs="Times New Roman"/>
                <w:bCs/>
                <w:sz w:val="24"/>
                <w:szCs w:val="24"/>
                <w:lang w:val="en-US" w:eastAsia="zh-CN"/>
              </w:rPr>
              <w:t>技术要求及商务要求</w:t>
            </w:r>
          </w:p>
        </w:tc>
        <w:tc>
          <w:tcPr>
            <w:tcW w:w="3171" w:type="pct"/>
            <w:noWrap w:val="0"/>
            <w:vAlign w:val="top"/>
          </w:tcPr>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1、技术参数</w:t>
            </w:r>
            <w:r>
              <w:rPr>
                <w:rFonts w:hint="eastAsia" w:ascii="宋体" w:hAnsi="宋体" w:cs="Times New Roman"/>
                <w:color w:val="auto"/>
                <w:sz w:val="24"/>
                <w:szCs w:val="24"/>
                <w:lang w:val="en-US" w:eastAsia="zh-CN"/>
              </w:rPr>
              <w:t>及商务参数</w:t>
            </w:r>
            <w:r>
              <w:rPr>
                <w:rFonts w:hint="eastAsia" w:ascii="宋体" w:hAnsi="宋体" w:eastAsia="宋体" w:cs="Times New Roman"/>
                <w:color w:val="auto"/>
                <w:sz w:val="24"/>
                <w:szCs w:val="24"/>
                <w:lang w:val="en-US" w:eastAsia="zh-CN"/>
              </w:rPr>
              <w:t>完全符合招标文件要求的，计</w:t>
            </w: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lang w:val="en-US" w:eastAsia="zh-CN"/>
              </w:rPr>
              <w:t>0分，任何一条技术参数负偏离扣2分，扣完为止。</w:t>
            </w:r>
          </w:p>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rPr>
              <w:t>2、</w:t>
            </w:r>
            <w:r>
              <w:rPr>
                <w:rFonts w:hint="eastAsia" w:ascii="宋体" w:hAnsi="宋体" w:eastAsia="宋体" w:cs="Times New Roman"/>
                <w:color w:val="auto"/>
                <w:sz w:val="24"/>
                <w:szCs w:val="24"/>
                <w:lang w:val="en-US" w:eastAsia="zh-CN"/>
              </w:rPr>
              <w:t>带“ ★”“*”号参数为重要条款不允许偏离，否则视同无效投标。</w:t>
            </w:r>
          </w:p>
          <w:p>
            <w:pP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、带“ ▲”号参数为重要条款任何一条技术参数负偏离扣4分，扣完为止。</w:t>
            </w:r>
          </w:p>
          <w:p>
            <w:pPr>
              <w:rPr>
                <w:rFonts w:hint="eastAsia" w:ascii="宋体" w:hAnsi="宋体" w:eastAsia="宋体" w:cs="Times New Roman"/>
                <w:color w:val="auto"/>
                <w:sz w:val="24"/>
                <w:szCs w:val="24"/>
              </w:rPr>
            </w:pP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rPr>
              <w:t>、其它技术条款偏离项数之和大于5项将导致无效投标。</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说明：</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a、偏离：不满足招标参数要求，配置不详，缺漏项，技术参数表述不清的。</w:t>
            </w:r>
          </w:p>
          <w:p>
            <w:pPr>
              <w:rPr>
                <w:rFonts w:hint="default" w:eastAsia="宋体"/>
                <w:sz w:val="24"/>
                <w:szCs w:val="24"/>
                <w:lang w:val="en-US" w:eastAsia="zh-CN"/>
              </w:rPr>
            </w:pPr>
            <w:r>
              <w:rPr>
                <w:rFonts w:hint="eastAsia" w:ascii="宋体" w:hAnsi="宋体" w:eastAsia="宋体" w:cs="Times New Roman"/>
                <w:color w:val="auto"/>
                <w:sz w:val="24"/>
                <w:szCs w:val="24"/>
              </w:rPr>
              <w:t>b、条款数计算：招标文件中，凡编排有单独的中文序数或阿拉伯数字或英文字母序列号等字符的</w:t>
            </w:r>
            <w:r>
              <w:rPr>
                <w:rFonts w:ascii="宋体" w:hAnsi="宋体"/>
                <w:color w:val="000000" w:themeColor="text1"/>
                <w:sz w:val="24"/>
                <w:szCs w:val="24"/>
                <w14:textFill>
                  <w14:solidFill>
                    <w14:schemeClr w14:val="tx1"/>
                  </w14:solidFill>
                </w14:textFill>
              </w:rPr>
              <w:t>条款算一项技术要求项数</w:t>
            </w:r>
            <w:r>
              <w:rPr>
                <w:rFonts w:hint="eastAsia" w:ascii="宋体" w:hAnsi="宋体"/>
                <w:color w:val="000000" w:themeColor="text1"/>
                <w:sz w:val="24"/>
                <w:szCs w:val="24"/>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50</w:t>
            </w:r>
          </w:p>
        </w:tc>
      </w:tr>
    </w:tbl>
    <w:p>
      <w:pPr>
        <w:pStyle w:val="16"/>
        <w:rPr>
          <w:rFonts w:hint="eastAsia" w:ascii="宋体" w:hAnsi="宋体" w:cs="宋体"/>
          <w:color w:val="auto"/>
          <w:sz w:val="24"/>
          <w:szCs w:val="24"/>
        </w:rPr>
      </w:pPr>
    </w:p>
    <w:p>
      <w:pPr>
        <w:spacing w:before="120" w:beforeLines="50" w:after="120" w:afterLines="50" w:line="360" w:lineRule="auto"/>
        <w:rPr>
          <w:color w:val="auto"/>
        </w:rPr>
      </w:pPr>
      <w:r>
        <w:rPr>
          <w:rFonts w:hint="eastAsia" w:ascii="宋体" w:hAnsi="宋体" w:cs="宋体"/>
          <w:color w:val="auto"/>
          <w:sz w:val="24"/>
          <w:szCs w:val="24"/>
        </w:rPr>
        <w:t>注：（1）全体评标委员会对投标人评分的算数平均值即为该投标人的最终评标得分（不得去评分项目的最高得分和最低得分），评分分值计算保留小数点后两位，小数点后第三位“四舍五入”。</w:t>
      </w:r>
    </w:p>
    <w:p>
      <w:pPr>
        <w:rPr>
          <w:color w:val="auto"/>
        </w:rPr>
      </w:pPr>
      <w:r>
        <w:rPr>
          <w:color w:val="auto"/>
        </w:rPr>
        <w:br w:type="page"/>
      </w:r>
    </w:p>
    <w:p>
      <w:pPr>
        <w:pStyle w:val="2"/>
        <w:numPr>
          <w:ilvl w:val="0"/>
          <w:numId w:val="7"/>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7"/>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6"/>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footerReference r:id="rId5"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pPr>
        <w:pStyle w:val="16"/>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pStyle w:val="17"/>
        <w:rPr>
          <w:color w:val="auto"/>
        </w:rPr>
      </w:pPr>
    </w:p>
    <w:p>
      <w:pPr>
        <w:pStyle w:val="18"/>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8"/>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6"/>
        <w:rPr>
          <w:rFonts w:hint="eastAsia"/>
          <w:lang w:eastAsia="zh-CN"/>
        </w:rPr>
      </w:pPr>
    </w:p>
    <w:p>
      <w:pPr>
        <w:numPr>
          <w:ilvl w:val="0"/>
          <w:numId w:val="8"/>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sectPr>
      <w:footerReference r:id="rId6"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60D48F"/>
    <w:multiLevelType w:val="singleLevel"/>
    <w:tmpl w:val="8360D48F"/>
    <w:lvl w:ilvl="0" w:tentative="0">
      <w:start w:val="1"/>
      <w:numFmt w:val="decimal"/>
      <w:lvlText w:val="%1."/>
      <w:lvlJc w:val="left"/>
      <w:pPr>
        <w:ind w:left="425" w:hanging="425"/>
      </w:pPr>
      <w:rPr>
        <w:rFonts w:hint="default"/>
      </w:rPr>
    </w:lvl>
  </w:abstractNum>
  <w:abstractNum w:abstractNumId="1">
    <w:nsid w:val="B6EE324B"/>
    <w:multiLevelType w:val="singleLevel"/>
    <w:tmpl w:val="B6EE324B"/>
    <w:lvl w:ilvl="0" w:tentative="0">
      <w:start w:val="4"/>
      <w:numFmt w:val="chineseCounting"/>
      <w:suff w:val="space"/>
      <w:lvlText w:val="第%1章"/>
      <w:lvlJc w:val="left"/>
      <w:rPr>
        <w:rFonts w:hint="eastAsia"/>
      </w:rPr>
    </w:lvl>
  </w:abstractNum>
  <w:abstractNum w:abstractNumId="2">
    <w:nsid w:val="BB68914C"/>
    <w:multiLevelType w:val="singleLevel"/>
    <w:tmpl w:val="BB68914C"/>
    <w:lvl w:ilvl="0" w:tentative="0">
      <w:start w:val="2"/>
      <w:numFmt w:val="chineseCounting"/>
      <w:suff w:val="nothing"/>
      <w:lvlText w:val="%1、"/>
      <w:lvlJc w:val="left"/>
      <w:rPr>
        <w:rFonts w:hint="eastAsia"/>
      </w:rPr>
    </w:lvl>
  </w:abstractNum>
  <w:abstractNum w:abstractNumId="3">
    <w:nsid w:val="C99DFE44"/>
    <w:multiLevelType w:val="singleLevel"/>
    <w:tmpl w:val="C99DFE44"/>
    <w:lvl w:ilvl="0" w:tentative="0">
      <w:start w:val="1"/>
      <w:numFmt w:val="decimal"/>
      <w:lvlText w:val="%1."/>
      <w:lvlJc w:val="left"/>
      <w:pPr>
        <w:ind w:left="425" w:hanging="425"/>
      </w:pPr>
      <w:rPr>
        <w:rFonts w:hint="default"/>
      </w:rPr>
    </w:lvl>
  </w:abstractNum>
  <w:abstractNum w:abstractNumId="4">
    <w:nsid w:val="DFCC3393"/>
    <w:multiLevelType w:val="singleLevel"/>
    <w:tmpl w:val="DFCC3393"/>
    <w:lvl w:ilvl="0" w:tentative="0">
      <w:start w:val="6"/>
      <w:numFmt w:val="chineseCounting"/>
      <w:suff w:val="nothing"/>
      <w:lvlText w:val="第%1部分、"/>
      <w:lvlJc w:val="left"/>
      <w:rPr>
        <w:rFonts w:hint="eastAsia"/>
      </w:rPr>
    </w:lvl>
  </w:abstractNum>
  <w:abstractNum w:abstractNumId="5">
    <w:nsid w:val="F22833F1"/>
    <w:multiLevelType w:val="singleLevel"/>
    <w:tmpl w:val="F22833F1"/>
    <w:lvl w:ilvl="0" w:tentative="0">
      <w:start w:val="1"/>
      <w:numFmt w:val="decimal"/>
      <w:suff w:val="nothing"/>
      <w:lvlText w:val="%1、"/>
      <w:lvlJc w:val="left"/>
    </w:lvl>
  </w:abstractNum>
  <w:abstractNum w:abstractNumId="6">
    <w:nsid w:val="1E6DDE31"/>
    <w:multiLevelType w:val="singleLevel"/>
    <w:tmpl w:val="1E6DDE31"/>
    <w:lvl w:ilvl="0" w:tentative="0">
      <w:start w:val="1"/>
      <w:numFmt w:val="chineseCounting"/>
      <w:suff w:val="space"/>
      <w:lvlText w:val="第%1条"/>
      <w:lvlJc w:val="left"/>
      <w:rPr>
        <w:rFonts w:hint="eastAsia"/>
      </w:rPr>
    </w:lvl>
  </w:abstractNum>
  <w:abstractNum w:abstractNumId="7">
    <w:nsid w:val="6FC29C2F"/>
    <w:multiLevelType w:val="singleLevel"/>
    <w:tmpl w:val="6FC29C2F"/>
    <w:lvl w:ilvl="0" w:tentative="0">
      <w:start w:val="1"/>
      <w:numFmt w:val="decimal"/>
      <w:lvlText w:val="%1."/>
      <w:lvlJc w:val="left"/>
      <w:pPr>
        <w:ind w:left="425" w:hanging="425"/>
      </w:pPr>
      <w:rPr>
        <w:rFonts w:hint="default"/>
      </w:rPr>
    </w:lvl>
  </w:abstractNum>
  <w:num w:numId="1">
    <w:abstractNumId w:val="2"/>
  </w:num>
  <w:num w:numId="2">
    <w:abstractNumId w:val="5"/>
  </w:num>
  <w:num w:numId="3">
    <w:abstractNumId w:val="3"/>
  </w:num>
  <w:num w:numId="4">
    <w:abstractNumId w:val="0"/>
  </w:num>
  <w:num w:numId="5">
    <w:abstractNumId w:val="7"/>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VhNWM2ZGQ3MWRjMzJkNGQ4ZWY1M2EwNzNkYzdhMTgifQ=="/>
  </w:docVars>
  <w:rsids>
    <w:rsidRoot w:val="6DE375E4"/>
    <w:rsid w:val="00AE556A"/>
    <w:rsid w:val="06E91EC4"/>
    <w:rsid w:val="071C689B"/>
    <w:rsid w:val="0E331420"/>
    <w:rsid w:val="0E76169C"/>
    <w:rsid w:val="0EDD1643"/>
    <w:rsid w:val="12994AC5"/>
    <w:rsid w:val="1AF56B46"/>
    <w:rsid w:val="1FE73549"/>
    <w:rsid w:val="20B41DA7"/>
    <w:rsid w:val="22AB7B8A"/>
    <w:rsid w:val="245079B1"/>
    <w:rsid w:val="28E81B29"/>
    <w:rsid w:val="2C7642D0"/>
    <w:rsid w:val="2EAC037F"/>
    <w:rsid w:val="2EB67A5C"/>
    <w:rsid w:val="302741D2"/>
    <w:rsid w:val="308B184D"/>
    <w:rsid w:val="340F06E9"/>
    <w:rsid w:val="3B3B544D"/>
    <w:rsid w:val="3B654F2B"/>
    <w:rsid w:val="3DF12CFC"/>
    <w:rsid w:val="421B4C12"/>
    <w:rsid w:val="429A4992"/>
    <w:rsid w:val="43B25DAC"/>
    <w:rsid w:val="46202E1C"/>
    <w:rsid w:val="4DCD6AB3"/>
    <w:rsid w:val="50540C20"/>
    <w:rsid w:val="50C528B0"/>
    <w:rsid w:val="51AC28BD"/>
    <w:rsid w:val="555B5FCF"/>
    <w:rsid w:val="611B6B1B"/>
    <w:rsid w:val="64133D6A"/>
    <w:rsid w:val="678E4F5D"/>
    <w:rsid w:val="6DE375E4"/>
    <w:rsid w:val="71584067"/>
    <w:rsid w:val="750117A8"/>
    <w:rsid w:val="76447599"/>
    <w:rsid w:val="7BBF44BB"/>
    <w:rsid w:val="7BF15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宋体" w:cs="Times New Roman"/>
      <w:kern w:val="0"/>
      <w:sz w:val="24"/>
    </w:rPr>
  </w:style>
  <w:style w:type="paragraph" w:styleId="5">
    <w:name w:val="Body Text Indent"/>
    <w:basedOn w:val="1"/>
    <w:next w:val="6"/>
    <w:qFormat/>
    <w:uiPriority w:val="99"/>
    <w:pPr>
      <w:spacing w:line="400" w:lineRule="exact"/>
      <w:ind w:left="630"/>
    </w:pPr>
    <w:rPr>
      <w:rFonts w:ascii="楷体_GB2312"/>
      <w:sz w:val="30"/>
      <w:szCs w:val="30"/>
    </w:rPr>
  </w:style>
  <w:style w:type="paragraph" w:styleId="6">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4">
    <w:name w:val="Default"/>
    <w:next w:val="15"/>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5">
    <w:name w:val="大标题"/>
    <w:basedOn w:val="1"/>
    <w:next w:val="6"/>
    <w:qFormat/>
    <w:uiPriority w:val="0"/>
    <w:pPr>
      <w:jc w:val="center"/>
    </w:pPr>
    <w:rPr>
      <w:rFonts w:ascii="Arial" w:hAnsi="Arial" w:eastAsia="宋体"/>
      <w:b/>
      <w:sz w:val="28"/>
      <w:szCs w:val="24"/>
    </w:rPr>
  </w:style>
  <w:style w:type="paragraph" w:customStyle="1" w:styleId="16">
    <w:name w:val="列出段落1"/>
    <w:basedOn w:val="1"/>
    <w:qFormat/>
    <w:uiPriority w:val="99"/>
    <w:pPr>
      <w:ind w:firstLine="420" w:firstLineChars="200"/>
    </w:pPr>
  </w:style>
  <w:style w:type="paragraph" w:customStyle="1" w:styleId="17">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8">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8159</Words>
  <Characters>8532</Characters>
  <Lines>0</Lines>
  <Paragraphs>0</Paragraphs>
  <TotalTime>1</TotalTime>
  <ScaleCrop>false</ScaleCrop>
  <LinksUpToDate>false</LinksUpToDate>
  <CharactersWithSpaces>9464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lx</cp:lastModifiedBy>
  <dcterms:modified xsi:type="dcterms:W3CDTF">2023-08-10T12:28:47Z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3505A2AB25E048A4A9B0E6A6741CA1BA_11</vt:lpwstr>
  </property>
</Properties>
</file>