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jc w:val="center"/>
        <w:rPr>
          <w:rFonts w:ascii="Arial" w:hAnsi="Arial" w:eastAsia="方正小标宋简体" w:cs="Arial"/>
          <w:color w:val="auto"/>
          <w:sz w:val="72"/>
          <w:szCs w:val="72"/>
        </w:rPr>
      </w:pPr>
      <w:bookmarkStart w:id="0" w:name="_Toc16523570"/>
    </w:p>
    <w:p>
      <w:pPr>
        <w:pStyle w:val="13"/>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（除颤仪</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议价</w:t>
      </w:r>
      <w:r>
        <w:rPr>
          <w:rFonts w:hint="eastAsia" w:ascii="Times New Roman" w:hAnsi="Times New Roman" w:eastAsia="宋体" w:cs="Times New Roman"/>
          <w:b/>
          <w:bCs/>
          <w:kern w:val="44"/>
          <w:sz w:val="32"/>
          <w:szCs w:val="32"/>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八</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2"/>
        <w:numPr>
          <w:ilvl w:val="0"/>
          <w:numId w:val="0"/>
        </w:numPr>
        <w:spacing w:line="240" w:lineRule="auto"/>
        <w:ind w:leftChars="0"/>
        <w:jc w:val="center"/>
        <w:rPr>
          <w:rFonts w:hint="eastAsia" w:ascii="宋体" w:hAnsi="宋体" w:cs="宋体"/>
          <w:color w:val="auto"/>
          <w:sz w:val="44"/>
          <w:szCs w:val="44"/>
          <w:lang w:val="en-US" w:eastAsia="zh-CN"/>
        </w:rPr>
        <w:sectPr>
          <w:headerReference r:id="rId3" w:type="default"/>
          <w:footerReference r:id="rId4" w:type="default"/>
          <w:pgSz w:w="11906" w:h="16838"/>
          <w:pgMar w:top="1440" w:right="1080" w:bottom="1440" w:left="1080" w:header="567" w:footer="283" w:gutter="0"/>
          <w:cols w:space="720" w:num="1"/>
          <w:docGrid w:linePitch="312" w:charSpace="0"/>
        </w:sectPr>
      </w:pPr>
    </w:p>
    <w:p>
      <w:pPr>
        <w:rPr>
          <w:rFonts w:hint="eastAsia"/>
          <w:lang w:val="en-US" w:eastAsia="zh-CN"/>
        </w:rPr>
      </w:pP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除颤仪</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除颤仪</w:t>
      </w:r>
      <w:r>
        <w:rPr>
          <w:rFonts w:hint="eastAsia" w:asciiTheme="minorEastAsia" w:hAnsiTheme="minorEastAsia" w:eastAsiaTheme="minorEastAsia" w:cstheme="minorEastAsia"/>
          <w:b w:val="0"/>
          <w:bCs/>
          <w:color w:val="auto"/>
          <w:sz w:val="24"/>
          <w:szCs w:val="24"/>
          <w:lang w:val="en-US" w:eastAsia="zh-CN"/>
        </w:rPr>
        <w:t>采购项目</w:t>
      </w:r>
    </w:p>
    <w:p>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3"/>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院内议价，按招标文件评分规则进行评审，以评审结果排序，综合评分得分相同的，按投标报价由低到高顺序排列，得分且投标报价相同的，按技术指标优劣顺序排列。</w:t>
      </w:r>
    </w:p>
    <w:bookmarkEnd w:id="0"/>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6、投标人具备湖南省政府采购电子卖场资格，中标人在议价公示后三个工作日内需配合医院完成湖南省政府采购电子卖场直购程序。</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4"/>
        <w:rPr>
          <w:rFonts w:hint="eastAsia"/>
          <w:lang w:val="en-US" w:eastAsia="zh-CN"/>
        </w:rPr>
      </w:pPr>
    </w:p>
    <w:p>
      <w:pPr>
        <w:pStyle w:val="14"/>
        <w:jc w:val="both"/>
        <w:rPr>
          <w:rFonts w:hint="default"/>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4"/>
        <w:rPr>
          <w:rFonts w:hint="eastAsia" w:ascii="宋体" w:hAnsi="宋体" w:cs="宋体"/>
          <w:b/>
          <w:bCs/>
          <w:color w:val="auto"/>
          <w:sz w:val="44"/>
          <w:szCs w:val="44"/>
          <w:lang w:val="en-US" w:eastAsia="zh-CN"/>
        </w:rPr>
      </w:pPr>
    </w:p>
    <w:p>
      <w:pPr>
        <w:pStyle w:val="6"/>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2"/>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除颤仪</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562" w:firstLineChars="200"/>
        <w:rPr>
          <w:rFonts w:hint="eastAsia"/>
          <w:b/>
          <w:bCs/>
          <w:sz w:val="28"/>
          <w:szCs w:val="28"/>
          <w:lang w:val="en-US" w:eastAsia="zh-CN"/>
        </w:rPr>
      </w:pPr>
      <w:r>
        <w:rPr>
          <w:rFonts w:hint="eastAsia"/>
          <w:b/>
          <w:bCs/>
          <w:sz w:val="28"/>
          <w:szCs w:val="28"/>
          <w:lang w:val="en-US" w:eastAsia="zh-CN"/>
        </w:rPr>
        <w:t>技术参数：</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重量：≤</w:t>
      </w:r>
      <w:r>
        <w:rPr>
          <w:rFonts w:ascii="宋体" w:hAnsi="宋体" w:cs="宋体"/>
          <w:kern w:val="0"/>
          <w:sz w:val="24"/>
        </w:rPr>
        <w:t>6.1kg</w:t>
      </w:r>
      <w:r>
        <w:rPr>
          <w:rFonts w:hint="eastAsia" w:ascii="宋体" w:hAnsi="宋体" w:cs="宋体"/>
          <w:kern w:val="0"/>
          <w:sz w:val="24"/>
        </w:rPr>
        <w:t>，含电池、体外板和心电导联线。</w:t>
      </w:r>
    </w:p>
    <w:p>
      <w:pPr>
        <w:widowControl/>
        <w:numPr>
          <w:ilvl w:val="0"/>
          <w:numId w:val="3"/>
        </w:numPr>
        <w:spacing w:line="480" w:lineRule="exact"/>
        <w:jc w:val="left"/>
        <w:rPr>
          <w:rFonts w:ascii="宋体" w:hAnsi="宋体" w:cs="宋体"/>
          <w:kern w:val="0"/>
          <w:sz w:val="24"/>
        </w:rPr>
      </w:pPr>
      <w:r>
        <w:rPr>
          <w:rFonts w:hint="eastAsia" w:ascii="微软雅黑" w:hAnsi="微软雅黑" w:eastAsia="微软雅黑" w:cs="微软雅黑"/>
          <w:sz w:val="24"/>
        </w:rPr>
        <w:t>▲</w:t>
      </w:r>
      <w:r>
        <w:rPr>
          <w:rFonts w:hint="eastAsia" w:ascii="宋体" w:hAnsi="宋体" w:cs="宋体"/>
          <w:kern w:val="0"/>
          <w:sz w:val="24"/>
        </w:rPr>
        <w:t>彩色TFT显示屏≥</w:t>
      </w:r>
      <w:r>
        <w:rPr>
          <w:rFonts w:ascii="宋体" w:hAnsi="宋体" w:cs="宋体"/>
          <w:kern w:val="0"/>
          <w:sz w:val="24"/>
        </w:rPr>
        <w:t>7</w:t>
      </w:r>
      <w:r>
        <w:rPr>
          <w:rFonts w:hint="eastAsia" w:ascii="宋体" w:hAnsi="宋体" w:cs="宋体"/>
          <w:kern w:val="0"/>
          <w:sz w:val="24"/>
        </w:rPr>
        <w:t>英寸, 分辨率800×600像素，可显示≥</w:t>
      </w:r>
      <w:r>
        <w:rPr>
          <w:rFonts w:ascii="宋体" w:hAnsi="宋体" w:cs="宋体"/>
          <w:kern w:val="0"/>
          <w:sz w:val="24"/>
        </w:rPr>
        <w:t>3</w:t>
      </w:r>
      <w:r>
        <w:rPr>
          <w:rFonts w:hint="eastAsia" w:ascii="宋体" w:hAnsi="宋体" w:cs="宋体"/>
          <w:kern w:val="0"/>
          <w:sz w:val="24"/>
        </w:rPr>
        <w:t>通道监护参数波形，有高对比度显示界面。</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支持中文操作界面。</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屏幕显示心电波形扫描时间≥16s。</w:t>
      </w:r>
    </w:p>
    <w:p>
      <w:pPr>
        <w:widowControl/>
        <w:numPr>
          <w:ilvl w:val="0"/>
          <w:numId w:val="3"/>
        </w:numPr>
        <w:spacing w:line="480" w:lineRule="exact"/>
        <w:jc w:val="left"/>
        <w:rPr>
          <w:rFonts w:ascii="宋体" w:hAnsi="宋体" w:cs="宋体"/>
          <w:kern w:val="0"/>
          <w:sz w:val="24"/>
        </w:rPr>
      </w:pPr>
      <w:r>
        <w:rPr>
          <w:rFonts w:hint="eastAsia" w:ascii="微软雅黑" w:hAnsi="微软雅黑" w:eastAsia="微软雅黑" w:cs="微软雅黑"/>
          <w:sz w:val="24"/>
        </w:rPr>
        <w:t>▲</w:t>
      </w:r>
      <w:r>
        <w:rPr>
          <w:rFonts w:hint="eastAsia" w:ascii="宋体" w:hAnsi="宋体" w:cs="宋体"/>
          <w:kern w:val="0"/>
          <w:sz w:val="24"/>
        </w:rPr>
        <w:t>具备手动除颤、心电监护、呼吸监护、自动体外除颤（AED）功能，A</w:t>
      </w:r>
      <w:r>
        <w:rPr>
          <w:rFonts w:ascii="宋体" w:hAnsi="宋体" w:cs="宋体"/>
          <w:kern w:val="0"/>
          <w:sz w:val="24"/>
        </w:rPr>
        <w:t>ED</w:t>
      </w:r>
      <w:r>
        <w:rPr>
          <w:rFonts w:hint="eastAsia" w:ascii="宋体" w:hAnsi="宋体" w:cs="宋体"/>
          <w:kern w:val="0"/>
          <w:sz w:val="24"/>
        </w:rPr>
        <w:t>功能适用于8岁以下人群。</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除颤采用双相波技术，具备自动阻抗补偿功能。</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手动除颤分为同步和非同步两种方式，能量分20档以上，可通过体外电极板进行能量选择，最大能量可达360J。</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可配置体内除颤手柄，体内手动除颤能力选择：1</w:t>
      </w:r>
      <w:r>
        <w:rPr>
          <w:rFonts w:ascii="宋体" w:hAnsi="宋体" w:cs="宋体"/>
          <w:kern w:val="0"/>
          <w:sz w:val="24"/>
        </w:rPr>
        <w:t>/2/3/4/5/6/7/8/9/10/15/20/30/50 J</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支持至少三种尺寸体内除颤电极板，适用不同病人类型。</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体外除颤电极板同时支持成人和小儿，一体化设计，支持快速切换。</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电极板支持能量选择，充电和放电三步操作，满足单人除颤操作。</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AED除颤功能提供中文语音和中文提醒功能，对于抢救过程支持自动录音功能，记录时长≥60min。</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开机时间≤</w:t>
      </w:r>
      <w:r>
        <w:rPr>
          <w:rFonts w:ascii="宋体" w:hAnsi="宋体" w:cs="宋体"/>
          <w:kern w:val="0"/>
          <w:sz w:val="24"/>
        </w:rPr>
        <w:t>2</w:t>
      </w:r>
      <w:r>
        <w:rPr>
          <w:rFonts w:hint="eastAsia" w:ascii="宋体" w:hAnsi="宋体" w:cs="宋体"/>
          <w:kern w:val="0"/>
          <w:sz w:val="24"/>
        </w:rPr>
        <w:t>s，</w:t>
      </w:r>
      <w:r>
        <w:rPr>
          <w:rFonts w:ascii="宋体" w:hAnsi="宋体" w:cs="宋体"/>
          <w:kern w:val="0"/>
          <w:sz w:val="24"/>
        </w:rPr>
        <w:t>符合临床使用</w:t>
      </w:r>
      <w:r>
        <w:rPr>
          <w:rFonts w:hint="eastAsia" w:ascii="宋体" w:hAnsi="宋体" w:cs="宋体"/>
          <w:kern w:val="0"/>
          <w:sz w:val="24"/>
        </w:rPr>
        <w:t>。</w:t>
      </w:r>
    </w:p>
    <w:p>
      <w:pPr>
        <w:widowControl/>
        <w:numPr>
          <w:ilvl w:val="0"/>
          <w:numId w:val="3"/>
        </w:numPr>
        <w:spacing w:line="480" w:lineRule="exact"/>
        <w:jc w:val="left"/>
        <w:rPr>
          <w:rFonts w:ascii="宋体" w:hAnsi="宋体" w:cs="宋体"/>
          <w:kern w:val="0"/>
          <w:sz w:val="24"/>
        </w:rPr>
      </w:pPr>
      <w:r>
        <w:rPr>
          <w:rFonts w:hint="eastAsia" w:ascii="微软雅黑" w:hAnsi="微软雅黑" w:eastAsia="微软雅黑" w:cs="微软雅黑"/>
          <w:sz w:val="24"/>
        </w:rPr>
        <w:t>▲</w:t>
      </w:r>
      <w:r>
        <w:rPr>
          <w:rFonts w:hint="eastAsia" w:ascii="宋体" w:hAnsi="宋体" w:cs="宋体"/>
          <w:kern w:val="0"/>
          <w:sz w:val="24"/>
        </w:rPr>
        <w:t>除颤充电迅速，充电至200J≤</w:t>
      </w:r>
      <w:r>
        <w:rPr>
          <w:rFonts w:ascii="宋体" w:hAnsi="宋体" w:cs="宋体"/>
          <w:kern w:val="0"/>
          <w:sz w:val="24"/>
        </w:rPr>
        <w:t>4</w:t>
      </w:r>
      <w:r>
        <w:rPr>
          <w:rFonts w:hint="eastAsia" w:ascii="宋体" w:hAnsi="宋体" w:cs="宋体"/>
          <w:kern w:val="0"/>
          <w:sz w:val="24"/>
        </w:rPr>
        <w:t>s。</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除颤后心电基线恢复时间≤2</w:t>
      </w:r>
      <w:r>
        <w:rPr>
          <w:rFonts w:ascii="宋体" w:hAnsi="宋体" w:cs="宋体"/>
          <w:kern w:val="0"/>
          <w:sz w:val="24"/>
        </w:rPr>
        <w:t>.5</w:t>
      </w:r>
      <w:r>
        <w:rPr>
          <w:rFonts w:hint="eastAsia" w:ascii="宋体" w:hAnsi="宋体" w:cs="宋体"/>
          <w:kern w:val="0"/>
          <w:sz w:val="24"/>
        </w:rPr>
        <w:t>s。</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从开始AED分析到放电准备就绪≤1</w:t>
      </w:r>
      <w:r>
        <w:rPr>
          <w:rFonts w:ascii="宋体" w:hAnsi="宋体" w:cs="宋体"/>
          <w:kern w:val="0"/>
          <w:sz w:val="24"/>
        </w:rPr>
        <w:t>0</w:t>
      </w:r>
      <w:r>
        <w:rPr>
          <w:rFonts w:hint="eastAsia" w:ascii="宋体" w:hAnsi="宋体" w:cs="宋体"/>
          <w:kern w:val="0"/>
          <w:sz w:val="24"/>
        </w:rPr>
        <w:t>s。</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支持病人接触状态和阻抗值实时显示。</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支持配置体外起搏功能，起搏分为固定和按需两种模式。具备降速起搏功能。</w:t>
      </w:r>
    </w:p>
    <w:p>
      <w:pPr>
        <w:widowControl/>
        <w:numPr>
          <w:ilvl w:val="0"/>
          <w:numId w:val="3"/>
        </w:numPr>
        <w:spacing w:line="480" w:lineRule="exact"/>
        <w:jc w:val="left"/>
        <w:rPr>
          <w:rFonts w:ascii="宋体" w:hAnsi="宋体" w:cs="宋体"/>
          <w:kern w:val="0"/>
          <w:sz w:val="24"/>
        </w:rPr>
      </w:pPr>
      <w:r>
        <w:rPr>
          <w:rFonts w:hint="eastAsia" w:ascii="微软雅黑" w:hAnsi="微软雅黑" w:eastAsia="微软雅黑" w:cs="微软雅黑"/>
          <w:sz w:val="24"/>
        </w:rPr>
        <w:t>▲</w:t>
      </w:r>
      <w:r>
        <w:rPr>
          <w:rFonts w:hint="eastAsia" w:ascii="宋体" w:hAnsi="宋体" w:cs="宋体"/>
          <w:kern w:val="0"/>
          <w:sz w:val="24"/>
        </w:rPr>
        <w:t>支持配置CPR辅助功能，CPR传感器设计符合</w:t>
      </w:r>
      <w:r>
        <w:rPr>
          <w:rFonts w:ascii="宋体" w:hAnsi="宋体" w:cs="宋体"/>
          <w:kern w:val="0"/>
          <w:sz w:val="24"/>
        </w:rPr>
        <w:t>2015 AHA/ERC</w:t>
      </w:r>
      <w:r>
        <w:rPr>
          <w:rFonts w:hint="eastAsia" w:ascii="宋体" w:hAnsi="宋体" w:cs="宋体"/>
          <w:kern w:val="0"/>
          <w:sz w:val="24"/>
        </w:rPr>
        <w:t>指南，提供即时的按压反馈，设备界面提供按压深度和按压频率实时参数显示。</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心电波形速度支持</w:t>
      </w:r>
      <w:r>
        <w:rPr>
          <w:rFonts w:ascii="宋体" w:hAnsi="宋体" w:cs="宋体"/>
          <w:kern w:val="0"/>
          <w:sz w:val="24"/>
        </w:rPr>
        <w:t>50 mm/s</w:t>
      </w:r>
      <w:r>
        <w:rPr>
          <w:rFonts w:hint="eastAsia" w:ascii="宋体" w:hAnsi="宋体" w:cs="宋体"/>
          <w:kern w:val="0"/>
          <w:sz w:val="24"/>
        </w:rPr>
        <w:t>、</w:t>
      </w:r>
      <w:r>
        <w:rPr>
          <w:rFonts w:ascii="宋体" w:hAnsi="宋体" w:cs="宋体"/>
          <w:kern w:val="0"/>
          <w:sz w:val="24"/>
        </w:rPr>
        <w:t>25 mm/s</w:t>
      </w:r>
      <w:r>
        <w:rPr>
          <w:rFonts w:hint="eastAsia" w:ascii="宋体" w:hAnsi="宋体" w:cs="宋体"/>
          <w:kern w:val="0"/>
          <w:sz w:val="24"/>
        </w:rPr>
        <w:t>、</w:t>
      </w:r>
      <w:r>
        <w:rPr>
          <w:rFonts w:ascii="宋体" w:hAnsi="宋体" w:cs="宋体"/>
          <w:kern w:val="0"/>
          <w:sz w:val="24"/>
        </w:rPr>
        <w:t>12.5 mm/s</w:t>
      </w:r>
      <w:r>
        <w:rPr>
          <w:rFonts w:hint="eastAsia" w:ascii="宋体" w:hAnsi="宋体" w:cs="宋体"/>
          <w:kern w:val="0"/>
          <w:sz w:val="24"/>
        </w:rPr>
        <w:t>、</w:t>
      </w:r>
      <w:r>
        <w:rPr>
          <w:rFonts w:ascii="宋体" w:hAnsi="宋体" w:cs="宋体"/>
          <w:kern w:val="0"/>
          <w:sz w:val="24"/>
        </w:rPr>
        <w:t>6.25 mm/s</w:t>
      </w:r>
      <w:r>
        <w:rPr>
          <w:rFonts w:hint="eastAsia" w:ascii="宋体" w:hAnsi="宋体" w:cs="宋体"/>
          <w:kern w:val="0"/>
          <w:sz w:val="24"/>
        </w:rPr>
        <w:t>。</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通过心电电极片可监测的心律失常分析种类≥2</w:t>
      </w:r>
      <w:r>
        <w:rPr>
          <w:rFonts w:ascii="宋体" w:hAnsi="宋体" w:cs="宋体"/>
          <w:kern w:val="0"/>
          <w:sz w:val="24"/>
        </w:rPr>
        <w:t>4</w:t>
      </w:r>
      <w:r>
        <w:rPr>
          <w:rFonts w:hint="eastAsia" w:ascii="宋体" w:hAnsi="宋体" w:cs="宋体"/>
          <w:kern w:val="0"/>
          <w:sz w:val="24"/>
        </w:rPr>
        <w:t>种。</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可选配监护功能：血氧饱和度、无创血压、呼吸末二氧化碳。</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提供的监护参数适用于成人，小儿和新生儿，并通过</w:t>
      </w:r>
      <w:r>
        <w:rPr>
          <w:rFonts w:ascii="宋体" w:hAnsi="宋体" w:cs="宋体"/>
          <w:kern w:val="0"/>
          <w:sz w:val="24"/>
        </w:rPr>
        <w:t>国家三类注册、</w:t>
      </w:r>
      <w:r>
        <w:rPr>
          <w:rFonts w:hint="eastAsia" w:ascii="宋体" w:hAnsi="宋体" w:cs="宋体"/>
          <w:kern w:val="0"/>
          <w:sz w:val="24"/>
        </w:rPr>
        <w:t>CE认证。</w:t>
      </w:r>
    </w:p>
    <w:p>
      <w:pPr>
        <w:widowControl/>
        <w:numPr>
          <w:ilvl w:val="0"/>
          <w:numId w:val="3"/>
        </w:numPr>
        <w:spacing w:line="480" w:lineRule="exact"/>
        <w:jc w:val="left"/>
        <w:rPr>
          <w:rFonts w:ascii="宋体" w:hAnsi="宋体" w:cs="宋体"/>
          <w:kern w:val="0"/>
          <w:sz w:val="24"/>
        </w:rPr>
      </w:pPr>
      <w:bookmarkStart w:id="1" w:name="OLE_LINK26"/>
      <w:bookmarkStart w:id="2" w:name="OLE_LINK27"/>
      <w:r>
        <w:rPr>
          <w:rFonts w:hint="eastAsia" w:ascii="宋体" w:hAnsi="宋体" w:cs="宋体"/>
          <w:kern w:val="0"/>
          <w:sz w:val="24"/>
        </w:rPr>
        <w:t>无创血压收缩压测量范围：25-290mmHg（成人）、25-240mmHg（小儿）、25-140mmHg（新生儿），舒张压测量范围：10-250mmHg（成人）、10-200mmHg（小儿），10-115mmHg（新生儿）。</w:t>
      </w:r>
    </w:p>
    <w:bookmarkEnd w:id="1"/>
    <w:bookmarkEnd w:id="2"/>
    <w:p>
      <w:pPr>
        <w:widowControl/>
        <w:numPr>
          <w:ilvl w:val="0"/>
          <w:numId w:val="3"/>
        </w:numPr>
        <w:spacing w:line="480" w:lineRule="exact"/>
        <w:jc w:val="left"/>
        <w:rPr>
          <w:rFonts w:ascii="宋体" w:hAnsi="宋体" w:cs="宋体"/>
          <w:kern w:val="0"/>
          <w:sz w:val="24"/>
        </w:rPr>
      </w:pPr>
      <w:r>
        <w:rPr>
          <w:rFonts w:hint="eastAsia" w:ascii="微软雅黑" w:hAnsi="微软雅黑" w:eastAsia="微软雅黑" w:cs="微软雅黑"/>
          <w:sz w:val="24"/>
        </w:rPr>
        <w:t>▲</w:t>
      </w:r>
      <w:r>
        <w:rPr>
          <w:rFonts w:hint="eastAsia" w:ascii="宋体" w:hAnsi="宋体" w:cs="宋体"/>
          <w:kern w:val="0"/>
          <w:sz w:val="24"/>
        </w:rPr>
        <w:t>支持连接中央站，与科室床旁监护仪共用监护网络</w:t>
      </w:r>
      <w:r>
        <w:rPr>
          <w:rFonts w:hint="eastAsia" w:ascii="宋体" w:hAnsi="宋体" w:cs="宋体"/>
          <w:kern w:val="0"/>
          <w:sz w:val="24"/>
          <w:lang w:eastAsia="zh-CN"/>
        </w:rPr>
        <w:t>。</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支持提供IHE HL7协议，满足院前院内急救系统的联网通信。</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标配1块外置智能锂电池，可支持200J除颤≥300次。</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具备生理报警和技术报警功能，通过声音、文字和灯光3种方式进行报警。</w:t>
      </w:r>
    </w:p>
    <w:p>
      <w:pPr>
        <w:widowControl/>
        <w:numPr>
          <w:ilvl w:val="0"/>
          <w:numId w:val="0"/>
        </w:numPr>
        <w:spacing w:line="480" w:lineRule="exact"/>
        <w:ind w:left="358" w:leftChars="0"/>
        <w:jc w:val="left"/>
        <w:rPr>
          <w:rFonts w:ascii="宋体" w:hAnsi="宋体" w:cs="宋体"/>
          <w:kern w:val="0"/>
          <w:sz w:val="24"/>
        </w:rPr>
      </w:pPr>
      <w:r>
        <w:rPr>
          <w:rFonts w:hint="eastAsia" w:ascii="宋体" w:hAnsi="宋体" w:cs="宋体"/>
          <w:kern w:val="0"/>
          <w:sz w:val="24"/>
        </w:rPr>
        <w:t>可存储24小时连续ECG波形，数据可导出至电脑查看。</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关机状态下设备支持每天定时自动运行自检（含监护模块和治疗模块），支持定期自动大能量自检（最大放电能量）。</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设备自检后支持对于自检报告进行自动打印或按需打印。</w:t>
      </w:r>
    </w:p>
    <w:p>
      <w:pPr>
        <w:widowControl/>
        <w:numPr>
          <w:ilvl w:val="0"/>
          <w:numId w:val="3"/>
        </w:numPr>
        <w:spacing w:line="480" w:lineRule="exact"/>
        <w:jc w:val="left"/>
        <w:rPr>
          <w:rFonts w:ascii="宋体" w:hAnsi="宋体" w:cs="宋体"/>
          <w:kern w:val="0"/>
          <w:sz w:val="24"/>
        </w:rPr>
      </w:pPr>
      <w:r>
        <w:rPr>
          <w:rFonts w:hint="eastAsia" w:ascii="微软雅黑" w:hAnsi="微软雅黑" w:eastAsia="微软雅黑" w:cs="微软雅黑"/>
          <w:sz w:val="24"/>
        </w:rPr>
        <w:t>▲</w:t>
      </w:r>
      <w:r>
        <w:rPr>
          <w:rFonts w:hint="eastAsia" w:ascii="宋体" w:hAnsi="宋体" w:cs="宋体"/>
          <w:kern w:val="0"/>
          <w:sz w:val="24"/>
        </w:rPr>
        <w:t>具备良好的防尘防水性能，防尘防水级别IP44。</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具备优异的抗跌落性能，满足救护车标准</w:t>
      </w:r>
      <w:r>
        <w:rPr>
          <w:rFonts w:ascii="宋体" w:hAnsi="宋体" w:cs="宋体"/>
          <w:kern w:val="0"/>
          <w:sz w:val="24"/>
        </w:rPr>
        <w:t xml:space="preserve">EN1789 </w:t>
      </w:r>
      <w:r>
        <w:rPr>
          <w:rFonts w:hint="eastAsia" w:ascii="宋体" w:hAnsi="宋体" w:cs="宋体"/>
          <w:kern w:val="0"/>
          <w:sz w:val="24"/>
        </w:rPr>
        <w:t>中</w:t>
      </w:r>
      <w:r>
        <w:rPr>
          <w:rFonts w:ascii="宋体" w:hAnsi="宋体" w:cs="宋体"/>
          <w:kern w:val="0"/>
          <w:sz w:val="24"/>
        </w:rPr>
        <w:t xml:space="preserve">6.3.4.3 </w:t>
      </w:r>
      <w:r>
        <w:rPr>
          <w:rFonts w:hint="eastAsia" w:ascii="宋体" w:hAnsi="宋体" w:cs="宋体"/>
          <w:kern w:val="0"/>
          <w:sz w:val="24"/>
        </w:rPr>
        <w:t>关于跌落试验的要求，裸机可承受6面0.75m跌落冲击。</w:t>
      </w:r>
    </w:p>
    <w:p>
      <w:pPr>
        <w:widowControl/>
        <w:numPr>
          <w:ilvl w:val="0"/>
          <w:numId w:val="3"/>
        </w:numPr>
        <w:spacing w:line="480" w:lineRule="exact"/>
        <w:jc w:val="left"/>
        <w:rPr>
          <w:rFonts w:ascii="宋体" w:hAnsi="宋体" w:cs="宋体"/>
          <w:kern w:val="0"/>
          <w:sz w:val="24"/>
        </w:rPr>
      </w:pPr>
      <w:r>
        <w:rPr>
          <w:rFonts w:hint="eastAsia" w:ascii="宋体" w:hAnsi="宋体" w:cs="宋体"/>
          <w:kern w:val="0"/>
          <w:sz w:val="24"/>
        </w:rPr>
        <w:t>工作环境，温度范围：0°C-45°C，湿度范围：15%-95%，大气压范围：</w:t>
      </w:r>
      <w:r>
        <w:rPr>
          <w:rFonts w:ascii="宋体" w:hAnsi="宋体" w:cs="宋体"/>
          <w:kern w:val="0"/>
          <w:sz w:val="24"/>
        </w:rPr>
        <w:t xml:space="preserve">57.0 kPa </w:t>
      </w:r>
      <w:r>
        <w:rPr>
          <w:rFonts w:hint="eastAsia" w:ascii="宋体" w:hAnsi="宋体" w:cs="宋体"/>
          <w:kern w:val="0"/>
          <w:sz w:val="24"/>
        </w:rPr>
        <w:t>～</w:t>
      </w:r>
      <w:r>
        <w:rPr>
          <w:rFonts w:ascii="宋体" w:hAnsi="宋体" w:cs="宋体"/>
          <w:kern w:val="0"/>
          <w:sz w:val="24"/>
        </w:rPr>
        <w:t xml:space="preserve"> 106.2 kPa</w:t>
      </w:r>
      <w:r>
        <w:rPr>
          <w:rFonts w:hint="eastAsia" w:ascii="宋体" w:hAnsi="宋体" w:cs="宋体"/>
          <w:kern w:val="0"/>
          <w:sz w:val="24"/>
        </w:rPr>
        <w:t>。</w:t>
      </w:r>
    </w:p>
    <w:p>
      <w:pPr>
        <w:rPr>
          <w:rFonts w:hint="eastAsia"/>
          <w:lang w:val="en-US" w:eastAsia="zh-CN"/>
        </w:rPr>
      </w:pPr>
    </w:p>
    <w:p>
      <w:pPr>
        <w:ind w:firstLine="482" w:firstLineChars="200"/>
        <w:rPr>
          <w:rFonts w:hint="eastAsia"/>
          <w:lang w:val="en-US" w:eastAsia="zh-CN"/>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*6、在投标文件中必须提供相关佐证资料（加盖原厂公章的技术参数、技术白皮书、说明书、彩页），并在响应表中备注该条参数响应或正偏离的佐证资料所在页码。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法定代表人：李红辉</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院内议价</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除颤仪</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 除颤仪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除颤仪</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运输、装卸、培训、安装调试由</w:t>
      </w:r>
      <w:r>
        <w:rPr>
          <w:rFonts w:hint="eastAsia" w:ascii="宋体" w:hAnsi="宋体" w:eastAsia="宋体" w:cs="宋体"/>
          <w:color w:val="0000FF"/>
          <w:sz w:val="24"/>
          <w:szCs w:val="24"/>
          <w:highlight w:val="none"/>
          <w:lang w:val="en-US" w:eastAsia="zh-CN"/>
        </w:rPr>
        <w:t>乙方</w:t>
      </w:r>
      <w:r>
        <w:rPr>
          <w:rFonts w:hint="eastAsia" w:ascii="宋体" w:hAnsi="宋体" w:eastAsia="宋体" w:cs="宋体"/>
          <w:color w:val="auto"/>
          <w:sz w:val="24"/>
          <w:szCs w:val="24"/>
          <w:highlight w:val="none"/>
        </w:rPr>
        <w:t>负责承担，最终通过使用科室、设备科及相关部门确认验收交付使用。</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FF"/>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到货验收：乙方将设备运至指定交货地点后，应通知甲方，并向甲方提供厂家标准资料文件（进口设备需提供真实有效的海关报关单，其他设备需提供产品合格证）。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（1）甲方的文书送达地址：娄底市中心医院（湖南省娄底市娄星区长青中街51号）；联系人：朱振宇，联系电话：15673845559。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（2）乙方的文书送达地址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0000FF"/>
          <w:sz w:val="24"/>
          <w:lang w:val="en-US" w:eastAsia="zh-CN"/>
        </w:rPr>
        <w:t>并</w:t>
      </w:r>
      <w:r>
        <w:rPr>
          <w:rFonts w:hint="eastAsia" w:ascii="宋体" w:hAnsi="宋体" w:eastAsia="宋体" w:cs="宋体"/>
          <w:color w:val="0000FF"/>
          <w:sz w:val="24"/>
          <w:szCs w:val="24"/>
        </w:rPr>
        <w:t>出具原厂售后质保承诺书</w:t>
      </w:r>
      <w:r>
        <w:rPr>
          <w:rFonts w:hint="eastAsia" w:ascii="宋体" w:hAnsi="宋体" w:eastAsia="宋体" w:cs="宋体"/>
          <w:sz w:val="24"/>
        </w:rPr>
        <w:t>。</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24小时响应，响应后4小时上门服务</w:t>
      </w:r>
      <w:r>
        <w:rPr>
          <w:rFonts w:hint="eastAsia" w:ascii="宋体" w:hAnsi="宋体" w:eastAsia="宋体" w:cs="宋体"/>
          <w:color w:val="auto"/>
          <w:sz w:val="24"/>
          <w:szCs w:val="24"/>
          <w:lang w:val="en-US" w:eastAsia="zh-CN"/>
        </w:rPr>
        <w:t>，相关费用由乙方承担。如乙方不及时履行保修义务，甲方有权委托第三方进行维修，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w:t>
      </w:r>
      <w:bookmarkStart w:id="7" w:name="_GoBack"/>
      <w:r>
        <w:rPr>
          <w:rFonts w:hint="eastAsia" w:ascii="宋体" w:hAnsi="宋体" w:cs="宋体"/>
          <w:color w:val="0000FF"/>
          <w:sz w:val="24"/>
          <w:szCs w:val="24"/>
          <w:lang w:val="en-US" w:eastAsia="zh-CN"/>
        </w:rPr>
        <w:t>一</w:t>
      </w:r>
      <w:bookmarkEnd w:id="7"/>
      <w:r>
        <w:rPr>
          <w:rFonts w:hint="eastAsia" w:ascii="宋体" w:hAnsi="宋体" w:eastAsia="宋体" w:cs="宋体"/>
          <w:color w:val="auto"/>
          <w:sz w:val="24"/>
          <w:szCs w:val="24"/>
          <w:lang w:val="en-US" w:eastAsia="zh-CN"/>
        </w:rPr>
        <w:t>次巡检并免费保养。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FF"/>
          <w:sz w:val="24"/>
          <w:szCs w:val="24"/>
          <w:lang w:val="en-US" w:eastAsia="zh-CN"/>
        </w:rPr>
        <w:t>免息</w:t>
      </w:r>
      <w:r>
        <w:rPr>
          <w:rFonts w:hint="eastAsia" w:ascii="宋体" w:hAnsi="宋体" w:eastAsia="宋体" w:cs="宋体"/>
          <w:color w:val="auto"/>
          <w:sz w:val="24"/>
          <w:szCs w:val="24"/>
          <w:lang w:val="en-US" w:eastAsia="zh-CN"/>
        </w:rPr>
        <w:t>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（1）乙方逾期</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本合同一式五份，甲方执四份、乙方执一份，自双方签字并盖章之日起生效。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3" w:name="_Toc16523573"/>
      <w:r>
        <w:rPr>
          <w:rFonts w:hint="eastAsia" w:ascii="宋体" w:hAnsi="宋体" w:cs="宋体"/>
          <w:color w:val="auto"/>
          <w:sz w:val="44"/>
          <w:szCs w:val="44"/>
          <w:lang w:val="en-US" w:eastAsia="zh-CN"/>
        </w:rPr>
        <w:t>评标方法及标准</w:t>
      </w:r>
      <w:bookmarkEnd w:id="3"/>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tbl>
      <w:tblPr>
        <w:tblStyle w:val="10"/>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903"/>
        <w:gridCol w:w="1245"/>
        <w:gridCol w:w="6318"/>
        <w:gridCol w:w="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评审项目</w:t>
            </w:r>
          </w:p>
        </w:tc>
        <w:tc>
          <w:tcPr>
            <w:tcW w:w="3171" w:type="pct"/>
            <w:noWrap w:val="0"/>
            <w:vAlign w:val="center"/>
          </w:tcPr>
          <w:p>
            <w:pPr>
              <w:ind w:left="48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价格</w:t>
            </w:r>
          </w:p>
          <w:p>
            <w:pPr>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0分）</w:t>
            </w:r>
          </w:p>
        </w:tc>
        <w:tc>
          <w:tcPr>
            <w:tcW w:w="3171"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0</w:t>
            </w:r>
            <w:r>
              <w:rPr>
                <w:rFonts w:hint="eastAsia" w:ascii="宋体" w:hAnsi="宋体" w:eastAsia="宋体" w:cs="Times New Roman"/>
                <w:color w:val="auto"/>
                <w:sz w:val="24"/>
                <w:szCs w:val="24"/>
              </w:rPr>
              <w:t>。</w:t>
            </w:r>
          </w:p>
          <w:p>
            <w:pPr>
              <w:rPr>
                <w:rFonts w:hint="eastAsia"/>
                <w:color w:val="auto"/>
                <w:sz w:val="24"/>
                <w:szCs w:val="24"/>
              </w:rPr>
            </w:pP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4"/>
                <w:szCs w:val="24"/>
              </w:rPr>
              <w:t>;</w:t>
            </w:r>
            <w:r>
              <w:rPr>
                <w:rFonts w:hint="eastAsia" w:ascii="宋体" w:hAnsi="宋体" w:eastAsia="宋体" w:cs="Times New Roman"/>
                <w:color w:val="auto"/>
                <w:sz w:val="24"/>
                <w:szCs w:val="24"/>
              </w:rPr>
              <w:t>投标人不能证明其报价合理性的，评标委员会应当将其作为无效投标处理。”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344"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453"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lang w:eastAsia="zh-CN"/>
              </w:rPr>
              <w:t>招标文件响应程度及服务方案</w:t>
            </w: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625" w:type="pct"/>
            <w:noWrap w:val="0"/>
            <w:vAlign w:val="center"/>
          </w:tcPr>
          <w:p>
            <w:pPr>
              <w:jc w:val="center"/>
              <w:rPr>
                <w:rFonts w:hint="eastAsia" w:ascii="宋体" w:hAnsi="宋体" w:cs="宋体"/>
                <w:color w:val="auto"/>
                <w:sz w:val="24"/>
                <w:szCs w:val="24"/>
              </w:rPr>
            </w:pPr>
            <w:r>
              <w:rPr>
                <w:rFonts w:ascii="宋体" w:hAnsi="宋体"/>
                <w:color w:val="auto"/>
                <w:sz w:val="24"/>
                <w:szCs w:val="24"/>
              </w:rPr>
              <w:t>对招标文件的响应程度</w:t>
            </w:r>
          </w:p>
        </w:tc>
        <w:tc>
          <w:tcPr>
            <w:tcW w:w="3171" w:type="pct"/>
            <w:noWrap w:val="0"/>
            <w:vAlign w:val="center"/>
          </w:tcPr>
          <w:p>
            <w:pPr>
              <w:rPr>
                <w:rFonts w:hint="eastAsia" w:ascii="宋体" w:hAnsi="宋体" w:cs="宋体"/>
                <w:color w:val="auto"/>
                <w:sz w:val="24"/>
                <w:szCs w:val="24"/>
              </w:rPr>
            </w:pPr>
            <w:r>
              <w:rPr>
                <w:rFonts w:hint="eastAsia" w:ascii="宋体" w:hAnsi="宋体"/>
                <w:color w:val="auto"/>
                <w:sz w:val="24"/>
                <w:szCs w:val="24"/>
              </w:rPr>
              <w:t>以招标文件格式为基础，根据投标文件制作的优劣，专家酌情打分，每有一处细微偏差扣1分，扣分最多不超过</w:t>
            </w:r>
            <w:r>
              <w:rPr>
                <w:rFonts w:hint="eastAsia" w:ascii="宋体" w:hAnsi="宋体"/>
                <w:color w:val="auto"/>
                <w:sz w:val="24"/>
                <w:szCs w:val="24"/>
                <w:lang w:val="en-US" w:eastAsia="zh-CN"/>
              </w:rPr>
              <w:t>2</w:t>
            </w:r>
            <w:r>
              <w:rPr>
                <w:rFonts w:hint="eastAsia" w:ascii="宋体" w:hAnsi="宋体"/>
                <w:color w:val="auto"/>
                <w:sz w:val="24"/>
                <w:szCs w:val="24"/>
              </w:rPr>
              <w:t>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344" w:type="pct"/>
            <w:vMerge w:val="continue"/>
            <w:noWrap w:val="0"/>
            <w:vAlign w:val="center"/>
          </w:tcPr>
          <w:p>
            <w:pPr>
              <w:jc w:val="center"/>
              <w:rPr>
                <w:rFonts w:hint="eastAsia" w:ascii="宋体" w:hAnsi="宋体" w:cs="宋体"/>
                <w:color w:val="auto"/>
                <w:sz w:val="24"/>
                <w:szCs w:val="24"/>
              </w:rPr>
            </w:pPr>
          </w:p>
        </w:tc>
        <w:tc>
          <w:tcPr>
            <w:tcW w:w="453" w:type="pct"/>
            <w:vMerge w:val="continue"/>
            <w:noWrap w:val="0"/>
            <w:vAlign w:val="center"/>
          </w:tcPr>
          <w:p>
            <w:pPr>
              <w:jc w:val="center"/>
              <w:rPr>
                <w:rFonts w:hint="eastAsia" w:ascii="宋体" w:hAnsi="宋体" w:cs="宋体"/>
                <w:color w:val="auto"/>
                <w:sz w:val="24"/>
                <w:szCs w:val="24"/>
              </w:rPr>
            </w:pPr>
          </w:p>
        </w:tc>
        <w:tc>
          <w:tcPr>
            <w:tcW w:w="625" w:type="pct"/>
            <w:noWrap w:val="0"/>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服务方案</w:t>
            </w:r>
          </w:p>
        </w:tc>
        <w:tc>
          <w:tcPr>
            <w:tcW w:w="3171" w:type="pct"/>
            <w:noWrap w:val="0"/>
            <w:vAlign w:val="center"/>
          </w:tcPr>
          <w:p>
            <w:pPr>
              <w:rPr>
                <w:rFonts w:hint="eastAsia" w:ascii="宋体" w:hAnsi="宋体" w:cs="Times New Roman"/>
                <w:color w:val="auto"/>
                <w:sz w:val="24"/>
                <w:szCs w:val="24"/>
              </w:rPr>
            </w:pPr>
            <w:r>
              <w:rPr>
                <w:rFonts w:hint="eastAsia" w:ascii="宋体" w:hAnsi="宋体" w:cs="Times New Roman"/>
                <w:color w:val="auto"/>
                <w:sz w:val="24"/>
                <w:szCs w:val="24"/>
                <w:lang w:val="en-US" w:eastAsia="zh-CN"/>
              </w:rPr>
              <w:t>1、</w:t>
            </w:r>
            <w:r>
              <w:rPr>
                <w:rFonts w:hint="eastAsia" w:ascii="宋体" w:hAnsi="宋体" w:cs="Times New Roman"/>
                <w:color w:val="auto"/>
                <w:sz w:val="24"/>
                <w:szCs w:val="24"/>
              </w:rPr>
              <w:t>能提供投标人</w:t>
            </w:r>
            <w:r>
              <w:rPr>
                <w:rFonts w:hint="eastAsia" w:ascii="宋体" w:hAnsi="宋体" w:cs="Times New Roman"/>
                <w:color w:val="auto"/>
                <w:sz w:val="24"/>
                <w:szCs w:val="24"/>
                <w:lang w:eastAsia="zh-CN"/>
              </w:rPr>
              <w:t>投标货物的</w:t>
            </w:r>
            <w:r>
              <w:rPr>
                <w:rFonts w:hint="eastAsia" w:ascii="宋体" w:hAnsi="宋体" w:cs="Times New Roman"/>
                <w:color w:val="auto"/>
                <w:sz w:val="24"/>
                <w:szCs w:val="24"/>
              </w:rPr>
              <w:t>同类型合作业绩，</w:t>
            </w:r>
            <w:r>
              <w:rPr>
                <w:rFonts w:hint="eastAsia" w:ascii="宋体" w:hAnsi="宋体" w:cs="Times New Roman"/>
                <w:color w:val="auto"/>
                <w:sz w:val="24"/>
                <w:szCs w:val="24"/>
                <w:lang w:eastAsia="zh-CN"/>
              </w:rPr>
              <w:t>（自开标开标之日止前五年）</w:t>
            </w:r>
            <w:r>
              <w:rPr>
                <w:rFonts w:hint="eastAsia" w:ascii="宋体" w:hAnsi="宋体" w:cs="Times New Roman"/>
                <w:color w:val="auto"/>
                <w:sz w:val="24"/>
                <w:szCs w:val="24"/>
              </w:rPr>
              <w:t>每个</w:t>
            </w:r>
            <w:r>
              <w:rPr>
                <w:rFonts w:hint="eastAsia" w:ascii="宋体" w:hAnsi="宋体" w:cs="Times New Roman"/>
                <w:color w:val="auto"/>
                <w:sz w:val="24"/>
                <w:szCs w:val="24"/>
                <w:lang w:val="en-US" w:eastAsia="zh-CN"/>
              </w:rPr>
              <w:t>业绩</w:t>
            </w:r>
            <w:r>
              <w:rPr>
                <w:rFonts w:hint="eastAsia" w:ascii="宋体" w:hAnsi="宋体" w:cs="Times New Roman"/>
                <w:color w:val="auto"/>
                <w:sz w:val="24"/>
                <w:szCs w:val="24"/>
              </w:rPr>
              <w:t>计</w:t>
            </w:r>
            <w:r>
              <w:rPr>
                <w:rFonts w:hint="eastAsia" w:ascii="宋体" w:hAnsi="宋体" w:cs="Times New Roman"/>
                <w:color w:val="auto"/>
                <w:sz w:val="24"/>
                <w:szCs w:val="24"/>
                <w:lang w:val="en-US" w:eastAsia="zh-CN"/>
              </w:rPr>
              <w:t>2</w:t>
            </w:r>
            <w:r>
              <w:rPr>
                <w:rFonts w:hint="eastAsia" w:ascii="宋体" w:hAnsi="宋体" w:cs="Times New Roman"/>
                <w:color w:val="auto"/>
                <w:sz w:val="24"/>
                <w:szCs w:val="24"/>
              </w:rPr>
              <w:t>分，最多计</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分（提供合作清单及联系人，并附合同或中标通知书复印件加盖投标人公章）。</w:t>
            </w:r>
          </w:p>
          <w:p>
            <w:pPr>
              <w:rPr>
                <w:rFonts w:hint="eastAsia"/>
                <w:sz w:val="24"/>
                <w:szCs w:val="24"/>
              </w:rPr>
            </w:pPr>
            <w:r>
              <w:rPr>
                <w:rFonts w:hint="eastAsia" w:ascii="宋体" w:hAnsi="宋体" w:cs="Times New Roman"/>
                <w:color w:val="auto"/>
                <w:sz w:val="24"/>
                <w:szCs w:val="24"/>
                <w:lang w:val="en-US" w:eastAsia="zh-CN"/>
              </w:rPr>
              <w:t>2、在上述技术及商务参数中要求的质保年限上，每增加一年计2分，最多计4分。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453" w:type="pct"/>
            <w:noWrap w:val="0"/>
            <w:vAlign w:val="center"/>
          </w:tcPr>
          <w:p>
            <w:pPr>
              <w:jc w:val="center"/>
              <w:rPr>
                <w:rFonts w:hint="eastAsia" w:ascii="宋体" w:hAnsi="宋体" w:cs="宋体"/>
                <w:color w:val="auto"/>
                <w:sz w:val="24"/>
                <w:szCs w:val="24"/>
              </w:rPr>
            </w:pPr>
            <w:r>
              <w:rPr>
                <w:rFonts w:hint="eastAsia" w:cs="Times New Roman"/>
                <w:bCs/>
                <w:sz w:val="24"/>
                <w:szCs w:val="24"/>
                <w:lang w:val="en-US" w:eastAsia="zh-CN"/>
              </w:rPr>
              <w:t>技术要求及商务要求</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0分）</w:t>
            </w:r>
          </w:p>
        </w:tc>
        <w:tc>
          <w:tcPr>
            <w:tcW w:w="625" w:type="pct"/>
            <w:noWrap w:val="0"/>
            <w:vAlign w:val="center"/>
          </w:tcPr>
          <w:p>
            <w:pPr>
              <w:jc w:val="center"/>
              <w:rPr>
                <w:rFonts w:hint="default" w:ascii="宋体" w:hAnsi="宋体" w:eastAsia="宋体"/>
                <w:color w:val="auto"/>
                <w:sz w:val="24"/>
                <w:szCs w:val="24"/>
                <w:lang w:val="en-US" w:eastAsia="zh-CN"/>
              </w:rPr>
            </w:pPr>
            <w:r>
              <w:rPr>
                <w:rFonts w:hint="eastAsia" w:cs="Times New Roman"/>
                <w:bCs/>
                <w:sz w:val="24"/>
                <w:szCs w:val="24"/>
                <w:lang w:val="en-US" w:eastAsia="zh-CN"/>
              </w:rPr>
              <w:t>技术要求及商务要求</w:t>
            </w:r>
          </w:p>
        </w:tc>
        <w:tc>
          <w:tcPr>
            <w:tcW w:w="3171" w:type="pct"/>
            <w:noWrap w:val="0"/>
            <w:vAlign w:val="top"/>
          </w:tcPr>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1、技术参数</w:t>
            </w:r>
            <w:r>
              <w:rPr>
                <w:rFonts w:hint="eastAsia" w:ascii="宋体" w:hAnsi="宋体" w:cs="Times New Roman"/>
                <w:color w:val="auto"/>
                <w:sz w:val="24"/>
                <w:szCs w:val="24"/>
                <w:lang w:val="en-US" w:eastAsia="zh-CN"/>
              </w:rPr>
              <w:t>及商务参数</w:t>
            </w:r>
            <w:r>
              <w:rPr>
                <w:rFonts w:hint="eastAsia" w:ascii="宋体" w:hAnsi="宋体" w:eastAsia="宋体" w:cs="Times New Roman"/>
                <w:color w:val="auto"/>
                <w:sz w:val="24"/>
                <w:szCs w:val="24"/>
                <w:lang w:val="en-US" w:eastAsia="zh-CN"/>
              </w:rPr>
              <w:t>完全符合招标文件要求的，计</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0分，任何一条技术参数负偏离扣2分，扣完为止。</w:t>
            </w:r>
          </w:p>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2、</w:t>
            </w:r>
            <w:r>
              <w:rPr>
                <w:rFonts w:hint="eastAsia" w:ascii="宋体" w:hAnsi="宋体" w:eastAsia="宋体" w:cs="Times New Roman"/>
                <w:color w:val="auto"/>
                <w:sz w:val="24"/>
                <w:szCs w:val="24"/>
                <w:lang w:val="en-US" w:eastAsia="zh-CN"/>
              </w:rPr>
              <w:t>带“ ★”“*”号参数为重要条款不允许偏离，否则视同无效投标。</w:t>
            </w:r>
          </w:p>
          <w:p>
            <w:pPr>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、带“ ▲”号参数为重要条款任何一条技术参数负偏离扣4分，扣完为止。</w:t>
            </w:r>
          </w:p>
          <w:p>
            <w:pPr>
              <w:rPr>
                <w:rFonts w:hint="eastAsia" w:ascii="宋体" w:hAnsi="宋体" w:eastAsia="宋体" w:cs="Times New Roman"/>
                <w:color w:val="auto"/>
                <w:sz w:val="24"/>
                <w:szCs w:val="24"/>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、其它技术条款偏离项数之和大于5项将导致无效投标。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说明：</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a、偏离：不满足招标参数要求，配置不详，缺漏项，技术参数表述不清的。</w:t>
            </w:r>
          </w:p>
          <w:p>
            <w:pPr>
              <w:rPr>
                <w:rFonts w:hint="default" w:eastAsia="宋体"/>
                <w:sz w:val="24"/>
                <w:szCs w:val="24"/>
                <w:lang w:val="en-US" w:eastAsia="zh-CN"/>
              </w:rPr>
            </w:pPr>
            <w:r>
              <w:rPr>
                <w:rFonts w:hint="eastAsia" w:ascii="宋体" w:hAnsi="宋体" w:eastAsia="宋体" w:cs="Times New Roman"/>
                <w:color w:val="auto"/>
                <w:sz w:val="24"/>
                <w:szCs w:val="24"/>
              </w:rPr>
              <w:t>b、条款数计算：招标文件中，凡编排有单独的中文序数或阿拉伯数字或英文字母序列号等字符的</w:t>
            </w:r>
            <w:r>
              <w:rPr>
                <w:rFonts w:ascii="宋体" w:hAnsi="宋体"/>
                <w:color w:val="000000" w:themeColor="text1"/>
                <w:sz w:val="24"/>
                <w:szCs w:val="24"/>
                <w14:textFill>
                  <w14:solidFill>
                    <w14:schemeClr w14:val="tx1"/>
                  </w14:solidFill>
                </w14:textFill>
              </w:rPr>
              <w:t>条款算一项技术要求项数</w:t>
            </w:r>
            <w:r>
              <w:rPr>
                <w:rFonts w:hint="eastAsia" w:ascii="宋体" w:hAnsi="宋体"/>
                <w:color w:val="000000" w:themeColor="text1"/>
                <w:sz w:val="24"/>
                <w:szCs w:val="24"/>
                <w14:textFill>
                  <w14:solidFill>
                    <w14:schemeClr w14:val="tx1"/>
                  </w14:solidFill>
                </w14:textFill>
              </w:rPr>
              <w:t>。</w:t>
            </w:r>
          </w:p>
        </w:tc>
        <w:tc>
          <w:tcPr>
            <w:tcW w:w="406"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50</w:t>
            </w:r>
          </w:p>
        </w:tc>
      </w:tr>
    </w:tbl>
    <w:p>
      <w:pPr>
        <w:pStyle w:val="15"/>
        <w:rPr>
          <w:rFonts w:hint="eastAsia" w:ascii="宋体" w:hAnsi="宋体" w:cs="宋体"/>
          <w:color w:val="auto"/>
          <w:sz w:val="24"/>
          <w:szCs w:val="24"/>
        </w:rPr>
      </w:pPr>
    </w:p>
    <w:p>
      <w:pPr>
        <w:spacing w:before="120" w:beforeLines="50" w:after="120" w:afterLines="50" w:line="360" w:lineRule="auto"/>
        <w:rPr>
          <w:color w:val="auto"/>
        </w:rPr>
      </w:pPr>
      <w:r>
        <w:rPr>
          <w:rFonts w:hint="eastAsia" w:ascii="宋体" w:hAnsi="宋体" w:cs="宋体"/>
          <w:color w:val="auto"/>
          <w:sz w:val="24"/>
          <w:szCs w:val="24"/>
        </w:rPr>
        <w:t>注：（1）全体评标委员会对投标人评分的算数平均值即为该投标人的最终评标得分（不得去评分项目的最高得分和最低得分），评分分值计算保留小数点后两位，小数点后第三位“四舍五入”。</w:t>
      </w:r>
    </w:p>
    <w:p>
      <w:pPr>
        <w:rPr>
          <w:color w:val="auto"/>
        </w:rPr>
      </w:pPr>
      <w:r>
        <w:rPr>
          <w:color w:val="auto"/>
        </w:rPr>
        <w:br w:type="page"/>
      </w:r>
    </w:p>
    <w:p>
      <w:pPr>
        <w:pStyle w:val="2"/>
        <w:numPr>
          <w:ilvl w:val="0"/>
          <w:numId w:val="5"/>
        </w:numPr>
        <w:spacing w:line="240" w:lineRule="auto"/>
        <w:ind w:firstLine="2409" w:firstLineChars="800"/>
        <w:jc w:val="both"/>
        <w:rPr>
          <w:rFonts w:hint="eastAsia" w:ascii="宋体" w:hAnsi="宋体" w:cs="宋体"/>
          <w:color w:val="auto"/>
          <w:sz w:val="30"/>
          <w:szCs w:val="30"/>
        </w:rPr>
      </w:pPr>
      <w:bookmarkStart w:id="4"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4"/>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5" w:name="_Toc486424819"/>
      <w:bookmarkStart w:id="6" w:name="_Toc476514128"/>
    </w:p>
    <w:p>
      <w:pPr>
        <w:pStyle w:val="15"/>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5"/>
    <w:bookmarkEnd w:id="6"/>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6"/>
        <w:rPr>
          <w:color w:val="auto"/>
        </w:rPr>
      </w:pPr>
    </w:p>
    <w:p>
      <w:pPr>
        <w:pStyle w:val="17"/>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7"/>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5"/>
        <w:rPr>
          <w:rFonts w:hint="eastAsia"/>
          <w:lang w:eastAsia="zh-CN"/>
        </w:rPr>
      </w:pPr>
    </w:p>
    <w:p>
      <w:pPr>
        <w:numPr>
          <w:ilvl w:val="0"/>
          <w:numId w:val="6"/>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abstractNum w:abstractNumId="4">
    <w:nsid w:val="1E6DDE31"/>
    <w:multiLevelType w:val="singleLevel"/>
    <w:tmpl w:val="1E6DDE31"/>
    <w:lvl w:ilvl="0" w:tentative="0">
      <w:start w:val="1"/>
      <w:numFmt w:val="chineseCounting"/>
      <w:suff w:val="space"/>
      <w:lvlText w:val="第%1条"/>
      <w:lvlJc w:val="left"/>
      <w:rPr>
        <w:rFonts w:hint="eastAsia"/>
      </w:rPr>
    </w:lvl>
  </w:abstractNum>
  <w:abstractNum w:abstractNumId="5">
    <w:nsid w:val="2F1B6BA0"/>
    <w:multiLevelType w:val="multilevel"/>
    <w:tmpl w:val="2F1B6BA0"/>
    <w:lvl w:ilvl="0" w:tentative="0">
      <w:start w:val="1"/>
      <w:numFmt w:val="decimal"/>
      <w:lvlText w:val="%1."/>
      <w:lvlJc w:val="left"/>
      <w:pPr>
        <w:tabs>
          <w:tab w:val="left" w:pos="778"/>
        </w:tabs>
        <w:ind w:left="778" w:hanging="420"/>
      </w:p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WM2ZGQ3MWRjMzJkNGQ4ZWY1M2EwNzNkYzdhMTgifQ=="/>
  </w:docVars>
  <w:rsids>
    <w:rsidRoot w:val="6DE375E4"/>
    <w:rsid w:val="00AE556A"/>
    <w:rsid w:val="06E91EC4"/>
    <w:rsid w:val="071C689B"/>
    <w:rsid w:val="0E331420"/>
    <w:rsid w:val="0E76169C"/>
    <w:rsid w:val="0EDD1643"/>
    <w:rsid w:val="12994AC5"/>
    <w:rsid w:val="1AF56B46"/>
    <w:rsid w:val="1FE73549"/>
    <w:rsid w:val="20B41DA7"/>
    <w:rsid w:val="20F751FF"/>
    <w:rsid w:val="22AB7B8A"/>
    <w:rsid w:val="245079B1"/>
    <w:rsid w:val="28E81B29"/>
    <w:rsid w:val="2C7642D0"/>
    <w:rsid w:val="2EAC037F"/>
    <w:rsid w:val="2EB67A5C"/>
    <w:rsid w:val="302741D2"/>
    <w:rsid w:val="308B184D"/>
    <w:rsid w:val="340F06E9"/>
    <w:rsid w:val="3B3B544D"/>
    <w:rsid w:val="3B654F2B"/>
    <w:rsid w:val="3DF12CFC"/>
    <w:rsid w:val="429A4992"/>
    <w:rsid w:val="43B25DAC"/>
    <w:rsid w:val="46202E1C"/>
    <w:rsid w:val="4D8F194C"/>
    <w:rsid w:val="4DA5363F"/>
    <w:rsid w:val="4DCD6AB3"/>
    <w:rsid w:val="50540C20"/>
    <w:rsid w:val="51AC28BD"/>
    <w:rsid w:val="555B5FCF"/>
    <w:rsid w:val="5DC55500"/>
    <w:rsid w:val="611B6B1B"/>
    <w:rsid w:val="64133D6A"/>
    <w:rsid w:val="678E4F5D"/>
    <w:rsid w:val="6DE375E4"/>
    <w:rsid w:val="71584067"/>
    <w:rsid w:val="750117A8"/>
    <w:rsid w:val="76447599"/>
    <w:rsid w:val="7BBF44BB"/>
    <w:rsid w:val="7BF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rPr>
  </w:style>
  <w:style w:type="paragraph" w:styleId="5">
    <w:name w:val="Body Text Indent"/>
    <w:basedOn w:val="1"/>
    <w:next w:val="6"/>
    <w:qFormat/>
    <w:uiPriority w:val="99"/>
    <w:pPr>
      <w:spacing w:line="400" w:lineRule="exact"/>
      <w:ind w:left="630"/>
    </w:pPr>
    <w:rPr>
      <w:rFonts w:ascii="楷体_GB2312"/>
      <w:sz w:val="30"/>
      <w:szCs w:val="30"/>
    </w:rPr>
  </w:style>
  <w:style w:type="paragraph" w:styleId="6">
    <w:name w:val="Body Text First Indent 2"/>
    <w:basedOn w:val="5"/>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7">
    <w:name w:val="footer"/>
    <w:basedOn w:val="1"/>
    <w:qFormat/>
    <w:uiPriority w:val="0"/>
    <w:pPr>
      <w:tabs>
        <w:tab w:val="center" w:pos="4153"/>
        <w:tab w:val="right" w:pos="8306"/>
      </w:tabs>
      <w:snapToGrid w:val="0"/>
      <w:jc w:val="left"/>
    </w:pPr>
    <w:rPr>
      <w:kern w:val="0"/>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customStyle="1" w:styleId="12">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6"/>
    <w:qFormat/>
    <w:uiPriority w:val="0"/>
    <w:pPr>
      <w:jc w:val="center"/>
    </w:pPr>
    <w:rPr>
      <w:rFonts w:ascii="Arial" w:hAnsi="Arial" w:eastAsia="宋体"/>
      <w:b/>
      <w:sz w:val="28"/>
      <w:szCs w:val="24"/>
    </w:rPr>
  </w:style>
  <w:style w:type="paragraph" w:customStyle="1" w:styleId="15">
    <w:name w:val="列出段落1"/>
    <w:basedOn w:val="1"/>
    <w:qFormat/>
    <w:uiPriority w:val="99"/>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8131</Words>
  <Characters>8564</Characters>
  <Lines>0</Lines>
  <Paragraphs>0</Paragraphs>
  <TotalTime>0</TotalTime>
  <ScaleCrop>false</ScaleCrop>
  <LinksUpToDate>false</LinksUpToDate>
  <CharactersWithSpaces>9507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lx</cp:lastModifiedBy>
  <dcterms:modified xsi:type="dcterms:W3CDTF">2023-08-10T12:20:46Z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3505A2AB25E048A4A9B0E6A6741CA1BA_11</vt:lpwstr>
  </property>
</Properties>
</file>