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（手术放大镜</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lang w:val="en-US" w:eastAsia="zh-CN"/>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九</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手术放大镜</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手术放大镜</w:t>
      </w:r>
      <w:r>
        <w:rPr>
          <w:rFonts w:hint="eastAsia" w:asciiTheme="minorEastAsia" w:hAnsiTheme="minorEastAsia" w:eastAsiaTheme="minorEastAsia" w:cstheme="minorEastAsia"/>
          <w:b w:val="0"/>
          <w:bCs/>
          <w:color w:val="auto"/>
          <w:sz w:val="24"/>
          <w:szCs w:val="24"/>
          <w:lang w:val="en-US" w:eastAsia="zh-CN"/>
        </w:rPr>
        <w:t>采购项目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手术放大镜</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是</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技术参数：</w:t>
      </w:r>
    </w:p>
    <w:p>
      <w:pPr>
        <w:keepNext w:val="0"/>
        <w:keepLines w:val="0"/>
        <w:pageBreakBefore w:val="0"/>
        <w:kinsoku/>
        <w:wordWrap/>
        <w:overflowPunct/>
        <w:topLinePunct w:val="0"/>
        <w:bidi w:val="0"/>
        <w:adjustRightInd/>
        <w:snapToGrid/>
        <w:spacing w:line="240" w:lineRule="auto"/>
        <w:ind w:right="0" w:rightChars="0"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（一）</w:t>
      </w:r>
      <w:r>
        <w:rPr>
          <w:rFonts w:hint="eastAsia" w:ascii="宋体" w:hAnsi="宋体" w:eastAsia="宋体" w:cs="宋体"/>
          <w:b/>
          <w:sz w:val="24"/>
          <w:szCs w:val="24"/>
        </w:rPr>
        <w:t>技术指标</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1.1.适用范围:满足各种外科手术使用.可弥补操作者视力的不足</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1.2.外观:美观、大方。可选择框架. 满足长时间使用的要求.减少术者头部疲劳感的发生.</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1.3.结构原理:低倍显微系统</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1.4.养护方便:采用防尘防水设计.容易清洗和消毒.为日常维护提供方便</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1.5.性能特性:</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1.5.1.可根据使用者要求配有带度数镜片.</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1.5.2.采用独特的覆膜技术将光反射减少到0.3%提供高亮度的图像.加上无色差镜片比传统放大镜更清晰.</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1.5.3.可根据使用者习惯要求私人定制:如瞳距;视力度数;工作距离;手术姿势等;定制一个符合人体工程学的私人放大镜,避免大家共用一台放大镜.因术者手术姿势的妥协.造成使用者眼部疲劳及背部酸疼感的发生.</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1.5.4.具有超宽超深的视野.即使长时间手术术者也不会感到疲劳</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1.6.放大倍数：可选2.5X、3.0X、3.5X、4.5X、6.0X</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1.7. 镜片：天文光学玻璃材质，精密光学涂层，传输超过99.5%的光进入放大镜（反射不到0.5%），增强景深的同时增加耐磨特性。</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1.8. ★制作方式：可依据个人自身度数矫正近视，远视，散光，老花</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1.9.镜架：合金材质，表面不反射光线，各种镜框可选。</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1.10. ★工作距离：完全按照个人标准定制，可达≥70CM。</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1.11.★生理视野镜头设计。</w:t>
      </w:r>
    </w:p>
    <w:p>
      <w:pPr>
        <w:keepNext w:val="0"/>
        <w:keepLines w:val="0"/>
        <w:pageBreakBefore w:val="0"/>
        <w:kinsoku/>
        <w:wordWrap/>
        <w:overflowPunct/>
        <w:topLinePunct w:val="0"/>
        <w:bidi w:val="0"/>
        <w:adjustRightInd/>
        <w:snapToGrid/>
        <w:spacing w:line="240" w:lineRule="auto"/>
        <w:ind w:right="0" w:rightChars="0"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rPr>
        <w:t>配置</w:t>
      </w:r>
      <w:r>
        <w:rPr>
          <w:rFonts w:hint="eastAsia" w:ascii="宋体" w:hAnsi="宋体" w:cs="宋体"/>
          <w:b/>
          <w:bCs/>
          <w:sz w:val="24"/>
          <w:szCs w:val="24"/>
          <w:lang w:eastAsia="zh-CN"/>
        </w:rPr>
        <w:t>清单：</w:t>
      </w:r>
      <w:r>
        <w:rPr>
          <w:rFonts w:hint="eastAsia" w:ascii="宋体" w:hAnsi="宋体" w:eastAsia="宋体" w:cs="宋体"/>
          <w:b/>
          <w:bCs/>
          <w:sz w:val="24"/>
          <w:szCs w:val="24"/>
        </w:rPr>
        <w:tab/>
      </w:r>
    </w:p>
    <w:tbl>
      <w:tblPr>
        <w:tblStyle w:val="10"/>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97"/>
        <w:gridCol w:w="361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10" w:type="dxa"/>
            <w:vAlign w:val="center"/>
          </w:tcPr>
          <w:p>
            <w:pPr>
              <w:widowControl/>
              <w:spacing w:line="360" w:lineRule="auto"/>
              <w:jc w:val="center"/>
              <w:rPr>
                <w:rFonts w:ascii="Arial" w:hAnsi="Arial" w:eastAsia="微软雅黑" w:cs="Arial"/>
                <w:b/>
                <w:bCs/>
                <w:kern w:val="0"/>
                <w:sz w:val="24"/>
                <w:szCs w:val="24"/>
              </w:rPr>
            </w:pPr>
            <w:r>
              <w:rPr>
                <w:rFonts w:hint="eastAsia" w:ascii="Arial" w:hAnsi="Arial" w:eastAsia="微软雅黑" w:cs="Arial"/>
                <w:b/>
                <w:bCs/>
                <w:kern w:val="0"/>
                <w:sz w:val="24"/>
                <w:szCs w:val="24"/>
              </w:rPr>
              <w:t>序号</w:t>
            </w:r>
            <w:r>
              <w:rPr>
                <w:rFonts w:ascii="Arial" w:hAnsi="Arial" w:eastAsia="微软雅黑" w:cs="Arial"/>
                <w:b/>
                <w:bCs/>
                <w:kern w:val="0"/>
                <w:sz w:val="24"/>
                <w:szCs w:val="24"/>
              </w:rPr>
              <w:t>.</w:t>
            </w:r>
          </w:p>
        </w:tc>
        <w:tc>
          <w:tcPr>
            <w:tcW w:w="2297" w:type="dxa"/>
            <w:vAlign w:val="center"/>
          </w:tcPr>
          <w:p>
            <w:pPr>
              <w:widowControl/>
              <w:spacing w:line="360" w:lineRule="auto"/>
              <w:jc w:val="center"/>
              <w:rPr>
                <w:rFonts w:ascii="Arial" w:hAnsi="Arial" w:eastAsia="微软雅黑" w:cs="Arial"/>
                <w:b/>
                <w:bCs/>
                <w:kern w:val="0"/>
                <w:sz w:val="24"/>
                <w:szCs w:val="24"/>
              </w:rPr>
            </w:pPr>
            <w:r>
              <w:rPr>
                <w:rFonts w:hint="eastAsia" w:ascii="Arial" w:hAnsi="Arial" w:eastAsia="微软雅黑" w:cs="Arial"/>
                <w:b/>
                <w:bCs/>
                <w:kern w:val="0"/>
                <w:sz w:val="24"/>
                <w:szCs w:val="24"/>
              </w:rPr>
              <w:t>名称</w:t>
            </w:r>
            <w:r>
              <w:rPr>
                <w:rFonts w:ascii="Arial" w:hAnsi="Arial" w:eastAsia="微软雅黑" w:cs="Arial"/>
                <w:b/>
                <w:bCs/>
                <w:kern w:val="0"/>
                <w:sz w:val="24"/>
                <w:szCs w:val="24"/>
              </w:rPr>
              <w:t>.</w:t>
            </w:r>
          </w:p>
        </w:tc>
        <w:tc>
          <w:tcPr>
            <w:tcW w:w="3613" w:type="dxa"/>
            <w:vAlign w:val="center"/>
          </w:tcPr>
          <w:p>
            <w:pPr>
              <w:widowControl/>
              <w:spacing w:line="360" w:lineRule="auto"/>
              <w:jc w:val="center"/>
              <w:rPr>
                <w:rFonts w:ascii="Arial" w:hAnsi="Arial" w:eastAsia="微软雅黑" w:cs="Arial"/>
                <w:b/>
                <w:bCs/>
                <w:kern w:val="0"/>
                <w:sz w:val="24"/>
                <w:szCs w:val="24"/>
              </w:rPr>
            </w:pPr>
            <w:r>
              <w:rPr>
                <w:rFonts w:hint="eastAsia" w:ascii="Arial" w:hAnsi="Arial" w:eastAsia="微软雅黑" w:cs="Arial"/>
                <w:b/>
                <w:bCs/>
                <w:kern w:val="0"/>
                <w:sz w:val="24"/>
                <w:szCs w:val="24"/>
              </w:rPr>
              <w:t>型号参数</w:t>
            </w:r>
          </w:p>
        </w:tc>
        <w:tc>
          <w:tcPr>
            <w:tcW w:w="1393" w:type="dxa"/>
            <w:vAlign w:val="center"/>
          </w:tcPr>
          <w:p>
            <w:pPr>
              <w:widowControl/>
              <w:spacing w:line="360" w:lineRule="auto"/>
              <w:jc w:val="center"/>
              <w:rPr>
                <w:rFonts w:ascii="Arial" w:hAnsi="Arial" w:eastAsia="微软雅黑" w:cs="Arial"/>
                <w:b/>
                <w:bCs/>
                <w:kern w:val="0"/>
                <w:sz w:val="24"/>
                <w:szCs w:val="24"/>
              </w:rPr>
            </w:pPr>
            <w:r>
              <w:rPr>
                <w:rFonts w:hint="eastAsia" w:ascii="Arial" w:hAnsi="Arial" w:eastAsia="微软雅黑" w:cs="Arial"/>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0"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01</w:t>
            </w:r>
          </w:p>
        </w:tc>
        <w:tc>
          <w:tcPr>
            <w:tcW w:w="2297" w:type="dxa"/>
            <w:vAlign w:val="center"/>
          </w:tcPr>
          <w:p>
            <w:pPr>
              <w:widowControl/>
              <w:spacing w:line="360" w:lineRule="auto"/>
              <w:jc w:val="center"/>
              <w:rPr>
                <w:rFonts w:ascii="Arial" w:hAnsi="Arial" w:eastAsia="微软雅黑" w:cs="Arial"/>
                <w:kern w:val="0"/>
                <w:sz w:val="24"/>
                <w:szCs w:val="24"/>
              </w:rPr>
            </w:pPr>
            <w:r>
              <w:rPr>
                <w:rFonts w:hint="eastAsia" w:ascii="Arial" w:hAnsi="Arial" w:eastAsia="微软雅黑" w:cs="Arial"/>
                <w:kern w:val="0"/>
                <w:sz w:val="24"/>
                <w:szCs w:val="24"/>
              </w:rPr>
              <w:t>医用放大镜</w:t>
            </w:r>
          </w:p>
        </w:tc>
        <w:tc>
          <w:tcPr>
            <w:tcW w:w="3613" w:type="dxa"/>
            <w:vAlign w:val="center"/>
          </w:tcPr>
          <w:p>
            <w:pPr>
              <w:widowControl/>
              <w:spacing w:line="360" w:lineRule="auto"/>
              <w:jc w:val="center"/>
              <w:rPr>
                <w:rFonts w:ascii="Arial" w:hAnsi="Arial" w:eastAsia="微软雅黑" w:cs="Arial"/>
                <w:kern w:val="0"/>
                <w:sz w:val="24"/>
                <w:szCs w:val="24"/>
              </w:rPr>
            </w:pPr>
            <w:r>
              <w:rPr>
                <w:rFonts w:hint="eastAsia" w:ascii="Arial" w:hAnsi="Arial" w:eastAsia="微软雅黑" w:cs="Arial"/>
                <w:kern w:val="0"/>
                <w:sz w:val="24"/>
                <w:szCs w:val="24"/>
              </w:rPr>
              <w:t>医用放大镜</w:t>
            </w:r>
          </w:p>
        </w:tc>
        <w:tc>
          <w:tcPr>
            <w:tcW w:w="1393"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0" w:type="dxa"/>
            <w:vAlign w:val="center"/>
          </w:tcPr>
          <w:p>
            <w:pPr>
              <w:widowControl/>
              <w:spacing w:line="360" w:lineRule="auto"/>
              <w:ind w:firstLine="120" w:firstLineChars="50"/>
              <w:rPr>
                <w:rFonts w:ascii="Arial" w:hAnsi="Arial" w:eastAsia="微软雅黑" w:cs="Arial"/>
                <w:kern w:val="0"/>
                <w:sz w:val="24"/>
                <w:szCs w:val="24"/>
              </w:rPr>
            </w:pPr>
            <w:r>
              <w:rPr>
                <w:rFonts w:ascii="Arial" w:hAnsi="Arial" w:eastAsia="微软雅黑" w:cs="Arial"/>
                <w:kern w:val="0"/>
                <w:sz w:val="24"/>
                <w:szCs w:val="24"/>
              </w:rPr>
              <w:t>02</w:t>
            </w:r>
          </w:p>
        </w:tc>
        <w:tc>
          <w:tcPr>
            <w:tcW w:w="2297"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CASE</w:t>
            </w:r>
          </w:p>
        </w:tc>
        <w:tc>
          <w:tcPr>
            <w:tcW w:w="3613"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专用存放盒</w:t>
            </w:r>
          </w:p>
        </w:tc>
        <w:tc>
          <w:tcPr>
            <w:tcW w:w="1393"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0"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03</w:t>
            </w:r>
          </w:p>
        </w:tc>
        <w:tc>
          <w:tcPr>
            <w:tcW w:w="2297"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挂绳</w:t>
            </w:r>
          </w:p>
        </w:tc>
        <w:tc>
          <w:tcPr>
            <w:tcW w:w="3613"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眼镜挂绳</w:t>
            </w:r>
          </w:p>
        </w:tc>
        <w:tc>
          <w:tcPr>
            <w:tcW w:w="1393"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0"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04</w:t>
            </w:r>
          </w:p>
        </w:tc>
        <w:tc>
          <w:tcPr>
            <w:tcW w:w="2297"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带子</w:t>
            </w:r>
          </w:p>
        </w:tc>
        <w:tc>
          <w:tcPr>
            <w:tcW w:w="3613"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眼镜箱带子</w:t>
            </w:r>
          </w:p>
        </w:tc>
        <w:tc>
          <w:tcPr>
            <w:tcW w:w="1393"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0"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05</w:t>
            </w:r>
          </w:p>
        </w:tc>
        <w:tc>
          <w:tcPr>
            <w:tcW w:w="2297"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名牌</w:t>
            </w:r>
          </w:p>
        </w:tc>
        <w:tc>
          <w:tcPr>
            <w:tcW w:w="3613"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医师名牌</w:t>
            </w:r>
          </w:p>
        </w:tc>
        <w:tc>
          <w:tcPr>
            <w:tcW w:w="1393" w:type="dxa"/>
            <w:vAlign w:val="center"/>
          </w:tcPr>
          <w:p>
            <w:pPr>
              <w:widowControl/>
              <w:spacing w:line="360" w:lineRule="auto"/>
              <w:jc w:val="center"/>
              <w:rPr>
                <w:rFonts w:ascii="Arial" w:hAnsi="Arial" w:eastAsia="微软雅黑" w:cs="Arial"/>
                <w:kern w:val="0"/>
                <w:sz w:val="24"/>
                <w:szCs w:val="24"/>
              </w:rPr>
            </w:pPr>
            <w:r>
              <w:rPr>
                <w:rFonts w:ascii="Arial" w:hAnsi="Arial" w:eastAsia="微软雅黑" w:cs="Arial"/>
                <w:kern w:val="0"/>
                <w:sz w:val="24"/>
                <w:szCs w:val="24"/>
              </w:rPr>
              <w:t>1</w:t>
            </w:r>
          </w:p>
        </w:tc>
      </w:tr>
    </w:tbl>
    <w:p>
      <w:pPr>
        <w:ind w:firstLine="482" w:firstLineChars="200"/>
        <w:rPr>
          <w:rFonts w:hint="eastAsia"/>
          <w:lang w:val="en-US" w:eastAsia="zh-CN"/>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年，终身维修。验收时出具原厂售后质保承诺书，质保期内每年巡检一次，并提交巡检记录。质保期内出现故障，24小时响应，响应后4小时上门服务。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bookmarkStart w:id="5" w:name="_GoBack"/>
      <w:bookmarkEnd w:id="5"/>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手术放大镜</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手术放大镜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手术放大镜</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FF"/>
                <w:kern w:val="0"/>
                <w:sz w:val="21"/>
                <w:szCs w:val="21"/>
                <w:lang w:val="en-US" w:eastAsia="zh-CN"/>
              </w:rPr>
              <w:t>1台/套</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w:t>
      </w:r>
      <w:r>
        <w:rPr>
          <w:rFonts w:hint="eastAsia" w:ascii="宋体" w:hAnsi="宋体" w:eastAsia="宋体" w:cs="宋体"/>
          <w:color w:val="0000FF"/>
          <w:sz w:val="24"/>
          <w:szCs w:val="24"/>
          <w:lang w:val="en-US" w:eastAsia="zh-CN"/>
        </w:rPr>
        <w:t>一</w:t>
      </w:r>
      <w:r>
        <w:rPr>
          <w:rFonts w:hint="eastAsia" w:ascii="宋体" w:hAnsi="宋体" w:eastAsia="宋体" w:cs="宋体"/>
          <w:color w:val="auto"/>
          <w:sz w:val="24"/>
          <w:szCs w:val="24"/>
          <w:lang w:val="en-US" w:eastAsia="zh-CN"/>
        </w:rPr>
        <w:t>次巡检</w:t>
      </w:r>
      <w:r>
        <w:rPr>
          <w:rFonts w:hint="eastAsia" w:ascii="宋体" w:hAnsi="宋体" w:eastAsia="宋体" w:cs="宋体"/>
          <w:color w:val="0000FF"/>
          <w:sz w:val="24"/>
          <w:szCs w:val="24"/>
          <w:lang w:val="en-US" w:eastAsia="zh-CN"/>
        </w:rPr>
        <w:t>并向甲方提交巡检记录</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kinsoku/>
        <w:wordWrap/>
        <w:overflowPunct/>
        <w:topLinePunct w:val="0"/>
        <w:autoSpaceDE/>
        <w:autoSpaceDN/>
        <w:bidi w:val="0"/>
        <w:adjustRightInd/>
        <w:snapToGrid/>
        <w:spacing w:line="480" w:lineRule="exact"/>
        <w:textAlignment w:val="auto"/>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、带“ ▲”号参数为重要条款任何一条技术参数负偏离扣4分，扣完为止。</w:t>
            </w:r>
          </w:p>
          <w:p>
            <w:pPr>
              <w:rPr>
                <w:rFonts w:hint="eastAsia" w:ascii="宋体" w:hAnsi="宋体" w:eastAsia="宋体" w:cs="Times New Roman"/>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5"/>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2"/>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w:t>
      </w:r>
      <w:r>
        <w:rPr>
          <w:rFonts w:hint="eastAsia"/>
          <w:color w:val="auto"/>
          <w:sz w:val="24"/>
          <w:lang w:eastAsia="zh-CN"/>
        </w:rPr>
        <w:t>的项目内容及要求</w:t>
      </w:r>
      <w:r>
        <w:rPr>
          <w:color w:val="auto"/>
          <w:sz w:val="24"/>
        </w:rPr>
        <w:t>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（2）如不提供此表，则视为投标人不满足招标文第</w:t>
      </w:r>
      <w:r>
        <w:rPr>
          <w:rFonts w:hint="eastAsia"/>
          <w:color w:val="auto"/>
          <w:sz w:val="24"/>
          <w:lang w:val="en-US" w:eastAsia="zh-CN"/>
        </w:rPr>
        <w:t>二</w:t>
      </w:r>
      <w:r>
        <w:rPr>
          <w:color w:val="auto"/>
          <w:sz w:val="24"/>
        </w:rPr>
        <w:t>章件所有条款要求，其投标无效；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6"/>
        <w:rPr>
          <w:color w:val="auto"/>
        </w:rPr>
      </w:pP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lang w:eastAsia="zh-CN"/>
        </w:rPr>
      </w:pPr>
    </w:p>
    <w:p>
      <w:pPr>
        <w:numPr>
          <w:ilvl w:val="0"/>
          <w:numId w:val="5"/>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4B0B8A"/>
    <w:rsid w:val="06E91EC4"/>
    <w:rsid w:val="071C689B"/>
    <w:rsid w:val="0E331420"/>
    <w:rsid w:val="0E76169C"/>
    <w:rsid w:val="0EDD1643"/>
    <w:rsid w:val="12994AC5"/>
    <w:rsid w:val="16EB1D52"/>
    <w:rsid w:val="1AF56B46"/>
    <w:rsid w:val="1DE33A91"/>
    <w:rsid w:val="1FE73549"/>
    <w:rsid w:val="20B41DA7"/>
    <w:rsid w:val="20F751FF"/>
    <w:rsid w:val="22AB7B8A"/>
    <w:rsid w:val="245079B1"/>
    <w:rsid w:val="28E81B29"/>
    <w:rsid w:val="2C7642D0"/>
    <w:rsid w:val="2CB94AAA"/>
    <w:rsid w:val="2EAC037F"/>
    <w:rsid w:val="2EB67A5C"/>
    <w:rsid w:val="302741D2"/>
    <w:rsid w:val="308B184D"/>
    <w:rsid w:val="340F06E9"/>
    <w:rsid w:val="344405F2"/>
    <w:rsid w:val="3B3B544D"/>
    <w:rsid w:val="3B654F2B"/>
    <w:rsid w:val="3DF12CFC"/>
    <w:rsid w:val="429A4992"/>
    <w:rsid w:val="43B25DAC"/>
    <w:rsid w:val="46202E1C"/>
    <w:rsid w:val="4DCD6AB3"/>
    <w:rsid w:val="50540C20"/>
    <w:rsid w:val="51AC28BD"/>
    <w:rsid w:val="54023672"/>
    <w:rsid w:val="555B5FCF"/>
    <w:rsid w:val="611B6B1B"/>
    <w:rsid w:val="62695F9A"/>
    <w:rsid w:val="64133D6A"/>
    <w:rsid w:val="678E4F5D"/>
    <w:rsid w:val="6AE809B5"/>
    <w:rsid w:val="6D746521"/>
    <w:rsid w:val="6DE375E4"/>
    <w:rsid w:val="6DE534BC"/>
    <w:rsid w:val="71584067"/>
    <w:rsid w:val="71DC3C83"/>
    <w:rsid w:val="750117A8"/>
    <w:rsid w:val="76447599"/>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6"/>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7618</Words>
  <Characters>7931</Characters>
  <Lines>0</Lines>
  <Paragraphs>0</Paragraphs>
  <TotalTime>0</TotalTime>
  <ScaleCrop>false</ScaleCrop>
  <LinksUpToDate>false</LinksUpToDate>
  <CharactersWithSpaces>8859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cp:lastPrinted>2023-08-11T00:38:00Z</cp:lastPrinted>
  <dcterms:modified xsi:type="dcterms:W3CDTF">2023-09-01T03:28:24Z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