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napToGrid w:val="0"/>
        <w:jc w:val="center"/>
        <w:rPr>
          <w:rFonts w:ascii="Arial" w:hAnsi="Arial" w:eastAsia="方正小标宋简体" w:cs="Arial"/>
          <w:color w:val="auto"/>
          <w:sz w:val="72"/>
          <w:szCs w:val="72"/>
        </w:rPr>
      </w:pPr>
      <w:bookmarkStart w:id="0" w:name="_Toc16523570"/>
    </w:p>
    <w:p>
      <w:pPr>
        <w:pStyle w:val="13"/>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3"/>
        <w:snapToGrid w:val="0"/>
        <w:jc w:val="center"/>
        <w:rPr>
          <w:rFonts w:ascii="Arial" w:hAnsi="Arial" w:eastAsia="方正小标宋简体" w:cs="Arial"/>
          <w:sz w:val="72"/>
          <w:szCs w:val="72"/>
        </w:rPr>
      </w:pPr>
    </w:p>
    <w:p>
      <w:pPr>
        <w:pStyle w:val="13"/>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pStyle w:val="13"/>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（口腔颌面锥形束计算机体层摄影设备（CBCT）</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议价</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lang w:val="en-US" w:eastAsia="zh-CN"/>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口腔颌面锥形束计算机体层摄影设备（CBCT）</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3"/>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口腔颌面锥形束计算机体层摄影设备（CBCT）</w:t>
      </w:r>
      <w:r>
        <w:rPr>
          <w:rFonts w:hint="eastAsia" w:asciiTheme="minorEastAsia" w:hAnsiTheme="minorEastAsia" w:eastAsiaTheme="minorEastAsia" w:cstheme="minorEastAsia"/>
          <w:b w:val="0"/>
          <w:bCs/>
          <w:color w:val="auto"/>
          <w:sz w:val="24"/>
          <w:szCs w:val="24"/>
          <w:lang w:val="en-US" w:eastAsia="zh-CN"/>
        </w:rPr>
        <w:t>采购项目</w:t>
      </w:r>
    </w:p>
    <w:p>
      <w:pPr>
        <w:pStyle w:val="13"/>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3"/>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院内议价，按招标文件评分规则进行评审，以评审结果排序，综合评分得分相同的，按投标报价由低到高顺序排列，得分且投标报价相同的，按技术指标优劣顺序排列。</w:t>
      </w:r>
    </w:p>
    <w:bookmarkEnd w:id="0"/>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6、投标人具备湖南省政府采购电子卖场资格，中标人在议价公示后三个工作日内需配合医院完成湖南省政府采购电子卖场直购程序。</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1、投标截止时间、开标时间：具体时间电话通知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3"/>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4"/>
        <w:rPr>
          <w:rFonts w:hint="eastAsia"/>
          <w:lang w:val="en-US" w:eastAsia="zh-CN"/>
        </w:rPr>
      </w:pPr>
    </w:p>
    <w:p>
      <w:pPr>
        <w:pStyle w:val="14"/>
        <w:jc w:val="both"/>
        <w:rPr>
          <w:rFonts w:hint="default"/>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4"/>
        <w:rPr>
          <w:rFonts w:hint="eastAsia" w:ascii="宋体" w:hAnsi="宋体" w:cs="宋体"/>
          <w:b/>
          <w:bCs/>
          <w:color w:val="auto"/>
          <w:sz w:val="44"/>
          <w:szCs w:val="44"/>
          <w:lang w:val="en-US" w:eastAsia="zh-CN"/>
        </w:rPr>
      </w:pPr>
    </w:p>
    <w:p>
      <w:pPr>
        <w:pStyle w:val="6"/>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2"/>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lang w:val="en-US" w:eastAsia="zh-CN"/>
        </w:rPr>
      </w:pPr>
    </w:p>
    <w:p>
      <w:pPr>
        <w:pStyle w:val="13"/>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1721"/>
        <w:gridCol w:w="1710"/>
        <w:gridCol w:w="2134"/>
        <w:gridCol w:w="27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172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7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134"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95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1721"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口腔颌面锥形束计算机体层摄影设备（CBCT）</w:t>
            </w:r>
          </w:p>
        </w:tc>
        <w:tc>
          <w:tcPr>
            <w:tcW w:w="1710"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134"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35</w:t>
            </w:r>
          </w:p>
        </w:tc>
        <w:tc>
          <w:tcPr>
            <w:tcW w:w="2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p>
      <w:pPr>
        <w:spacing w:line="360" w:lineRule="auto"/>
        <w:ind w:firstLine="422" w:firstLineChars="200"/>
        <w:rPr>
          <w:rFonts w:hint="eastAsia"/>
          <w:b/>
          <w:bCs/>
          <w:lang w:val="en-US" w:eastAsia="zh-CN"/>
        </w:rPr>
      </w:pPr>
      <w:r>
        <w:rPr>
          <w:rFonts w:hint="eastAsia"/>
          <w:b/>
          <w:bCs/>
          <w:lang w:val="en-US" w:eastAsia="zh-CN"/>
        </w:rPr>
        <w:t>技术参数：</w:t>
      </w: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（一）</w:t>
      </w:r>
      <w:r>
        <w:rPr>
          <w:rFonts w:hint="eastAsia" w:ascii="宋体" w:hAnsi="宋体" w:eastAsia="宋体" w:cs="宋体"/>
          <w:b/>
          <w:sz w:val="24"/>
          <w:szCs w:val="24"/>
        </w:rPr>
        <w:t>技术指标</w:t>
      </w: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sz w:val="24"/>
          <w:szCs w:val="24"/>
        </w:rPr>
      </w:pPr>
      <w:r>
        <w:rPr>
          <w:rFonts w:hint="eastAsia" w:ascii="宋体" w:hAnsi="宋体" w:eastAsia="宋体" w:cs="宋体"/>
          <w:b/>
          <w:bCs/>
          <w:kern w:val="0"/>
          <w:sz w:val="24"/>
          <w:szCs w:val="24"/>
        </w:rPr>
        <w:t>1.X射线球管技术参数</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1.1射线管电流：2~10mA， 电流值可调</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1.2射线管电压：60~90kV，电压值可调</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sz w:val="24"/>
          <w:szCs w:val="24"/>
        </w:rPr>
        <w:t>1.3原装进口球管</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kern w:val="0"/>
          <w:sz w:val="24"/>
          <w:szCs w:val="24"/>
        </w:rPr>
      </w:pPr>
      <w:r>
        <w:rPr>
          <w:rFonts w:hint="eastAsia" w:ascii="宋体" w:hAnsi="宋体" w:eastAsia="宋体" w:cs="宋体"/>
          <w:sz w:val="24"/>
          <w:szCs w:val="24"/>
        </w:rPr>
        <w:t>1.4球管焦点尺寸</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w:t>
      </w:r>
      <w:r>
        <w:rPr>
          <w:rFonts w:hint="eastAsia" w:ascii="宋体" w:hAnsi="宋体" w:eastAsia="宋体" w:cs="宋体"/>
          <w:kern w:val="0"/>
          <w:sz w:val="24"/>
          <w:szCs w:val="24"/>
        </w:rPr>
        <w:t>0.5mm×0.5mm</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1.5球管热容量 ：≥</w:t>
      </w:r>
      <w:r>
        <w:rPr>
          <w:rFonts w:hint="eastAsia" w:ascii="宋体" w:hAnsi="宋体" w:eastAsia="宋体" w:cs="宋体"/>
          <w:color w:val="000000"/>
          <w:kern w:val="0"/>
          <w:sz w:val="24"/>
          <w:szCs w:val="24"/>
          <w:lang w:val="en-US" w:eastAsia="zh-CN"/>
        </w:rPr>
        <w:t>350</w:t>
      </w:r>
      <w:r>
        <w:rPr>
          <w:rFonts w:hint="eastAsia" w:ascii="宋体" w:hAnsi="宋体" w:eastAsia="宋体" w:cs="宋体"/>
          <w:color w:val="000000"/>
          <w:kern w:val="0"/>
          <w:sz w:val="24"/>
          <w:szCs w:val="24"/>
        </w:rPr>
        <w:t>KJ</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2.射源装置参数</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kern w:val="0"/>
          <w:sz w:val="24"/>
          <w:szCs w:val="24"/>
        </w:rPr>
        <w:t>2.1</w:t>
      </w:r>
      <w:r>
        <w:rPr>
          <w:rFonts w:hint="eastAsia" w:ascii="宋体" w:hAnsi="宋体" w:eastAsia="宋体" w:cs="宋体"/>
          <w:color w:val="000000"/>
          <w:sz w:val="24"/>
          <w:szCs w:val="24"/>
        </w:rPr>
        <w:t>混合脉冲射源技术：可实现直流模式和脉冲模式自由切换，CT拍摄脉冲曝光时间</w:t>
      </w:r>
      <w:r>
        <w:rPr>
          <w:rFonts w:hint="eastAsia" w:ascii="宋体" w:hAnsi="宋体" w:eastAsia="宋体" w:cs="宋体"/>
          <w:color w:val="000000"/>
          <w:kern w:val="0"/>
          <w:sz w:val="24"/>
          <w:szCs w:val="24"/>
        </w:rPr>
        <w:t>≤8</w:t>
      </w:r>
      <w:r>
        <w:rPr>
          <w:rFonts w:hint="eastAsia" w:ascii="宋体" w:hAnsi="宋体" w:eastAsia="宋体" w:cs="宋体"/>
          <w:color w:val="000000"/>
          <w:sz w:val="24"/>
          <w:szCs w:val="24"/>
        </w:rPr>
        <w:t>s</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sz w:val="24"/>
          <w:szCs w:val="24"/>
        </w:rPr>
      </w:pP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2" w:firstLineChars="200"/>
        <w:textAlignment w:val="bottom"/>
        <w:outlineLvl w:val="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3.CT探测器技术参数</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w:t>
      </w:r>
      <w:r>
        <w:rPr>
          <w:rFonts w:hint="eastAsia" w:ascii="宋体" w:hAnsi="宋体" w:eastAsia="宋体" w:cs="宋体"/>
          <w:color w:val="000000"/>
          <w:kern w:val="0"/>
          <w:sz w:val="24"/>
          <w:szCs w:val="24"/>
        </w:rPr>
        <w:t xml:space="preserve">3.1 探测器类型：进口CMOS动态平板探测器     </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 探测器面积：≥14mm ×11mm</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 探测器像素尺寸：≤100μm</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3.4灰阶：≥16bit</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kern w:val="0"/>
          <w:sz w:val="24"/>
          <w:szCs w:val="24"/>
        </w:rPr>
      </w:pP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4.全景及正侧位</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4.</w:t>
      </w:r>
      <w:r>
        <w:rPr>
          <w:rFonts w:hint="eastAsia" w:ascii="宋体" w:hAnsi="宋体" w:eastAsia="宋体" w:cs="宋体"/>
          <w:color w:val="000000"/>
          <w:kern w:val="0"/>
          <w:sz w:val="24"/>
          <w:szCs w:val="24"/>
        </w:rPr>
        <w:t>1探测器类型：CMOS动态平板探测器</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4.2正侧位探测器尺寸： ≥ 220mm×6mm</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5.整机性能</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5.1立柱升降行程：≥720mm</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5.2保护装置： 具备行程自动保护装置</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 投照定位方式：坐式或站式定位</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kern w:val="0"/>
          <w:sz w:val="24"/>
          <w:szCs w:val="24"/>
        </w:rPr>
      </w:pP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6.图像性能</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kern w:val="0"/>
          <w:sz w:val="24"/>
          <w:szCs w:val="24"/>
        </w:rPr>
        <w:t>6.1CT有效</w:t>
      </w:r>
      <w:r>
        <w:rPr>
          <w:rFonts w:hint="eastAsia" w:ascii="宋体" w:hAnsi="宋体" w:eastAsia="宋体" w:cs="宋体"/>
          <w:sz w:val="24"/>
          <w:szCs w:val="24"/>
        </w:rPr>
        <w:t xml:space="preserve">成像视野（非融合数据） </w:t>
      </w:r>
      <w:r>
        <w:rPr>
          <w:rFonts w:hint="eastAsia" w:ascii="宋体" w:hAnsi="宋体" w:eastAsia="宋体" w:cs="宋体"/>
          <w:kern w:val="0"/>
          <w:sz w:val="24"/>
          <w:szCs w:val="24"/>
        </w:rPr>
        <w:t>≥</w:t>
      </w:r>
      <w:r>
        <w:rPr>
          <w:rFonts w:hint="eastAsia" w:ascii="宋体" w:hAnsi="宋体" w:eastAsia="宋体" w:cs="宋体"/>
          <w:sz w:val="24"/>
          <w:szCs w:val="24"/>
        </w:rPr>
        <w:t>15×10.5cm(Φ × H)</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6.2全景图像高度 ≥10.9cm</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kern w:val="0"/>
          <w:sz w:val="24"/>
          <w:szCs w:val="24"/>
        </w:rPr>
      </w:pPr>
      <w:r>
        <w:rPr>
          <w:rFonts w:hint="eastAsia" w:ascii="宋体" w:hAnsi="宋体" w:eastAsia="宋体" w:cs="宋体"/>
          <w:kern w:val="0"/>
          <w:sz w:val="24"/>
          <w:szCs w:val="24"/>
        </w:rPr>
        <w:t>6.3 CT最高分辨率  ≤70μm</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color w:val="0000FF"/>
          <w:sz w:val="24"/>
          <w:szCs w:val="24"/>
        </w:rPr>
      </w:pP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2" w:firstLineChars="200"/>
        <w:textAlignment w:val="bottom"/>
        <w:outlineLvl w:val="0"/>
        <w:rPr>
          <w:rFonts w:hint="eastAsia" w:ascii="宋体" w:hAnsi="宋体" w:eastAsia="宋体" w:cs="宋体"/>
          <w:b/>
          <w:sz w:val="24"/>
          <w:szCs w:val="24"/>
        </w:rPr>
      </w:pPr>
      <w:r>
        <w:rPr>
          <w:rFonts w:hint="eastAsia" w:ascii="宋体" w:hAnsi="宋体" w:eastAsia="宋体" w:cs="宋体"/>
          <w:b/>
          <w:kern w:val="0"/>
          <w:sz w:val="24"/>
          <w:szCs w:val="24"/>
        </w:rPr>
        <w:t>（二）</w:t>
      </w:r>
      <w:r>
        <w:rPr>
          <w:rFonts w:hint="eastAsia" w:ascii="宋体" w:hAnsi="宋体" w:eastAsia="宋体" w:cs="宋体"/>
          <w:b/>
          <w:sz w:val="24"/>
          <w:szCs w:val="24"/>
        </w:rPr>
        <w:t>软件功能要求</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1.具有CT、全景、头颅正/侧位片和局部CT独立拍摄功能</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2.多平面重建：任意位置、任意方向观察患者切面影像</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b/>
          <w:kern w:val="0"/>
          <w:sz w:val="24"/>
          <w:szCs w:val="24"/>
        </w:rPr>
      </w:pPr>
      <w:r>
        <w:rPr>
          <w:rFonts w:hint="eastAsia" w:ascii="宋体" w:hAnsi="宋体" w:eastAsia="宋体" w:cs="宋体"/>
          <w:sz w:val="24"/>
          <w:szCs w:val="24"/>
        </w:rPr>
        <w:t>3. 三维显示：两种成像模式：VR(容积漫游成像）能显示成像轮廓和边缘，成像空间立体感强；MIP（最大密度投影），可以透明观察内部结构。</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b/>
          <w:kern w:val="0"/>
          <w:sz w:val="24"/>
          <w:szCs w:val="24"/>
        </w:rPr>
      </w:pPr>
      <w:r>
        <w:rPr>
          <w:rFonts w:hint="eastAsia" w:ascii="宋体" w:hAnsi="宋体" w:eastAsia="宋体" w:cs="宋体"/>
          <w:sz w:val="24"/>
          <w:szCs w:val="24"/>
        </w:rPr>
        <w:t>4.测量：可实现一键定位，任意角度观察，测量，标记</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kern w:val="0"/>
          <w:sz w:val="24"/>
          <w:szCs w:val="24"/>
        </w:rPr>
        <w:t>5</w:t>
      </w:r>
      <w:r>
        <w:rPr>
          <w:rFonts w:hint="eastAsia" w:ascii="宋体" w:hAnsi="宋体" w:eastAsia="宋体" w:cs="宋体"/>
          <w:sz w:val="24"/>
          <w:szCs w:val="24"/>
        </w:rPr>
        <w:t>.三维全景：可实现三维全景影像，设置观察窗，联动展示轴状面、矢状面、冠状面影像。</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5.1三维定向观察： 可以任意一点为圆心定向旋转观察三维影像</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6.智能神经管标记：可一键自动生成双侧神经管</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7.颞颌关节：设置独立颞颌关节观察模块，可一键定位双侧颞颌关节影像，实现2D、3D左右颞颌关节影像，提供多角度切片观察</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8.虚拟种植：提供丰富的种植体库，可在任意切面模拟种植</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8.1种植体3D定点观察：在三维影像上，以植体为中心，一键自动旋转查看种植体三维组织关系</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kern w:val="0"/>
          <w:sz w:val="24"/>
          <w:szCs w:val="24"/>
        </w:rPr>
        <w:t>8</w:t>
      </w:r>
      <w:r>
        <w:rPr>
          <w:rFonts w:hint="eastAsia" w:ascii="宋体" w:hAnsi="宋体" w:eastAsia="宋体" w:cs="宋体"/>
          <w:sz w:val="24"/>
          <w:szCs w:val="24"/>
        </w:rPr>
        <w:t>.2牙冠模拟：以修复为导向，可模拟种植基台和牙冠</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8.3种植体预警：虚拟种植时，种植体与神经管的距离低于安全范围可自动预警</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9.人工智能气道分析： 可分段量化气道容积、面积数据，可自动显示气道狭窄范围，计算最小横截面面积</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10.三维正畸：预设三维正畸模块，一键可生成全景、正/侧位片，可供三维头影测量分析</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11.虚拟内窥镜：模拟内窥镜模式下，可实现神经管、根管等腔体的内部结构3D观察</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r>
        <w:rPr>
          <w:rFonts w:hint="eastAsia" w:ascii="宋体" w:hAnsi="宋体" w:eastAsia="宋体" w:cs="宋体"/>
          <w:color w:val="000000"/>
          <w:sz w:val="24"/>
          <w:szCs w:val="24"/>
        </w:rPr>
        <w:t>.智能正畸测量分析系统：可一键自动标记60个分析点、150个以上测量项目，提供20种以上测量分析方法，支持个性化的测量分析方法，一键生成分析报告，支持诊疗各阶段的轮廓对比，支持可视化矫正模拟。</w:t>
      </w:r>
    </w:p>
    <w:p>
      <w:pPr>
        <w:keepNext w:val="0"/>
        <w:keepLines w:val="0"/>
        <w:pageBreakBefore w:val="0"/>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连接我院</w:t>
      </w:r>
      <w:r>
        <w:rPr>
          <w:rFonts w:hint="eastAsia" w:ascii="宋体" w:hAnsi="宋体" w:eastAsia="宋体" w:cs="宋体"/>
          <w:sz w:val="24"/>
          <w:szCs w:val="24"/>
          <w:lang w:bidi="ar"/>
        </w:rPr>
        <w:t>PACS系统</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接口费由经销商承担。</w:t>
      </w:r>
      <w:r>
        <w:rPr>
          <w:rFonts w:hint="eastAsia" w:ascii="宋体" w:hAnsi="宋体" w:eastAsia="宋体" w:cs="宋体"/>
          <w:sz w:val="24"/>
          <w:szCs w:val="24"/>
          <w:lang w:bidi="ar"/>
        </w:rPr>
        <w:t>可选择自带图像管理软件。</w:t>
      </w:r>
    </w:p>
    <w:p>
      <w:pPr>
        <w:keepNext w:val="0"/>
        <w:keepLines w:val="0"/>
        <w:pageBreakBefore w:val="0"/>
        <w:kinsoku/>
        <w:wordWrap/>
        <w:overflowPunct/>
        <w:topLinePunct w:val="0"/>
        <w:bidi w:val="0"/>
        <w:adjustRightInd/>
        <w:snapToGrid/>
        <w:spacing w:line="240" w:lineRule="auto"/>
        <w:ind w:right="0" w:righ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三、工控机配置要求</w:t>
      </w:r>
      <w:r>
        <w:rPr>
          <w:rFonts w:hint="eastAsia" w:ascii="宋体" w:hAnsi="宋体" w:eastAsia="宋体" w:cs="宋体"/>
          <w:b/>
          <w:bCs/>
          <w:sz w:val="24"/>
          <w:szCs w:val="24"/>
        </w:rPr>
        <w:tab/>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1.主机 一套</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2.计算机要求配置：</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塔式机箱含超</w:t>
      </w:r>
      <w:r>
        <w:rPr>
          <w:rFonts w:hint="eastAsia" w:ascii="宋体" w:hAnsi="宋体" w:eastAsia="宋体" w:cs="宋体"/>
          <w:sz w:val="24"/>
          <w:szCs w:val="24"/>
          <w:lang w:val="en-US" w:eastAsia="zh-CN"/>
        </w:rPr>
        <w:t>薄</w:t>
      </w:r>
      <w:r>
        <w:rPr>
          <w:rFonts w:hint="eastAsia" w:ascii="宋体" w:hAnsi="宋体" w:eastAsia="宋体" w:cs="宋体"/>
          <w:sz w:val="24"/>
          <w:szCs w:val="24"/>
        </w:rPr>
        <w:t>DVD</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400W工业电源/主板</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处理器：I5-6500 CPU及以上配置       内存：</w:t>
      </w:r>
      <w:r>
        <w:rPr>
          <w:rFonts w:hint="eastAsia" w:ascii="宋体" w:hAnsi="宋体" w:eastAsia="宋体" w:cs="宋体"/>
          <w:kern w:val="0"/>
          <w:sz w:val="24"/>
          <w:szCs w:val="24"/>
        </w:rPr>
        <w:t>≥</w:t>
      </w:r>
      <w:r>
        <w:rPr>
          <w:rFonts w:hint="eastAsia" w:ascii="宋体" w:hAnsi="宋体" w:eastAsia="宋体" w:cs="宋体"/>
          <w:sz w:val="24"/>
          <w:szCs w:val="24"/>
        </w:rPr>
        <w:t>8G运行内       存储：</w:t>
      </w:r>
      <w:r>
        <w:rPr>
          <w:rFonts w:hint="eastAsia" w:ascii="宋体" w:hAnsi="宋体" w:eastAsia="宋体" w:cs="宋体"/>
          <w:kern w:val="0"/>
          <w:sz w:val="24"/>
          <w:szCs w:val="24"/>
        </w:rPr>
        <w:t>≥</w:t>
      </w:r>
      <w:r>
        <w:rPr>
          <w:rFonts w:hint="eastAsia" w:ascii="宋体" w:hAnsi="宋体" w:eastAsia="宋体" w:cs="宋体"/>
          <w:sz w:val="24"/>
          <w:szCs w:val="24"/>
        </w:rPr>
        <w:t>1T存储</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网卡：配备英特尔独立千兆网卡        显卡：不低于GTX-1650独立显卡</w:t>
      </w:r>
    </w:p>
    <w:p>
      <w:pPr>
        <w:keepNext w:val="0"/>
        <w:keepLines w:val="0"/>
        <w:pageBreakBefore w:val="0"/>
        <w:kinsoku/>
        <w:wordWrap/>
        <w:overflowPunct/>
        <w:topLinePunct w:val="0"/>
        <w:bidi w:val="0"/>
        <w:adjustRightInd/>
        <w:snapToGrid/>
        <w:spacing w:line="240" w:lineRule="auto"/>
        <w:ind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显示器：不低于24“彩色显示器        系统：配备正版WIN10企业版系统</w:t>
      </w:r>
    </w:p>
    <w:p>
      <w:pPr>
        <w:keepNext w:val="0"/>
        <w:keepLines w:val="0"/>
        <w:pageBreakBefore w:val="0"/>
        <w:widowControl/>
        <w:tabs>
          <w:tab w:val="left" w:pos="567"/>
        </w:tabs>
        <w:kinsoku/>
        <w:wordWrap/>
        <w:overflowPunct/>
        <w:topLinePunct w:val="0"/>
        <w:autoSpaceDE w:val="0"/>
        <w:autoSpaceDN w:val="0"/>
        <w:bidi w:val="0"/>
        <w:adjustRightInd/>
        <w:snapToGrid/>
        <w:spacing w:line="240" w:lineRule="auto"/>
        <w:ind w:right="0" w:rightChars="0" w:firstLine="480" w:firstLineChars="200"/>
        <w:textAlignment w:val="bottom"/>
        <w:outlineLvl w:val="0"/>
        <w:rPr>
          <w:rFonts w:hint="eastAsia" w:ascii="宋体" w:hAnsi="宋体" w:eastAsia="宋体" w:cs="宋体"/>
          <w:kern w:val="0"/>
          <w:sz w:val="24"/>
          <w:szCs w:val="24"/>
        </w:rPr>
      </w:pPr>
      <w:r>
        <w:rPr>
          <w:rFonts w:hint="eastAsia" w:ascii="宋体" w:hAnsi="宋体" w:eastAsia="宋体" w:cs="宋体"/>
          <w:kern w:val="0"/>
          <w:sz w:val="24"/>
          <w:szCs w:val="24"/>
        </w:rPr>
        <w:t>3.上位机软件控制口腔影像板扫描仪 一套</w:t>
      </w:r>
    </w:p>
    <w:p>
      <w:pPr>
        <w:rPr>
          <w:rFonts w:hint="eastAsia"/>
          <w:lang w:val="en-US" w:eastAsia="zh-CN"/>
        </w:rPr>
      </w:pPr>
    </w:p>
    <w:p>
      <w:pPr>
        <w:ind w:firstLine="482" w:firstLineChars="200"/>
        <w:rPr>
          <w:rFonts w:hint="eastAsia"/>
          <w:lang w:val="en-US" w:eastAsia="zh-CN"/>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*5、质保与售后：整机保修3年，终身维修。验收时出具原厂售后质保承诺书，质保期内每年巡检一次，并提交巡检记录。质保期内出现故障，24小时响应，响应后4小时上门服务。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*6、在投标文件中必须提供相关佐证资料（加盖原厂公章的技术参数、技术白皮书、说明书、彩页），并在响应表中备注该条参数响应或正偏离的佐证资料所在页码。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kinsoku/>
        <w:wordWrap/>
        <w:overflowPunct/>
        <w:topLinePunct w:val="0"/>
        <w:autoSpaceDE/>
        <w:autoSpaceDN/>
        <w:bidi w:val="0"/>
        <w:adjustRightInd/>
        <w:snapToGrid/>
        <w:spacing w:line="460" w:lineRule="exact"/>
        <w:ind w:left="5040" w:hanging="4320" w:hangingChars="1800"/>
        <w:jc w:val="left"/>
        <w:textAlignment w:val="auto"/>
        <w:rPr>
          <w:rFonts w:hint="default" w:ascii="宋体" w:hAnsi="宋体" w:eastAsia="宋体" w:cs="宋体"/>
          <w:color w:val="auto"/>
          <w:sz w:val="24"/>
          <w:szCs w:val="24"/>
          <w:lang w:val="en-US" w:eastAsia="zh-CN"/>
        </w:rPr>
      </w:pPr>
      <w:bookmarkStart w:id="5" w:name="_GoBack"/>
      <w:bookmarkEnd w:id="5"/>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口腔颌面锥形束计算机体层摄影设备（CBCT）</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口腔颌面锥形束计算机体层摄影设备（CBCT）</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1053"/>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84"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053"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68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宋体" w:hAnsi="宋体" w:eastAsia="宋体" w:cs="宋体"/>
                <w:color w:val="000000" w:themeColor="text1"/>
                <w:kern w:val="0"/>
                <w:sz w:val="18"/>
                <w:szCs w:val="18"/>
                <w:lang w:val="en-US" w:eastAsia="zh-CN"/>
                <w14:textFill>
                  <w14:solidFill>
                    <w14:schemeClr w14:val="tx1"/>
                  </w14:solidFill>
                </w14:textFill>
              </w:rPr>
              <w:t>口腔颌面锥形束计算机体层摄影设备（CBCT）</w:t>
            </w:r>
          </w:p>
        </w:tc>
        <w:tc>
          <w:tcPr>
            <w:tcW w:w="105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76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c>
          <w:tcPr>
            <w:tcW w:w="94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1台</w:t>
            </w:r>
          </w:p>
        </w:tc>
        <w:tc>
          <w:tcPr>
            <w:tcW w:w="1654"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合计</w:t>
            </w:r>
            <w:r>
              <w:rPr>
                <w:rFonts w:hint="eastAsia" w:ascii="宋体" w:hAnsi="宋体" w:eastAsia="宋体" w:cs="宋体"/>
                <w:color w:val="000000" w:themeColor="text1"/>
                <w:kern w:val="0"/>
                <w:sz w:val="21"/>
                <w:szCs w:val="21"/>
                <w:lang w:eastAsia="zh-CN"/>
                <w14:textFill>
                  <w14:solidFill>
                    <w14:schemeClr w14:val="tx1"/>
                  </w14:solidFill>
                </w14:textFill>
              </w:rPr>
              <w:t>价款</w:t>
            </w:r>
            <w:r>
              <w:rPr>
                <w:rFonts w:hint="eastAsia" w:ascii="宋体" w:hAnsi="宋体" w:eastAsia="宋体" w:cs="宋体"/>
                <w:color w:val="000000" w:themeColor="text1"/>
                <w:kern w:val="0"/>
                <w:sz w:val="21"/>
                <w:szCs w:val="21"/>
                <w14:textFill>
                  <w14:solidFill>
                    <w14:schemeClr w14:val="tx1"/>
                  </w14:solidFill>
                </w14:textFill>
              </w:rPr>
              <w:t>金额（大写）：</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eastAsia="zh-CN"/>
                <w14:textFill>
                  <w14:solidFill>
                    <w14:schemeClr w14:val="tx1"/>
                  </w14:solidFill>
                </w14:textFill>
              </w:rPr>
              <w:t>元</w:t>
            </w: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整      </w:t>
            </w:r>
            <w:r>
              <w:rPr>
                <w:rFonts w:hint="eastAsia" w:ascii="宋体" w:hAnsi="宋体" w:eastAsia="宋体" w:cs="宋体"/>
                <w:color w:val="000000" w:themeColor="text1"/>
                <w:kern w:val="0"/>
                <w:sz w:val="21"/>
                <w:szCs w:val="21"/>
                <w14:textFill>
                  <w14:solidFill>
                    <w14:schemeClr w14:val="tx1"/>
                  </w14:solidFill>
                </w14:textFill>
              </w:rPr>
              <w:t>人民币（小写）：</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运输、装卸、培训、安装调试由</w:t>
      </w:r>
      <w:r>
        <w:rPr>
          <w:rFonts w:hint="eastAsia" w:ascii="宋体" w:hAnsi="宋体" w:eastAsia="宋体" w:cs="宋体"/>
          <w:color w:val="0000FF"/>
          <w:sz w:val="24"/>
          <w:szCs w:val="24"/>
          <w:highlight w:val="none"/>
          <w:lang w:val="en-US" w:eastAsia="zh-CN"/>
        </w:rPr>
        <w:t>乙方</w:t>
      </w:r>
      <w:r>
        <w:rPr>
          <w:rFonts w:hint="eastAsia" w:ascii="宋体" w:hAnsi="宋体" w:eastAsia="宋体" w:cs="宋体"/>
          <w:color w:val="auto"/>
          <w:sz w:val="24"/>
          <w:szCs w:val="24"/>
          <w:highlight w:val="none"/>
        </w:rPr>
        <w:t>负责承担，最终通过使用科室、设备科及相关部门确认验收交付使用。</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1.5 因本设备接入甲方PACS系统所产生的全部接口费用（包括但不限于本设备软件商和PACS系统软件商收取的接口费）均由乙方承担。</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0000FF"/>
          <w:sz w:val="24"/>
          <w:lang w:val="en-US" w:eastAsia="zh-CN"/>
        </w:rPr>
        <w:t>并</w:t>
      </w:r>
      <w:r>
        <w:rPr>
          <w:rFonts w:hint="eastAsia" w:ascii="宋体" w:hAnsi="宋体" w:eastAsia="宋体" w:cs="宋体"/>
          <w:color w:val="0000FF"/>
          <w:sz w:val="24"/>
          <w:szCs w:val="24"/>
        </w:rPr>
        <w:t>出具原厂售后质保承诺书</w:t>
      </w:r>
      <w:r>
        <w:rPr>
          <w:rFonts w:hint="eastAsia" w:ascii="宋体" w:hAnsi="宋体" w:eastAsia="宋体" w:cs="宋体"/>
          <w:sz w:val="24"/>
        </w:rPr>
        <w:t>。</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24小时响应，响应后4小时上门服务</w:t>
      </w:r>
      <w:r>
        <w:rPr>
          <w:rFonts w:hint="eastAsia" w:ascii="宋体" w:hAnsi="宋体" w:eastAsia="宋体" w:cs="宋体"/>
          <w:color w:val="auto"/>
          <w:sz w:val="24"/>
          <w:szCs w:val="24"/>
          <w:lang w:val="en-US" w:eastAsia="zh-CN"/>
        </w:rPr>
        <w:t>，相关费用由乙方承担。如乙方不及时履行保修义务，甲方有权委托第三方进行维修，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w:t>
      </w:r>
      <w:r>
        <w:rPr>
          <w:rFonts w:hint="eastAsia" w:ascii="宋体" w:hAnsi="宋体" w:cs="宋体"/>
          <w:color w:val="0000FF"/>
          <w:sz w:val="24"/>
          <w:szCs w:val="24"/>
          <w:lang w:val="en-US" w:eastAsia="zh-CN"/>
        </w:rPr>
        <w:t>一</w:t>
      </w:r>
      <w:r>
        <w:rPr>
          <w:rFonts w:hint="eastAsia" w:ascii="宋体" w:hAnsi="宋体" w:eastAsia="宋体" w:cs="宋体"/>
          <w:color w:val="auto"/>
          <w:sz w:val="24"/>
          <w:szCs w:val="24"/>
          <w:lang w:val="en-US" w:eastAsia="zh-CN"/>
        </w:rPr>
        <w:t>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color w:val="auto"/>
          <w:sz w:val="32"/>
          <w:szCs w:val="32"/>
        </w:rPr>
      </w:pPr>
      <w:r>
        <w:rPr>
          <w:rFonts w:hint="eastAsia" w:ascii="宋体" w:hAnsi="宋体" w:cs="宋体"/>
          <w:b/>
          <w:color w:val="auto"/>
          <w:sz w:val="32"/>
          <w:szCs w:val="32"/>
        </w:rPr>
        <w:t>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903"/>
        <w:gridCol w:w="1245"/>
        <w:gridCol w:w="6318"/>
        <w:gridCol w:w="80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序号</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评审项目</w:t>
            </w:r>
          </w:p>
        </w:tc>
        <w:tc>
          <w:tcPr>
            <w:tcW w:w="3171" w:type="pct"/>
            <w:noWrap w:val="0"/>
            <w:vAlign w:val="center"/>
          </w:tcPr>
          <w:p>
            <w:pPr>
              <w:ind w:left="480"/>
              <w:jc w:val="center"/>
              <w:rPr>
                <w:rFonts w:hint="eastAsia" w:ascii="宋体" w:hAnsi="宋体" w:cs="宋体"/>
                <w:color w:val="auto"/>
                <w:sz w:val="24"/>
                <w:szCs w:val="24"/>
              </w:rPr>
            </w:pPr>
            <w:r>
              <w:rPr>
                <w:rFonts w:hint="eastAsia" w:ascii="宋体" w:hAnsi="宋体" w:cs="宋体"/>
                <w:color w:val="auto"/>
                <w:sz w:val="24"/>
                <w:szCs w:val="24"/>
              </w:rPr>
              <w:t>评审标准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1</w:t>
            </w:r>
          </w:p>
        </w:tc>
        <w:tc>
          <w:tcPr>
            <w:tcW w:w="1078" w:type="pct"/>
            <w:gridSpan w:val="2"/>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价格</w:t>
            </w:r>
          </w:p>
          <w:p>
            <w:pPr>
              <w:jc w:val="center"/>
              <w:rPr>
                <w:rFonts w:hint="eastAsia"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4</w:t>
            </w:r>
            <w:r>
              <w:rPr>
                <w:rFonts w:hint="eastAsia" w:ascii="宋体" w:hAnsi="宋体" w:cs="宋体"/>
                <w:color w:val="auto"/>
                <w:sz w:val="24"/>
                <w:szCs w:val="24"/>
              </w:rPr>
              <w:t>0分）</w:t>
            </w:r>
          </w:p>
        </w:tc>
        <w:tc>
          <w:tcPr>
            <w:tcW w:w="3171" w:type="pct"/>
            <w:noWrap w:val="0"/>
            <w:vAlign w:val="center"/>
          </w:tcPr>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0</w:t>
            </w:r>
            <w:r>
              <w:rPr>
                <w:rFonts w:hint="eastAsia" w:ascii="宋体" w:hAnsi="宋体" w:eastAsia="宋体" w:cs="Times New Roman"/>
                <w:color w:val="auto"/>
                <w:sz w:val="24"/>
                <w:szCs w:val="24"/>
              </w:rPr>
              <w:t>。</w:t>
            </w:r>
          </w:p>
          <w:p>
            <w:pPr>
              <w:rPr>
                <w:rFonts w:hint="eastAsia"/>
                <w:color w:val="auto"/>
                <w:sz w:val="24"/>
                <w:szCs w:val="24"/>
              </w:rPr>
            </w:pPr>
            <w:r>
              <w:rPr>
                <w:rFonts w:hint="eastAsia" w:ascii="宋体" w:hAnsi="宋体" w:eastAsia="宋体" w:cs="Times New Roman"/>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4"/>
                <w:szCs w:val="24"/>
              </w:rPr>
              <w:t>;</w:t>
            </w:r>
            <w:r>
              <w:rPr>
                <w:rFonts w:hint="eastAsia" w:ascii="宋体" w:hAnsi="宋体" w:eastAsia="宋体" w:cs="Times New Roman"/>
                <w:color w:val="auto"/>
                <w:sz w:val="24"/>
                <w:szCs w:val="24"/>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0-</w:t>
            </w:r>
            <w:r>
              <w:rPr>
                <w:rFonts w:hint="eastAsia" w:ascii="宋体" w:hAnsi="宋体" w:cs="宋体"/>
                <w:color w:val="auto"/>
                <w:sz w:val="24"/>
                <w:szCs w:val="24"/>
                <w:lang w:val="en-US" w:eastAsia="zh-CN"/>
              </w:rPr>
              <w:t>4</w:t>
            </w:r>
            <w:r>
              <w:rPr>
                <w:rFonts w:hint="eastAsia" w:ascii="宋体" w:hAnsi="宋体" w:cs="宋体"/>
                <w:color w:val="auto"/>
                <w:sz w:val="24"/>
                <w:szCs w:val="24"/>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2</w:t>
            </w:r>
          </w:p>
        </w:tc>
        <w:tc>
          <w:tcPr>
            <w:tcW w:w="453" w:type="pct"/>
            <w:vMerge w:val="restar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lang w:eastAsia="zh-CN"/>
              </w:rPr>
              <w:t>招标文件响应程度及服务方案</w:t>
            </w:r>
            <w:r>
              <w:rPr>
                <w:rFonts w:hint="eastAsia" w:ascii="宋体" w:hAnsi="宋体" w:cs="宋体"/>
                <w:color w:val="auto"/>
                <w:sz w:val="24"/>
                <w:szCs w:val="24"/>
              </w:rPr>
              <w:t>（</w:t>
            </w: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625" w:type="pct"/>
            <w:noWrap w:val="0"/>
            <w:vAlign w:val="center"/>
          </w:tcPr>
          <w:p>
            <w:pPr>
              <w:jc w:val="center"/>
              <w:rPr>
                <w:rFonts w:hint="eastAsia" w:ascii="宋体" w:hAnsi="宋体" w:cs="宋体"/>
                <w:color w:val="auto"/>
                <w:sz w:val="24"/>
                <w:szCs w:val="24"/>
              </w:rPr>
            </w:pPr>
            <w:r>
              <w:rPr>
                <w:rFonts w:ascii="宋体" w:hAnsi="宋体"/>
                <w:color w:val="auto"/>
                <w:sz w:val="24"/>
                <w:szCs w:val="24"/>
              </w:rPr>
              <w:t>对招标文件的响应程度</w:t>
            </w:r>
          </w:p>
        </w:tc>
        <w:tc>
          <w:tcPr>
            <w:tcW w:w="3171" w:type="pct"/>
            <w:noWrap w:val="0"/>
            <w:vAlign w:val="center"/>
          </w:tcPr>
          <w:p>
            <w:pPr>
              <w:rPr>
                <w:rFonts w:hint="eastAsia" w:ascii="宋体" w:hAnsi="宋体" w:cs="宋体"/>
                <w:color w:val="auto"/>
                <w:sz w:val="24"/>
                <w:szCs w:val="24"/>
              </w:rPr>
            </w:pPr>
            <w:r>
              <w:rPr>
                <w:rFonts w:hint="eastAsia" w:ascii="宋体" w:hAnsi="宋体"/>
                <w:color w:val="auto"/>
                <w:sz w:val="24"/>
                <w:szCs w:val="24"/>
              </w:rPr>
              <w:t>以招标文件格式为基础，根据投标文件制作的优劣，专家酌情打分，每有一处细微偏差扣1分，扣分最多不超过</w:t>
            </w:r>
            <w:r>
              <w:rPr>
                <w:rFonts w:hint="eastAsia" w:ascii="宋体" w:hAnsi="宋体"/>
                <w:color w:val="auto"/>
                <w:sz w:val="24"/>
                <w:szCs w:val="24"/>
                <w:lang w:val="en-US" w:eastAsia="zh-CN"/>
              </w:rPr>
              <w:t>2</w:t>
            </w:r>
            <w:r>
              <w:rPr>
                <w:rFonts w:hint="eastAsia" w:ascii="宋体" w:hAnsi="宋体"/>
                <w:color w:val="auto"/>
                <w:sz w:val="24"/>
                <w:szCs w:val="24"/>
              </w:rPr>
              <w:t>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4"/>
                <w:szCs w:val="24"/>
              </w:rPr>
            </w:pPr>
          </w:p>
        </w:tc>
        <w:tc>
          <w:tcPr>
            <w:tcW w:w="453" w:type="pct"/>
            <w:vMerge w:val="continue"/>
            <w:noWrap w:val="0"/>
            <w:vAlign w:val="center"/>
          </w:tcPr>
          <w:p>
            <w:pPr>
              <w:jc w:val="center"/>
              <w:rPr>
                <w:rFonts w:hint="eastAsia" w:ascii="宋体" w:hAnsi="宋体" w:cs="宋体"/>
                <w:color w:val="auto"/>
                <w:sz w:val="24"/>
                <w:szCs w:val="24"/>
              </w:rPr>
            </w:pPr>
          </w:p>
        </w:tc>
        <w:tc>
          <w:tcPr>
            <w:tcW w:w="625" w:type="pct"/>
            <w:noWrap w:val="0"/>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服务方案</w:t>
            </w:r>
          </w:p>
        </w:tc>
        <w:tc>
          <w:tcPr>
            <w:tcW w:w="3171" w:type="pct"/>
            <w:noWrap w:val="0"/>
            <w:vAlign w:val="center"/>
          </w:tcPr>
          <w:p>
            <w:pPr>
              <w:rPr>
                <w:rFonts w:hint="eastAsia" w:ascii="宋体" w:hAnsi="宋体" w:cs="Times New Roman"/>
                <w:color w:val="auto"/>
                <w:sz w:val="24"/>
                <w:szCs w:val="24"/>
              </w:rPr>
            </w:pPr>
            <w:r>
              <w:rPr>
                <w:rFonts w:hint="eastAsia" w:ascii="宋体" w:hAnsi="宋体" w:cs="Times New Roman"/>
                <w:color w:val="auto"/>
                <w:sz w:val="24"/>
                <w:szCs w:val="24"/>
                <w:lang w:val="en-US" w:eastAsia="zh-CN"/>
              </w:rPr>
              <w:t>1、</w:t>
            </w:r>
            <w:r>
              <w:rPr>
                <w:rFonts w:hint="eastAsia" w:ascii="宋体" w:hAnsi="宋体" w:cs="Times New Roman"/>
                <w:color w:val="auto"/>
                <w:sz w:val="24"/>
                <w:szCs w:val="24"/>
              </w:rPr>
              <w:t>能提供投标人</w:t>
            </w:r>
            <w:r>
              <w:rPr>
                <w:rFonts w:hint="eastAsia" w:ascii="宋体" w:hAnsi="宋体" w:cs="Times New Roman"/>
                <w:color w:val="auto"/>
                <w:sz w:val="24"/>
                <w:szCs w:val="24"/>
                <w:lang w:eastAsia="zh-CN"/>
              </w:rPr>
              <w:t>投标货物的</w:t>
            </w:r>
            <w:r>
              <w:rPr>
                <w:rFonts w:hint="eastAsia" w:ascii="宋体" w:hAnsi="宋体" w:cs="Times New Roman"/>
                <w:color w:val="auto"/>
                <w:sz w:val="24"/>
                <w:szCs w:val="24"/>
              </w:rPr>
              <w:t>同类型合作业绩，</w:t>
            </w:r>
            <w:r>
              <w:rPr>
                <w:rFonts w:hint="eastAsia" w:ascii="宋体" w:hAnsi="宋体" w:cs="Times New Roman"/>
                <w:color w:val="auto"/>
                <w:sz w:val="24"/>
                <w:szCs w:val="24"/>
                <w:lang w:eastAsia="zh-CN"/>
              </w:rPr>
              <w:t>（自开标开标之日止前五年）</w:t>
            </w:r>
            <w:r>
              <w:rPr>
                <w:rFonts w:hint="eastAsia" w:ascii="宋体" w:hAnsi="宋体" w:cs="Times New Roman"/>
                <w:color w:val="auto"/>
                <w:sz w:val="24"/>
                <w:szCs w:val="24"/>
              </w:rPr>
              <w:t>每个</w:t>
            </w:r>
            <w:r>
              <w:rPr>
                <w:rFonts w:hint="eastAsia" w:ascii="宋体" w:hAnsi="宋体" w:cs="Times New Roman"/>
                <w:color w:val="auto"/>
                <w:sz w:val="24"/>
                <w:szCs w:val="24"/>
                <w:lang w:val="en-US" w:eastAsia="zh-CN"/>
              </w:rPr>
              <w:t>业绩</w:t>
            </w:r>
            <w:r>
              <w:rPr>
                <w:rFonts w:hint="eastAsia" w:ascii="宋体" w:hAnsi="宋体" w:cs="Times New Roman"/>
                <w:color w:val="auto"/>
                <w:sz w:val="24"/>
                <w:szCs w:val="24"/>
              </w:rPr>
              <w:t>计</w:t>
            </w:r>
            <w:r>
              <w:rPr>
                <w:rFonts w:hint="eastAsia" w:ascii="宋体" w:hAnsi="宋体" w:cs="Times New Roman"/>
                <w:color w:val="auto"/>
                <w:sz w:val="24"/>
                <w:szCs w:val="24"/>
                <w:lang w:val="en-US" w:eastAsia="zh-CN"/>
              </w:rPr>
              <w:t>2</w:t>
            </w:r>
            <w:r>
              <w:rPr>
                <w:rFonts w:hint="eastAsia" w:ascii="宋体" w:hAnsi="宋体" w:cs="Times New Roman"/>
                <w:color w:val="auto"/>
                <w:sz w:val="24"/>
                <w:szCs w:val="24"/>
              </w:rPr>
              <w:t>分，最多计</w:t>
            </w:r>
            <w:r>
              <w:rPr>
                <w:rFonts w:hint="eastAsia" w:ascii="宋体" w:hAnsi="宋体" w:cs="Times New Roman"/>
                <w:color w:val="auto"/>
                <w:sz w:val="24"/>
                <w:szCs w:val="24"/>
                <w:lang w:val="en-US" w:eastAsia="zh-CN"/>
              </w:rPr>
              <w:t>4</w:t>
            </w:r>
            <w:r>
              <w:rPr>
                <w:rFonts w:hint="eastAsia" w:ascii="宋体" w:hAnsi="宋体" w:cs="Times New Roman"/>
                <w:color w:val="auto"/>
                <w:sz w:val="24"/>
                <w:szCs w:val="24"/>
              </w:rPr>
              <w:t>分（提供合作清单及联系人，并附合同或中标通知书复印件加盖投标人公章）。</w:t>
            </w:r>
          </w:p>
          <w:p>
            <w:pPr>
              <w:rPr>
                <w:rFonts w:hint="eastAsia"/>
                <w:sz w:val="24"/>
                <w:szCs w:val="24"/>
              </w:rPr>
            </w:pPr>
            <w:r>
              <w:rPr>
                <w:rFonts w:hint="eastAsia" w:ascii="宋体" w:hAnsi="宋体" w:cs="Times New Roman"/>
                <w:color w:val="auto"/>
                <w:sz w:val="24"/>
                <w:szCs w:val="24"/>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4"/>
                <w:szCs w:val="24"/>
              </w:rPr>
            </w:pPr>
            <w:r>
              <w:rPr>
                <w:rFonts w:hint="eastAsia" w:ascii="宋体" w:hAnsi="宋体" w:cs="宋体"/>
                <w:color w:val="auto"/>
                <w:sz w:val="24"/>
                <w:szCs w:val="24"/>
              </w:rPr>
              <w:t>3</w:t>
            </w:r>
          </w:p>
        </w:tc>
        <w:tc>
          <w:tcPr>
            <w:tcW w:w="453" w:type="pct"/>
            <w:noWrap w:val="0"/>
            <w:vAlign w:val="center"/>
          </w:tcPr>
          <w:p>
            <w:pPr>
              <w:jc w:val="center"/>
              <w:rPr>
                <w:rFonts w:hint="eastAsia" w:ascii="宋体" w:hAnsi="宋体" w:cs="宋体"/>
                <w:color w:val="auto"/>
                <w:sz w:val="24"/>
                <w:szCs w:val="24"/>
              </w:rPr>
            </w:pPr>
            <w:r>
              <w:rPr>
                <w:rFonts w:hint="eastAsia" w:cs="Times New Roman"/>
                <w:bCs/>
                <w:sz w:val="24"/>
                <w:szCs w:val="24"/>
                <w:lang w:val="en-US" w:eastAsia="zh-CN"/>
              </w:rPr>
              <w:t>技术要求及商务要求</w:t>
            </w:r>
            <w:r>
              <w:rPr>
                <w:rFonts w:hint="eastAsia" w:ascii="宋体" w:hAnsi="宋体" w:cs="宋体"/>
                <w:color w:val="auto"/>
                <w:sz w:val="24"/>
                <w:szCs w:val="24"/>
              </w:rPr>
              <w:t>（</w:t>
            </w:r>
            <w:r>
              <w:rPr>
                <w:rFonts w:hint="eastAsia" w:ascii="宋体" w:hAnsi="宋体" w:cs="宋体"/>
                <w:color w:val="auto"/>
                <w:sz w:val="24"/>
                <w:szCs w:val="24"/>
                <w:lang w:val="en-US" w:eastAsia="zh-CN"/>
              </w:rPr>
              <w:t>5</w:t>
            </w:r>
            <w:r>
              <w:rPr>
                <w:rFonts w:hint="eastAsia" w:ascii="宋体" w:hAnsi="宋体" w:cs="宋体"/>
                <w:color w:val="auto"/>
                <w:sz w:val="24"/>
                <w:szCs w:val="24"/>
              </w:rPr>
              <w:t>0分）</w:t>
            </w:r>
          </w:p>
        </w:tc>
        <w:tc>
          <w:tcPr>
            <w:tcW w:w="625" w:type="pct"/>
            <w:noWrap w:val="0"/>
            <w:vAlign w:val="center"/>
          </w:tcPr>
          <w:p>
            <w:pPr>
              <w:jc w:val="center"/>
              <w:rPr>
                <w:rFonts w:hint="default" w:ascii="宋体" w:hAnsi="宋体" w:eastAsia="宋体"/>
                <w:color w:val="auto"/>
                <w:sz w:val="24"/>
                <w:szCs w:val="24"/>
                <w:lang w:val="en-US" w:eastAsia="zh-CN"/>
              </w:rPr>
            </w:pPr>
            <w:r>
              <w:rPr>
                <w:rFonts w:hint="eastAsia" w:cs="Times New Roman"/>
                <w:bCs/>
                <w:sz w:val="24"/>
                <w:szCs w:val="24"/>
                <w:lang w:val="en-US" w:eastAsia="zh-CN"/>
              </w:rPr>
              <w:t>技术要求及商务要求</w:t>
            </w:r>
          </w:p>
        </w:tc>
        <w:tc>
          <w:tcPr>
            <w:tcW w:w="3171" w:type="pct"/>
            <w:noWrap w:val="0"/>
            <w:vAlign w:val="top"/>
          </w:tcPr>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1、技术参数</w:t>
            </w:r>
            <w:r>
              <w:rPr>
                <w:rFonts w:hint="eastAsia" w:ascii="宋体" w:hAnsi="宋体" w:cs="Times New Roman"/>
                <w:color w:val="auto"/>
                <w:sz w:val="24"/>
                <w:szCs w:val="24"/>
                <w:lang w:val="en-US" w:eastAsia="zh-CN"/>
              </w:rPr>
              <w:t>及商务参数</w:t>
            </w:r>
            <w:r>
              <w:rPr>
                <w:rFonts w:hint="eastAsia" w:ascii="宋体" w:hAnsi="宋体" w:eastAsia="宋体" w:cs="Times New Roman"/>
                <w:color w:val="auto"/>
                <w:sz w:val="24"/>
                <w:szCs w:val="24"/>
                <w:lang w:val="en-US" w:eastAsia="zh-CN"/>
              </w:rPr>
              <w:t>完全符合招标文件要求的，计</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lang w:val="en-US" w:eastAsia="zh-CN"/>
              </w:rPr>
              <w:t>0分，任何一条技术参数负偏离扣2分，扣完为止。</w:t>
            </w:r>
          </w:p>
          <w:p>
            <w:pPr>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2、</w:t>
            </w:r>
            <w:r>
              <w:rPr>
                <w:rFonts w:hint="eastAsia" w:ascii="宋体" w:hAnsi="宋体" w:eastAsia="宋体" w:cs="Times New Roman"/>
                <w:color w:val="auto"/>
                <w:sz w:val="24"/>
                <w:szCs w:val="24"/>
                <w:lang w:val="en-US" w:eastAsia="zh-CN"/>
              </w:rPr>
              <w:t>带“ ★”“*”号参数为重要条款不允许偏离，否则视同无效投标。</w:t>
            </w:r>
          </w:p>
          <w:p>
            <w:pPr>
              <w:rPr>
                <w:rFonts w:hint="eastAsia" w:ascii="宋体" w:hAnsi="宋体" w:eastAsia="宋体" w:cs="Times New Roman"/>
                <w:color w:val="auto"/>
                <w:sz w:val="24"/>
                <w:szCs w:val="24"/>
                <w:lang w:val="en-US" w:eastAsia="zh-CN"/>
              </w:rPr>
            </w:pPr>
            <w:r>
              <w:rPr>
                <w:rFonts w:hint="eastAsia" w:ascii="宋体" w:hAnsi="宋体" w:cs="Times New Roman"/>
                <w:color w:val="auto"/>
                <w:sz w:val="24"/>
                <w:szCs w:val="24"/>
                <w:lang w:val="en-US" w:eastAsia="zh-CN"/>
              </w:rPr>
              <w:t>4</w:t>
            </w:r>
            <w:r>
              <w:rPr>
                <w:rFonts w:hint="eastAsia" w:ascii="宋体" w:hAnsi="宋体" w:eastAsia="宋体" w:cs="Times New Roman"/>
                <w:color w:val="auto"/>
                <w:sz w:val="24"/>
                <w:szCs w:val="24"/>
                <w:lang w:val="en-US" w:eastAsia="zh-CN"/>
              </w:rPr>
              <w:t>、带“ ▲”号参数为重要条款任何一条技术参数负偏离扣4分，扣完为止。</w:t>
            </w:r>
          </w:p>
          <w:p>
            <w:pPr>
              <w:rPr>
                <w:rFonts w:hint="eastAsia" w:ascii="宋体" w:hAnsi="宋体" w:eastAsia="宋体" w:cs="Times New Roman"/>
                <w:color w:val="auto"/>
                <w:sz w:val="24"/>
                <w:szCs w:val="24"/>
              </w:rPr>
            </w:pP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、其它技术条款偏离项数之和大于5项将导致无效投标。</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说明：</w:t>
            </w:r>
          </w:p>
          <w:p>
            <w:pPr>
              <w:rPr>
                <w:rFonts w:hint="eastAsia" w:ascii="宋体" w:hAnsi="宋体" w:eastAsia="宋体" w:cs="Times New Roman"/>
                <w:color w:val="auto"/>
                <w:sz w:val="24"/>
                <w:szCs w:val="24"/>
              </w:rPr>
            </w:pPr>
            <w:r>
              <w:rPr>
                <w:rFonts w:hint="eastAsia" w:ascii="宋体" w:hAnsi="宋体" w:eastAsia="宋体" w:cs="Times New Roman"/>
                <w:color w:val="auto"/>
                <w:sz w:val="24"/>
                <w:szCs w:val="24"/>
              </w:rPr>
              <w:t>a、偏离：不满足招标参数要求，配置不详，缺漏项，技术参数表述不清的。</w:t>
            </w:r>
          </w:p>
          <w:p>
            <w:pPr>
              <w:rPr>
                <w:rFonts w:hint="default" w:eastAsia="宋体"/>
                <w:sz w:val="24"/>
                <w:szCs w:val="24"/>
                <w:lang w:val="en-US" w:eastAsia="zh-CN"/>
              </w:rPr>
            </w:pPr>
            <w:r>
              <w:rPr>
                <w:rFonts w:hint="eastAsia" w:ascii="宋体" w:hAnsi="宋体" w:eastAsia="宋体" w:cs="Times New Roman"/>
                <w:color w:val="auto"/>
                <w:sz w:val="24"/>
                <w:szCs w:val="24"/>
              </w:rPr>
              <w:t>b、条款数计算：招标文件中，凡编排有单独的中文序数或阿拉伯数字或英文字母序列号等字符的</w:t>
            </w:r>
            <w:r>
              <w:rPr>
                <w:rFonts w:ascii="宋体" w:hAnsi="宋体"/>
                <w:color w:val="000000" w:themeColor="text1"/>
                <w:sz w:val="24"/>
                <w:szCs w:val="24"/>
                <w14:textFill>
                  <w14:solidFill>
                    <w14:schemeClr w14:val="tx1"/>
                  </w14:solidFill>
                </w14:textFill>
              </w:rPr>
              <w:t>条款算一项技术要求项数</w:t>
            </w:r>
            <w:r>
              <w:rPr>
                <w:rFonts w:hint="eastAsia" w:ascii="宋体" w:hAnsi="宋体"/>
                <w:color w:val="000000" w:themeColor="text1"/>
                <w:sz w:val="24"/>
                <w:szCs w:val="24"/>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w:t>
            </w:r>
            <w:r>
              <w:rPr>
                <w:rFonts w:hint="eastAsia" w:ascii="宋体" w:hAnsi="宋体" w:cs="宋体"/>
                <w:color w:val="auto"/>
                <w:sz w:val="24"/>
                <w:szCs w:val="24"/>
                <w:lang w:val="en-US" w:eastAsia="zh-CN"/>
              </w:rPr>
              <w:t>50</w:t>
            </w:r>
          </w:p>
        </w:tc>
      </w:tr>
    </w:tbl>
    <w:p>
      <w:pPr>
        <w:pStyle w:val="15"/>
        <w:rPr>
          <w:rFonts w:hint="eastAsia" w:ascii="宋体" w:hAnsi="宋体" w:cs="宋体"/>
          <w:color w:val="auto"/>
          <w:sz w:val="24"/>
          <w:szCs w:val="24"/>
        </w:rPr>
      </w:pPr>
    </w:p>
    <w:p>
      <w:pPr>
        <w:spacing w:before="120" w:beforeLines="50" w:after="120" w:afterLines="50" w:line="360" w:lineRule="auto"/>
        <w:rPr>
          <w:color w:val="auto"/>
        </w:rPr>
      </w:pPr>
      <w:r>
        <w:rPr>
          <w:rFonts w:hint="eastAsia" w:ascii="宋体" w:hAnsi="宋体" w:cs="宋体"/>
          <w:color w:val="auto"/>
          <w:sz w:val="24"/>
          <w:szCs w:val="24"/>
        </w:rPr>
        <w:t>注：（1）全体评标委员会对投标人评分的算数平均值即为该投标人的最终评标得分（不得去评分项目的最高得分和最低得分），评分分值计算保留小数点后两位，小数点后第三位“四舍五入”。</w:t>
      </w:r>
    </w:p>
    <w:p>
      <w:pPr>
        <w:rPr>
          <w:color w:val="auto"/>
        </w:rPr>
      </w:pPr>
      <w:r>
        <w:rPr>
          <w:color w:val="auto"/>
        </w:rPr>
        <w:br w:type="page"/>
      </w:r>
    </w:p>
    <w:p>
      <w:pPr>
        <w:pStyle w:val="2"/>
        <w:numPr>
          <w:ilvl w:val="0"/>
          <w:numId w:val="4"/>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6"/>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5"/>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5"/>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pStyle w:val="16"/>
        <w:rPr>
          <w:color w:val="auto"/>
        </w:rPr>
      </w:pPr>
    </w:p>
    <w:p>
      <w:pPr>
        <w:pStyle w:val="17"/>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rFonts w:hint="eastAsia"/>
          <w:lang w:eastAsia="zh-CN"/>
        </w:rPr>
      </w:pPr>
    </w:p>
    <w:p>
      <w:pPr>
        <w:numPr>
          <w:ilvl w:val="0"/>
          <w:numId w:val="5"/>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F22833F1"/>
    <w:multiLevelType w:val="singleLevel"/>
    <w:tmpl w:val="F22833F1"/>
    <w:lvl w:ilvl="0" w:tentative="0">
      <w:start w:val="1"/>
      <w:numFmt w:val="decimal"/>
      <w:suff w:val="nothing"/>
      <w:lvlText w:val="%1、"/>
      <w:lvlJc w:val="left"/>
    </w:lvl>
  </w:abstractNum>
  <w:abstractNum w:abstractNumId="4">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6E91EC4"/>
    <w:rsid w:val="071C689B"/>
    <w:rsid w:val="0E331420"/>
    <w:rsid w:val="0E76169C"/>
    <w:rsid w:val="0EDD1643"/>
    <w:rsid w:val="12994AC5"/>
    <w:rsid w:val="16EB1D52"/>
    <w:rsid w:val="1AF56B46"/>
    <w:rsid w:val="1DE33A91"/>
    <w:rsid w:val="1FE73549"/>
    <w:rsid w:val="20B41DA7"/>
    <w:rsid w:val="20F751FF"/>
    <w:rsid w:val="22AB7B8A"/>
    <w:rsid w:val="245079B1"/>
    <w:rsid w:val="28E81B29"/>
    <w:rsid w:val="2C7642D0"/>
    <w:rsid w:val="2CB94AAA"/>
    <w:rsid w:val="2EAC037F"/>
    <w:rsid w:val="2EB67A5C"/>
    <w:rsid w:val="302741D2"/>
    <w:rsid w:val="308B184D"/>
    <w:rsid w:val="340F06E9"/>
    <w:rsid w:val="344405F2"/>
    <w:rsid w:val="3B3B544D"/>
    <w:rsid w:val="3B654F2B"/>
    <w:rsid w:val="3DF12CFC"/>
    <w:rsid w:val="429A4992"/>
    <w:rsid w:val="43B25DAC"/>
    <w:rsid w:val="46202E1C"/>
    <w:rsid w:val="4DCD6AB3"/>
    <w:rsid w:val="50540C20"/>
    <w:rsid w:val="51AC28BD"/>
    <w:rsid w:val="555B5FCF"/>
    <w:rsid w:val="583B321C"/>
    <w:rsid w:val="611B6B1B"/>
    <w:rsid w:val="62695F9A"/>
    <w:rsid w:val="64133D6A"/>
    <w:rsid w:val="678E4F5D"/>
    <w:rsid w:val="6AE809B5"/>
    <w:rsid w:val="6DE375E4"/>
    <w:rsid w:val="6DE534BC"/>
    <w:rsid w:val="71584067"/>
    <w:rsid w:val="750117A8"/>
    <w:rsid w:val="76447599"/>
    <w:rsid w:val="7BBF44BB"/>
    <w:rsid w:val="7BF15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rPr>
  </w:style>
  <w:style w:type="paragraph" w:styleId="5">
    <w:name w:val="Body Text Indent"/>
    <w:basedOn w:val="1"/>
    <w:next w:val="6"/>
    <w:qFormat/>
    <w:uiPriority w:val="99"/>
    <w:pPr>
      <w:spacing w:line="400" w:lineRule="exact"/>
      <w:ind w:left="630"/>
    </w:pPr>
    <w:rPr>
      <w:rFonts w:ascii="楷体_GB2312"/>
      <w:sz w:val="30"/>
      <w:szCs w:val="30"/>
    </w:rPr>
  </w:style>
  <w:style w:type="paragraph" w:styleId="6">
    <w:name w:val="Body Text First Indent 2"/>
    <w:basedOn w:val="5"/>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3">
    <w:name w:val="Default"/>
    <w:next w:val="1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大标题"/>
    <w:basedOn w:val="1"/>
    <w:next w:val="6"/>
    <w:qFormat/>
    <w:uiPriority w:val="0"/>
    <w:pPr>
      <w:jc w:val="center"/>
    </w:pPr>
    <w:rPr>
      <w:rFonts w:ascii="Arial" w:hAnsi="Arial" w:eastAsia="宋体"/>
      <w:b/>
      <w:sz w:val="28"/>
      <w:szCs w:val="24"/>
    </w:rPr>
  </w:style>
  <w:style w:type="paragraph" w:customStyle="1" w:styleId="15">
    <w:name w:val="列出段落1"/>
    <w:basedOn w:val="1"/>
    <w:qFormat/>
    <w:uiPriority w:val="99"/>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8365</Words>
  <Characters>8813</Characters>
  <Lines>0</Lines>
  <Paragraphs>0</Paragraphs>
  <TotalTime>4</TotalTime>
  <ScaleCrop>false</ScaleCrop>
  <LinksUpToDate>false</LinksUpToDate>
  <CharactersWithSpaces>9795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cp:lastPrinted>2023-08-11T00:38:00Z</cp:lastPrinted>
  <dcterms:modified xsi:type="dcterms:W3CDTF">2023-09-07T00:39:40Z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