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6BE4B">
      <w:pPr>
        <w:jc w:val="center"/>
        <w:rPr>
          <w:rFonts w:hint="eastAsia" w:ascii="黑体" w:hAnsi="黑体" w:eastAsia="黑体" w:cs="黑体"/>
          <w:color w:val="auto"/>
          <w:sz w:val="44"/>
          <w:szCs w:val="44"/>
          <w:lang w:eastAsia="zh-CN"/>
        </w:rPr>
      </w:pPr>
    </w:p>
    <w:p w14:paraId="6CBC5F28">
      <w:pPr>
        <w:jc w:val="center"/>
        <w:rPr>
          <w:rFonts w:hint="eastAsia" w:ascii="黑体" w:hAnsi="黑体" w:eastAsia="黑体" w:cs="黑体"/>
          <w:color w:val="auto"/>
          <w:sz w:val="44"/>
          <w:szCs w:val="44"/>
          <w:lang w:eastAsia="zh-CN"/>
        </w:rPr>
      </w:pPr>
    </w:p>
    <w:p w14:paraId="7E56DD77">
      <w:pPr>
        <w:jc w:val="center"/>
        <w:rPr>
          <w:rFonts w:hint="eastAsia" w:ascii="黑体" w:hAnsi="黑体" w:eastAsia="黑体" w:cs="黑体"/>
          <w:color w:val="auto"/>
          <w:sz w:val="44"/>
          <w:szCs w:val="44"/>
          <w:lang w:eastAsia="zh-CN"/>
        </w:rPr>
      </w:pPr>
    </w:p>
    <w:p w14:paraId="4A6378E8">
      <w:pPr>
        <w:jc w:val="center"/>
        <w:rPr>
          <w:rFonts w:hint="eastAsia" w:ascii="黑体" w:hAnsi="黑体" w:eastAsia="黑体" w:cs="黑体"/>
          <w:color w:val="auto"/>
          <w:sz w:val="52"/>
          <w:szCs w:val="52"/>
          <w:lang w:eastAsia="zh-CN"/>
        </w:rPr>
      </w:pPr>
      <w:r>
        <w:rPr>
          <w:rFonts w:hint="eastAsia" w:ascii="黑体" w:hAnsi="黑体" w:eastAsia="黑体" w:cs="黑体"/>
          <w:color w:val="auto"/>
          <w:sz w:val="52"/>
          <w:szCs w:val="52"/>
          <w:lang w:val="en-US" w:eastAsia="zh-CN"/>
        </w:rPr>
        <w:t>常年</w:t>
      </w:r>
      <w:r>
        <w:rPr>
          <w:rFonts w:hint="eastAsia" w:ascii="黑体" w:hAnsi="黑体" w:eastAsia="黑体" w:cs="黑体"/>
          <w:color w:val="auto"/>
          <w:sz w:val="52"/>
          <w:szCs w:val="52"/>
          <w:lang w:eastAsia="zh-CN"/>
        </w:rPr>
        <w:t>法律顾问服务（三年期）</w:t>
      </w:r>
    </w:p>
    <w:p w14:paraId="5BC9281B">
      <w:pPr>
        <w:pStyle w:val="3"/>
        <w:rPr>
          <w:rFonts w:hint="eastAsia" w:ascii="黑体" w:hAnsi="黑体" w:eastAsia="黑体" w:cs="黑体"/>
          <w:color w:val="auto"/>
          <w:sz w:val="44"/>
          <w:szCs w:val="44"/>
          <w:lang w:eastAsia="zh-CN"/>
        </w:rPr>
      </w:pPr>
    </w:p>
    <w:p w14:paraId="5E10699F">
      <w:pPr>
        <w:rPr>
          <w:rFonts w:hint="eastAsia"/>
          <w:color w:val="auto"/>
          <w:lang w:eastAsia="zh-CN"/>
        </w:rPr>
      </w:pPr>
    </w:p>
    <w:p w14:paraId="1C647CDF">
      <w:pPr>
        <w:jc w:val="center"/>
        <w:rPr>
          <w:rFonts w:hint="eastAsia" w:ascii="宋体" w:hAnsi="宋体" w:cs="宋体"/>
          <w:b/>
          <w:color w:val="auto"/>
          <w:sz w:val="84"/>
          <w:szCs w:val="84"/>
        </w:rPr>
      </w:pPr>
      <w:r>
        <w:rPr>
          <w:rFonts w:hint="eastAsia" w:ascii="宋体" w:hAnsi="宋体" w:cs="宋体"/>
          <w:b/>
          <w:color w:val="auto"/>
          <w:sz w:val="84"/>
          <w:szCs w:val="84"/>
          <w:lang w:val="en-US" w:eastAsia="zh-CN"/>
        </w:rPr>
        <w:t>采  购</w:t>
      </w:r>
      <w:r>
        <w:rPr>
          <w:rFonts w:hint="eastAsia" w:ascii="宋体" w:hAnsi="宋体" w:cs="宋体"/>
          <w:b/>
          <w:color w:val="auto"/>
          <w:sz w:val="84"/>
          <w:szCs w:val="84"/>
        </w:rPr>
        <w:t xml:space="preserve">  文  件</w:t>
      </w:r>
    </w:p>
    <w:p w14:paraId="2BC4324C">
      <w:pPr>
        <w:ind w:firstLine="435"/>
        <w:rPr>
          <w:rFonts w:hint="eastAsia" w:ascii="宋体" w:hAnsi="宋体" w:cs="宋体"/>
          <w:color w:val="auto"/>
        </w:rPr>
      </w:pPr>
    </w:p>
    <w:p w14:paraId="011F7EB0">
      <w:pPr>
        <w:ind w:firstLine="435"/>
        <w:rPr>
          <w:rFonts w:hint="eastAsia" w:ascii="宋体" w:hAnsi="宋体" w:cs="宋体"/>
          <w:color w:val="auto"/>
        </w:rPr>
      </w:pPr>
    </w:p>
    <w:p w14:paraId="3A77033C">
      <w:pPr>
        <w:ind w:firstLine="435"/>
        <w:rPr>
          <w:rFonts w:hint="eastAsia" w:ascii="宋体" w:hAnsi="宋体" w:cs="宋体"/>
          <w:color w:val="auto"/>
        </w:rPr>
      </w:pPr>
    </w:p>
    <w:p w14:paraId="55A300A9">
      <w:pPr>
        <w:ind w:firstLine="435"/>
        <w:rPr>
          <w:rFonts w:hint="eastAsia" w:ascii="宋体" w:hAnsi="宋体" w:cs="宋体"/>
          <w:color w:val="auto"/>
        </w:rPr>
      </w:pPr>
    </w:p>
    <w:p w14:paraId="6635D96F">
      <w:pPr>
        <w:ind w:firstLine="435"/>
        <w:rPr>
          <w:rFonts w:hint="eastAsia" w:ascii="宋体" w:hAnsi="宋体" w:cs="宋体"/>
          <w:color w:val="auto"/>
        </w:rPr>
      </w:pPr>
    </w:p>
    <w:p w14:paraId="3344E9A9">
      <w:pPr>
        <w:ind w:firstLine="435"/>
        <w:rPr>
          <w:rFonts w:hint="eastAsia" w:ascii="宋体" w:hAnsi="宋体" w:cs="宋体"/>
          <w:color w:val="auto"/>
        </w:rPr>
      </w:pPr>
    </w:p>
    <w:p w14:paraId="54716E12">
      <w:pPr>
        <w:ind w:firstLine="435"/>
        <w:rPr>
          <w:rFonts w:hint="eastAsia" w:ascii="宋体" w:hAnsi="宋体" w:cs="宋体"/>
          <w:color w:val="auto"/>
        </w:rPr>
      </w:pPr>
    </w:p>
    <w:p w14:paraId="16EED938">
      <w:pPr>
        <w:ind w:firstLine="435"/>
        <w:rPr>
          <w:rFonts w:hint="eastAsia" w:ascii="宋体" w:hAnsi="宋体" w:cs="宋体"/>
          <w:color w:val="auto"/>
        </w:rPr>
      </w:pPr>
    </w:p>
    <w:p w14:paraId="1C64C30D">
      <w:pPr>
        <w:ind w:firstLine="435"/>
        <w:rPr>
          <w:rFonts w:hint="eastAsia" w:ascii="宋体" w:hAnsi="宋体" w:cs="宋体"/>
          <w:color w:val="auto"/>
        </w:rPr>
      </w:pPr>
    </w:p>
    <w:p w14:paraId="2CED0E29">
      <w:pPr>
        <w:ind w:firstLine="435"/>
        <w:rPr>
          <w:rFonts w:hint="eastAsia" w:ascii="宋体" w:hAnsi="宋体" w:cs="宋体"/>
          <w:color w:val="auto"/>
        </w:rPr>
      </w:pPr>
    </w:p>
    <w:p w14:paraId="29FA7A8B">
      <w:pPr>
        <w:ind w:firstLine="435"/>
        <w:rPr>
          <w:rFonts w:hint="eastAsia" w:ascii="宋体" w:hAnsi="宋体" w:cs="宋体"/>
          <w:color w:val="auto"/>
        </w:rPr>
      </w:pPr>
    </w:p>
    <w:p w14:paraId="47DD4A1F">
      <w:pPr>
        <w:ind w:firstLine="435"/>
        <w:rPr>
          <w:rFonts w:hint="eastAsia" w:ascii="宋体" w:hAnsi="宋体" w:cs="宋体"/>
          <w:color w:val="auto"/>
        </w:rPr>
      </w:pPr>
    </w:p>
    <w:p w14:paraId="41868346">
      <w:pPr>
        <w:ind w:firstLine="435"/>
        <w:rPr>
          <w:rFonts w:hint="eastAsia" w:ascii="宋体" w:hAnsi="宋体" w:cs="宋体"/>
          <w:color w:val="auto"/>
        </w:rPr>
      </w:pPr>
    </w:p>
    <w:p w14:paraId="570FCC1A">
      <w:pPr>
        <w:spacing w:line="360" w:lineRule="auto"/>
        <w:ind w:firstLine="1976" w:firstLineChars="656"/>
        <w:rPr>
          <w:rFonts w:hint="eastAsia" w:ascii="宋体" w:hAnsi="宋体" w:cs="宋体"/>
          <w:b/>
          <w:color w:val="auto"/>
          <w:sz w:val="30"/>
          <w:szCs w:val="30"/>
        </w:rPr>
      </w:pPr>
    </w:p>
    <w:p w14:paraId="3A040E01">
      <w:pPr>
        <w:spacing w:line="360" w:lineRule="auto"/>
        <w:ind w:firstLine="3012" w:firstLineChars="1000"/>
        <w:jc w:val="both"/>
        <w:rPr>
          <w:rFonts w:hint="eastAsia" w:ascii="宋体" w:hAnsi="宋体" w:cs="宋体"/>
          <w:b/>
          <w:color w:val="auto"/>
          <w:sz w:val="30"/>
          <w:szCs w:val="30"/>
        </w:rPr>
      </w:pPr>
      <w:r>
        <w:rPr>
          <w:rFonts w:hint="eastAsia" w:ascii="宋体" w:hAnsi="宋体" w:cs="宋体"/>
          <w:b/>
          <w:color w:val="auto"/>
          <w:sz w:val="30"/>
          <w:szCs w:val="30"/>
          <w:lang w:val="en-US" w:eastAsia="zh-CN"/>
        </w:rPr>
        <w:t>采购人</w:t>
      </w:r>
      <w:r>
        <w:rPr>
          <w:rFonts w:hint="eastAsia" w:ascii="宋体" w:hAnsi="宋体" w:cs="宋体"/>
          <w:b/>
          <w:color w:val="auto"/>
          <w:sz w:val="30"/>
          <w:szCs w:val="30"/>
        </w:rPr>
        <w:t>：娄底市中心医院</w:t>
      </w:r>
    </w:p>
    <w:p w14:paraId="7DA01C0B">
      <w:pPr>
        <w:spacing w:line="360" w:lineRule="auto"/>
        <w:jc w:val="center"/>
        <w:rPr>
          <w:rFonts w:hint="default" w:eastAsiaTheme="minorEastAsia"/>
          <w:color w:val="auto"/>
          <w:lang w:val="en-US" w:eastAsia="zh-CN"/>
        </w:rPr>
      </w:pPr>
      <w:r>
        <w:rPr>
          <w:rFonts w:hint="eastAsia" w:ascii="宋体" w:hAnsi="宋体" w:cs="宋体"/>
          <w:b/>
          <w:color w:val="auto"/>
          <w:sz w:val="30"/>
          <w:szCs w:val="30"/>
          <w:lang w:val="en-US" w:eastAsia="zh-CN"/>
        </w:rPr>
        <w:t>采购代理机构：湖南森诺项目管理有限公司</w:t>
      </w:r>
    </w:p>
    <w:p w14:paraId="5EE873CF">
      <w:pPr>
        <w:spacing w:line="540" w:lineRule="exact"/>
        <w:ind w:firstLine="437"/>
        <w:jc w:val="center"/>
        <w:rPr>
          <w:rFonts w:hint="eastAsia" w:ascii="宋体" w:hAnsi="宋体" w:cs="宋体"/>
          <w:b/>
          <w:color w:val="auto"/>
          <w:sz w:val="30"/>
          <w:szCs w:val="30"/>
        </w:rPr>
      </w:pPr>
    </w:p>
    <w:p w14:paraId="1AFF37F9">
      <w:pPr>
        <w:spacing w:line="540" w:lineRule="exact"/>
        <w:ind w:firstLine="437"/>
        <w:jc w:val="center"/>
        <w:rPr>
          <w:rFonts w:hint="eastAsia" w:ascii="宋体" w:hAnsi="宋体" w:cs="宋体"/>
          <w:b/>
          <w:color w:val="auto"/>
          <w:sz w:val="30"/>
          <w:szCs w:val="30"/>
        </w:rPr>
      </w:pPr>
      <w:r>
        <w:rPr>
          <w:rFonts w:hint="eastAsia" w:ascii="宋体" w:hAnsi="宋体" w:cs="宋体"/>
          <w:b/>
          <w:color w:val="auto"/>
          <w:sz w:val="30"/>
          <w:szCs w:val="30"/>
        </w:rPr>
        <w:t>日期：202</w:t>
      </w:r>
      <w:r>
        <w:rPr>
          <w:rFonts w:hint="eastAsia" w:ascii="宋体" w:hAnsi="宋体" w:cs="宋体"/>
          <w:b/>
          <w:color w:val="auto"/>
          <w:sz w:val="30"/>
          <w:szCs w:val="30"/>
          <w:lang w:val="en-US" w:eastAsia="zh-CN"/>
        </w:rPr>
        <w:t>4</w:t>
      </w:r>
      <w:r>
        <w:rPr>
          <w:rFonts w:hint="eastAsia" w:ascii="宋体" w:hAnsi="宋体" w:cs="宋体"/>
          <w:b/>
          <w:color w:val="auto"/>
          <w:sz w:val="30"/>
          <w:szCs w:val="30"/>
        </w:rPr>
        <w:t>年</w:t>
      </w:r>
      <w:r>
        <w:rPr>
          <w:rFonts w:hint="eastAsia" w:ascii="宋体" w:hAnsi="宋体" w:cs="宋体"/>
          <w:b/>
          <w:color w:val="auto"/>
          <w:sz w:val="30"/>
          <w:szCs w:val="30"/>
          <w:highlight w:val="none"/>
          <w:lang w:val="en-US" w:eastAsia="zh-CN"/>
        </w:rPr>
        <w:t>12</w:t>
      </w:r>
      <w:r>
        <w:rPr>
          <w:rFonts w:hint="eastAsia" w:ascii="宋体" w:hAnsi="宋体" w:cs="宋体"/>
          <w:b/>
          <w:color w:val="auto"/>
          <w:sz w:val="30"/>
          <w:szCs w:val="30"/>
        </w:rPr>
        <w:t>月</w:t>
      </w:r>
    </w:p>
    <w:p w14:paraId="6509626A">
      <w:pPr>
        <w:ind w:firstLine="435"/>
        <w:rPr>
          <w:rFonts w:hint="eastAsia" w:ascii="宋体" w:hAnsi="宋体" w:cs="宋体"/>
          <w:color w:val="auto"/>
        </w:rPr>
      </w:pPr>
    </w:p>
    <w:p w14:paraId="0FD7E52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宋体" w:hAnsi="宋体" w:eastAsia="宋体" w:cs="宋体"/>
          <w:color w:val="auto"/>
          <w:sz w:val="28"/>
          <w:szCs w:val="28"/>
          <w:lang w:eastAsia="zh-CN"/>
        </w:rPr>
      </w:pPr>
      <w:r>
        <w:rPr>
          <w:rFonts w:hint="eastAsia" w:ascii="宋体" w:hAnsi="宋体" w:cs="宋体"/>
          <w:bCs/>
          <w:color w:val="auto"/>
          <w:sz w:val="36"/>
          <w:szCs w:val="36"/>
        </w:rPr>
        <w:br w:type="page"/>
      </w:r>
    </w:p>
    <w:p w14:paraId="52079FAF">
      <w:pPr>
        <w:pStyle w:val="2"/>
        <w:keepNext w:val="0"/>
        <w:keepLines w:val="0"/>
        <w:pageBreakBefore w:val="0"/>
        <w:widowControl w:val="0"/>
        <w:numPr>
          <w:ilvl w:val="0"/>
          <w:numId w:val="0"/>
        </w:numPr>
        <w:kinsoku/>
        <w:wordWrap/>
        <w:overflowPunct/>
        <w:topLinePunct w:val="0"/>
        <w:autoSpaceDE/>
        <w:autoSpaceDN/>
        <w:bidi w:val="0"/>
        <w:snapToGrid/>
        <w:spacing w:before="0" w:after="0" w:line="520" w:lineRule="exact"/>
        <w:ind w:left="0" w:leftChars="0"/>
        <w:jc w:val="center"/>
        <w:rPr>
          <w:rFonts w:hint="eastAsia" w:ascii="黑体" w:hAnsi="黑体" w:eastAsia="黑体" w:cs="黑体"/>
          <w:b w:val="0"/>
          <w:bCs/>
          <w:color w:val="auto"/>
          <w:sz w:val="32"/>
          <w:szCs w:val="32"/>
          <w:lang w:val="en-US" w:eastAsia="zh-CN"/>
        </w:rPr>
      </w:pPr>
      <w:r>
        <w:rPr>
          <w:rFonts w:hint="eastAsia" w:ascii="黑体" w:hAnsi="黑体" w:eastAsia="黑体" w:cs="黑体"/>
          <w:b w:val="0"/>
          <w:bCs/>
          <w:color w:val="auto"/>
          <w:kern w:val="44"/>
          <w:sz w:val="32"/>
          <w:szCs w:val="32"/>
          <w:lang w:val="en-US" w:eastAsia="zh-CN" w:bidi="ar-SA"/>
        </w:rPr>
        <w:t>第一章  常年法律顾问服务</w:t>
      </w:r>
      <w:r>
        <w:rPr>
          <w:rFonts w:hint="eastAsia" w:ascii="黑体" w:hAnsi="黑体" w:eastAsia="黑体" w:cs="黑体"/>
          <w:b w:val="0"/>
          <w:bCs/>
          <w:color w:val="auto"/>
          <w:sz w:val="32"/>
          <w:szCs w:val="32"/>
        </w:rPr>
        <w:t>邀请</w:t>
      </w:r>
      <w:r>
        <w:rPr>
          <w:rFonts w:hint="eastAsia" w:ascii="黑体" w:hAnsi="黑体" w:eastAsia="黑体" w:cs="黑体"/>
          <w:b w:val="0"/>
          <w:bCs/>
          <w:color w:val="auto"/>
          <w:sz w:val="32"/>
          <w:szCs w:val="32"/>
          <w:lang w:val="en-US" w:eastAsia="zh-CN"/>
        </w:rPr>
        <w:t>公告</w:t>
      </w:r>
    </w:p>
    <w:p w14:paraId="0B880965">
      <w:pPr>
        <w:pStyle w:val="2"/>
        <w:keepNext w:val="0"/>
        <w:keepLines w:val="0"/>
        <w:pageBreakBefore w:val="0"/>
        <w:widowControl w:val="0"/>
        <w:numPr>
          <w:ilvl w:val="0"/>
          <w:numId w:val="0"/>
        </w:numPr>
        <w:kinsoku/>
        <w:wordWrap/>
        <w:overflowPunct/>
        <w:topLinePunct w:val="0"/>
        <w:autoSpaceDE/>
        <w:autoSpaceDN/>
        <w:bidi w:val="0"/>
        <w:snapToGrid/>
        <w:spacing w:before="0" w:after="0" w:line="520" w:lineRule="exact"/>
        <w:ind w:firstLine="560" w:firstLineChars="200"/>
        <w:jc w:val="both"/>
        <w:rPr>
          <w:rFonts w:hint="eastAsia" w:ascii="宋体" w:hAnsi="宋体" w:eastAsia="宋体" w:cs="宋体"/>
          <w:b w:val="0"/>
          <w:bCs w:val="0"/>
          <w:color w:val="auto"/>
          <w:sz w:val="28"/>
          <w:szCs w:val="28"/>
          <w:lang w:eastAsia="zh-CN"/>
        </w:rPr>
      </w:pPr>
      <w:r>
        <w:rPr>
          <w:rFonts w:hint="eastAsia" w:ascii="宋体" w:hAnsi="宋体" w:eastAsia="宋体" w:cs="宋体"/>
          <w:b w:val="0"/>
          <w:bCs w:val="0"/>
          <w:color w:val="auto"/>
          <w:sz w:val="28"/>
          <w:szCs w:val="28"/>
          <w:lang w:eastAsia="zh-CN"/>
        </w:rPr>
        <w:t>娄底市中心医院常年法律顾问服务（三年期）项目进行</w:t>
      </w:r>
      <w:r>
        <w:rPr>
          <w:rFonts w:hint="eastAsia" w:ascii="宋体" w:hAnsi="宋体" w:eastAsia="宋体" w:cs="宋体"/>
          <w:b w:val="0"/>
          <w:bCs w:val="0"/>
          <w:color w:val="auto"/>
          <w:sz w:val="28"/>
          <w:szCs w:val="28"/>
          <w:lang w:val="en-US" w:eastAsia="zh-CN"/>
        </w:rPr>
        <w:t>公开</w:t>
      </w:r>
      <w:r>
        <w:rPr>
          <w:rFonts w:hint="eastAsia" w:ascii="宋体" w:hAnsi="宋体" w:eastAsia="宋体" w:cs="宋体"/>
          <w:b w:val="0"/>
          <w:bCs w:val="0"/>
          <w:color w:val="auto"/>
          <w:sz w:val="28"/>
          <w:szCs w:val="28"/>
          <w:lang w:eastAsia="zh-CN"/>
        </w:rPr>
        <w:t>采购，现邀请</w:t>
      </w:r>
      <w:r>
        <w:rPr>
          <w:rFonts w:hint="eastAsia" w:ascii="宋体" w:hAnsi="宋体" w:eastAsia="宋体" w:cs="宋体"/>
          <w:b w:val="0"/>
          <w:bCs w:val="0"/>
          <w:color w:val="auto"/>
          <w:sz w:val="28"/>
          <w:szCs w:val="28"/>
          <w:lang w:val="en-US" w:eastAsia="zh-CN"/>
        </w:rPr>
        <w:t>合格投标人</w:t>
      </w:r>
      <w:r>
        <w:rPr>
          <w:rFonts w:hint="eastAsia" w:ascii="宋体" w:hAnsi="宋体" w:eastAsia="宋体" w:cs="宋体"/>
          <w:b w:val="0"/>
          <w:bCs w:val="0"/>
          <w:color w:val="auto"/>
          <w:sz w:val="28"/>
          <w:szCs w:val="28"/>
          <w:lang w:eastAsia="zh-CN"/>
        </w:rPr>
        <w:t>参加。</w:t>
      </w:r>
    </w:p>
    <w:p w14:paraId="3E209534">
      <w:pPr>
        <w:keepNext w:val="0"/>
        <w:keepLines w:val="0"/>
        <w:pageBreakBefore w:val="0"/>
        <w:widowControl w:val="0"/>
        <w:kinsoku/>
        <w:wordWrap/>
        <w:overflowPunct/>
        <w:topLinePunct w:val="0"/>
        <w:autoSpaceDE/>
        <w:autoSpaceDN/>
        <w:bidi w:val="0"/>
        <w:adjustRightInd/>
        <w:snapToGrid/>
        <w:spacing w:line="520" w:lineRule="exact"/>
        <w:ind w:left="0" w:leftChars="0" w:firstLine="562" w:firstLineChars="200"/>
        <w:textAlignment w:val="auto"/>
        <w:rPr>
          <w:rFonts w:hint="eastAsia" w:ascii="黑体" w:hAnsi="黑体" w:eastAsia="黑体" w:cs="黑体"/>
          <w:b/>
          <w:bCs/>
          <w:color w:val="auto"/>
          <w:sz w:val="28"/>
          <w:szCs w:val="28"/>
          <w:lang w:eastAsia="zh-CN"/>
        </w:rPr>
      </w:pPr>
      <w:r>
        <w:rPr>
          <w:rFonts w:hint="eastAsia" w:ascii="黑体" w:hAnsi="黑体" w:eastAsia="黑体" w:cs="黑体"/>
          <w:b/>
          <w:bCs/>
          <w:color w:val="auto"/>
          <w:sz w:val="28"/>
          <w:szCs w:val="28"/>
          <w:lang w:eastAsia="zh-CN"/>
        </w:rPr>
        <w:t>一、项</w:t>
      </w:r>
      <w:r>
        <w:rPr>
          <w:rFonts w:hint="eastAsia" w:ascii="宋体" w:hAnsi="宋体" w:eastAsia="宋体" w:cs="宋体"/>
          <w:b/>
          <w:bCs/>
          <w:color w:val="auto"/>
          <w:kern w:val="44"/>
          <w:sz w:val="28"/>
          <w:szCs w:val="28"/>
          <w:lang w:val="en-US" w:eastAsia="zh-CN" w:bidi="ar-SA"/>
        </w:rPr>
        <w:t>目信息</w:t>
      </w:r>
    </w:p>
    <w:p w14:paraId="2B0302FA">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1.采购</w:t>
      </w:r>
      <w:r>
        <w:rPr>
          <w:rFonts w:hint="eastAsia" w:ascii="宋体" w:hAnsi="宋体" w:eastAsia="宋体" w:cs="宋体"/>
          <w:color w:val="auto"/>
          <w:sz w:val="28"/>
          <w:szCs w:val="28"/>
          <w:lang w:eastAsia="zh-CN"/>
        </w:rPr>
        <w:t>项目名称：娄底市中心医院常年法律顾问服务（</w:t>
      </w:r>
      <w:r>
        <w:rPr>
          <w:rFonts w:hint="eastAsia" w:ascii="宋体" w:hAnsi="宋体" w:eastAsia="宋体" w:cs="宋体"/>
          <w:color w:val="auto"/>
          <w:sz w:val="28"/>
          <w:szCs w:val="28"/>
          <w:lang w:val="en-US" w:eastAsia="zh-CN"/>
        </w:rPr>
        <w:t>三年期</w:t>
      </w:r>
      <w:r>
        <w:rPr>
          <w:rFonts w:hint="eastAsia" w:ascii="宋体" w:hAnsi="宋体" w:eastAsia="宋体" w:cs="宋体"/>
          <w:color w:val="auto"/>
          <w:sz w:val="28"/>
          <w:szCs w:val="28"/>
          <w:lang w:eastAsia="zh-CN"/>
        </w:rPr>
        <w:t>）</w:t>
      </w:r>
    </w:p>
    <w:p w14:paraId="5C876688">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lang w:eastAsia="zh-CN"/>
        </w:rPr>
        <w:t>采购预算（最高限价）：</w:t>
      </w:r>
    </w:p>
    <w:p w14:paraId="6FF0EDF9">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（1）常年法律顾问服务费：45</w:t>
      </w:r>
      <w:r>
        <w:rPr>
          <w:rFonts w:hint="eastAsia" w:ascii="宋体" w:hAnsi="宋体" w:eastAsia="宋体" w:cs="宋体"/>
          <w:color w:val="auto"/>
          <w:sz w:val="28"/>
          <w:szCs w:val="28"/>
          <w:lang w:eastAsia="zh-CN"/>
        </w:rPr>
        <w:t>万元人民币（</w:t>
      </w:r>
      <w:r>
        <w:rPr>
          <w:rFonts w:hint="eastAsia" w:ascii="宋体" w:hAnsi="宋体" w:eastAsia="宋体" w:cs="宋体"/>
          <w:color w:val="auto"/>
          <w:sz w:val="28"/>
          <w:szCs w:val="28"/>
          <w:lang w:val="en-US" w:eastAsia="zh-CN"/>
        </w:rPr>
        <w:t>15</w:t>
      </w:r>
      <w:r>
        <w:rPr>
          <w:rFonts w:hint="eastAsia" w:ascii="宋体" w:hAnsi="宋体" w:eastAsia="宋体" w:cs="宋体"/>
          <w:color w:val="auto"/>
          <w:sz w:val="28"/>
          <w:szCs w:val="28"/>
          <w:lang w:eastAsia="zh-CN"/>
        </w:rPr>
        <w:t>万元/年）。</w:t>
      </w:r>
    </w:p>
    <w:p w14:paraId="6F98A4E4">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color w:val="auto"/>
          <w:lang w:eastAsia="zh-CN"/>
        </w:rPr>
      </w:pP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lang w:eastAsia="zh-CN"/>
        </w:rPr>
        <w:t>）案件代理费：</w:t>
      </w:r>
      <w:r>
        <w:rPr>
          <w:rFonts w:hint="eastAsia" w:ascii="宋体" w:hAnsi="宋体" w:eastAsia="宋体" w:cs="宋体"/>
          <w:color w:val="auto"/>
          <w:sz w:val="28"/>
          <w:szCs w:val="28"/>
          <w:lang w:val="en-US" w:eastAsia="zh-CN"/>
        </w:rPr>
        <w:t>按</w:t>
      </w:r>
      <w:r>
        <w:rPr>
          <w:rFonts w:hint="eastAsia" w:ascii="宋体" w:hAnsi="宋体" w:eastAsia="宋体" w:cs="宋体"/>
          <w:color w:val="auto"/>
          <w:sz w:val="28"/>
          <w:szCs w:val="28"/>
          <w:lang w:eastAsia="zh-CN"/>
        </w:rPr>
        <w:t>《湖南省律师服务收费行业指导标准（2017年版）》分段计费最低费率计算；不涉及财产关系及标的额</w:t>
      </w:r>
      <w:r>
        <w:rPr>
          <w:rFonts w:hint="eastAsia" w:ascii="宋体" w:hAnsi="宋体" w:eastAsia="宋体" w:cs="宋体"/>
          <w:color w:val="auto"/>
          <w:sz w:val="28"/>
          <w:szCs w:val="28"/>
          <w:lang w:val="en-US" w:eastAsia="zh-CN"/>
        </w:rPr>
        <w:t>在</w:t>
      </w:r>
      <w:r>
        <w:rPr>
          <w:rFonts w:hint="eastAsia" w:ascii="宋体" w:hAnsi="宋体" w:eastAsia="宋体" w:cs="宋体"/>
          <w:color w:val="auto"/>
          <w:sz w:val="28"/>
          <w:szCs w:val="28"/>
          <w:lang w:eastAsia="zh-CN"/>
        </w:rPr>
        <w:t>10万以下</w:t>
      </w:r>
      <w:r>
        <w:rPr>
          <w:rFonts w:hint="eastAsia" w:ascii="宋体" w:hAnsi="宋体" w:eastAsia="宋体" w:cs="宋体"/>
          <w:color w:val="auto"/>
          <w:sz w:val="28"/>
          <w:szCs w:val="28"/>
          <w:lang w:val="en-US" w:eastAsia="zh-CN"/>
        </w:rPr>
        <w:t>的</w:t>
      </w:r>
      <w:r>
        <w:rPr>
          <w:rFonts w:hint="eastAsia" w:ascii="宋体" w:hAnsi="宋体" w:eastAsia="宋体" w:cs="宋体"/>
          <w:color w:val="auto"/>
          <w:sz w:val="28"/>
          <w:szCs w:val="28"/>
          <w:lang w:eastAsia="zh-CN"/>
        </w:rPr>
        <w:t>一审4750元，二审、再审等2256元；标的额</w:t>
      </w:r>
      <w:r>
        <w:rPr>
          <w:rFonts w:hint="eastAsia" w:ascii="宋体" w:hAnsi="宋体" w:eastAsia="宋体" w:cs="宋体"/>
          <w:color w:val="auto"/>
          <w:sz w:val="28"/>
          <w:szCs w:val="28"/>
          <w:lang w:val="en-US" w:eastAsia="zh-CN"/>
        </w:rPr>
        <w:t>在</w:t>
      </w:r>
      <w:r>
        <w:rPr>
          <w:rFonts w:hint="eastAsia" w:ascii="宋体" w:hAnsi="宋体" w:eastAsia="宋体" w:cs="宋体"/>
          <w:color w:val="auto"/>
          <w:sz w:val="28"/>
          <w:szCs w:val="28"/>
          <w:lang w:eastAsia="zh-CN"/>
        </w:rPr>
        <w:t>10万以上（</w:t>
      </w:r>
      <w:r>
        <w:rPr>
          <w:rFonts w:hint="eastAsia" w:ascii="宋体" w:hAnsi="宋体" w:eastAsia="宋体" w:cs="宋体"/>
          <w:color w:val="auto"/>
          <w:sz w:val="28"/>
          <w:szCs w:val="28"/>
          <w:lang w:val="en-US" w:eastAsia="zh-CN"/>
        </w:rPr>
        <w:t>含10万元）的</w:t>
      </w:r>
      <w:r>
        <w:rPr>
          <w:rFonts w:hint="eastAsia" w:ascii="宋体" w:hAnsi="宋体" w:eastAsia="宋体" w:cs="宋体"/>
          <w:color w:val="auto"/>
          <w:sz w:val="28"/>
          <w:szCs w:val="28"/>
          <w:lang w:eastAsia="zh-CN"/>
        </w:rPr>
        <w:t>一审4.5折</w:t>
      </w:r>
      <w:r>
        <w:rPr>
          <w:rFonts w:hint="eastAsia" w:ascii="宋体" w:hAnsi="宋体" w:eastAsia="宋体" w:cs="宋体"/>
          <w:color w:val="auto"/>
          <w:sz w:val="28"/>
          <w:szCs w:val="28"/>
          <w:lang w:val="en-US" w:eastAsia="zh-CN"/>
        </w:rPr>
        <w:t>上限</w:t>
      </w:r>
      <w:r>
        <w:rPr>
          <w:rFonts w:hint="eastAsia" w:ascii="宋体" w:hAnsi="宋体" w:eastAsia="宋体" w:cs="宋体"/>
          <w:color w:val="auto"/>
          <w:sz w:val="28"/>
          <w:szCs w:val="28"/>
          <w:lang w:eastAsia="zh-CN"/>
        </w:rPr>
        <w:t>，二审、再审等按一审费用4.75折</w:t>
      </w:r>
      <w:r>
        <w:rPr>
          <w:rFonts w:hint="eastAsia" w:ascii="宋体" w:hAnsi="宋体" w:eastAsia="宋体" w:cs="宋体"/>
          <w:color w:val="auto"/>
          <w:sz w:val="28"/>
          <w:szCs w:val="28"/>
          <w:lang w:val="en-US" w:eastAsia="zh-CN"/>
        </w:rPr>
        <w:t>上限</w:t>
      </w:r>
      <w:r>
        <w:rPr>
          <w:rFonts w:hint="eastAsia" w:ascii="宋体" w:hAnsi="宋体" w:eastAsia="宋体" w:cs="宋体"/>
          <w:color w:val="auto"/>
          <w:sz w:val="28"/>
          <w:szCs w:val="28"/>
          <w:lang w:eastAsia="zh-CN"/>
        </w:rPr>
        <w:t>计算。案件代理费</w:t>
      </w:r>
      <w:r>
        <w:rPr>
          <w:rFonts w:hint="eastAsia" w:ascii="宋体" w:hAnsi="宋体" w:eastAsia="宋体" w:cs="宋体"/>
          <w:color w:val="auto"/>
          <w:sz w:val="28"/>
          <w:szCs w:val="28"/>
          <w:lang w:val="en-US" w:eastAsia="zh-CN"/>
        </w:rPr>
        <w:t>整体报价在前述限价上报整体折扣率。</w:t>
      </w:r>
      <w:r>
        <w:rPr>
          <w:rFonts w:hint="eastAsia" w:ascii="宋体" w:hAnsi="宋体" w:eastAsia="宋体" w:cs="宋体"/>
          <w:color w:val="auto"/>
          <w:sz w:val="28"/>
          <w:szCs w:val="28"/>
          <w:lang w:eastAsia="zh-CN"/>
        </w:rPr>
        <w:t>标的额在1000万及以上（含1000万）的，在低于案件代理费整体报价折扣基础上协商确定案件代理费。</w:t>
      </w:r>
    </w:p>
    <w:p w14:paraId="2C04A036">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服务期限：</w:t>
      </w: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年</w:t>
      </w:r>
    </w:p>
    <w:p w14:paraId="398968BA">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lang w:eastAsia="zh-CN"/>
        </w:rPr>
        <w:t>项目内容：确定1家律师事务所为采购人提供常年法律顾问服务。</w:t>
      </w:r>
    </w:p>
    <w:p w14:paraId="0FFD3887">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lang w:eastAsia="zh-CN"/>
        </w:rPr>
        <w:t>项目属性：服务类</w:t>
      </w:r>
    </w:p>
    <w:p w14:paraId="0F7B59CE">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黑体" w:hAnsi="黑体" w:eastAsia="黑体" w:cs="黑体"/>
          <w:color w:val="auto"/>
          <w:sz w:val="28"/>
          <w:szCs w:val="28"/>
          <w:lang w:eastAsia="zh-CN"/>
        </w:rPr>
      </w:pPr>
      <w:r>
        <w:rPr>
          <w:rFonts w:hint="eastAsia" w:ascii="黑体" w:hAnsi="黑体" w:eastAsia="黑体" w:cs="黑体"/>
          <w:color w:val="auto"/>
          <w:sz w:val="28"/>
          <w:szCs w:val="28"/>
          <w:lang w:val="en-US" w:eastAsia="zh-CN"/>
        </w:rPr>
        <w:t>二、资格</w:t>
      </w:r>
      <w:r>
        <w:rPr>
          <w:rFonts w:hint="eastAsia" w:ascii="黑体" w:hAnsi="黑体" w:eastAsia="黑体" w:cs="黑体"/>
          <w:color w:val="auto"/>
          <w:sz w:val="28"/>
          <w:szCs w:val="28"/>
          <w:lang w:eastAsia="zh-CN"/>
        </w:rPr>
        <w:t>要求</w:t>
      </w:r>
    </w:p>
    <w:p w14:paraId="26A82FEC">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1.满足《中华人民共和国政府采购法》第二十二条规定，即：</w:t>
      </w:r>
    </w:p>
    <w:p w14:paraId="2F7E03D0">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（1）具有独立承担民事责任的能力；</w:t>
      </w:r>
    </w:p>
    <w:p w14:paraId="384EAFEF">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（2）具有良好的商业信誉和健全的财务会计制度；</w:t>
      </w:r>
    </w:p>
    <w:p w14:paraId="2CE8F667">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（3）具有履行合同所必需的设备和专业技术能力；</w:t>
      </w:r>
    </w:p>
    <w:p w14:paraId="4CB952ED">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（4）有依法缴纳税收和社会保障资金的良好记录；</w:t>
      </w:r>
    </w:p>
    <w:p w14:paraId="6EFFE4F2">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（5）自2021年1月起在经营活动中没有重大违法记录；</w:t>
      </w:r>
    </w:p>
    <w:p w14:paraId="1AB7670E">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（6）法律、行政法规规定的其他条件。</w:t>
      </w:r>
    </w:p>
    <w:p w14:paraId="558B65E8">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2.</w:t>
      </w:r>
      <w:r>
        <w:rPr>
          <w:rFonts w:hint="eastAsia" w:ascii="宋体" w:hAnsi="宋体" w:eastAsia="宋体" w:cs="宋体"/>
          <w:color w:val="auto"/>
          <w:sz w:val="28"/>
          <w:szCs w:val="28"/>
          <w:lang w:eastAsia="zh-CN"/>
        </w:rPr>
        <w:t>未被列入“信用中国”网站中“记录失信被执行人或重大税收违法案件当事人名单或政府采购严重违法失信行为”的记录名单。（提供“信用中国”网站（www.creditchina.gov.cn）网上查询记录复印件并加盖供应商公章）</w:t>
      </w:r>
    </w:p>
    <w:p w14:paraId="7E86922F">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具有经司法行政部门颁发的律师事务所执业许可证。（提供执业许可证复印件并加盖供应商公章）</w:t>
      </w:r>
    </w:p>
    <w:p w14:paraId="017624F9">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三、获取采购文件的时间、期限、地点及方式</w:t>
      </w:r>
    </w:p>
    <w:p w14:paraId="463DFBAC">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有意参加投标者，于公告发布即日起至投标截止时间止，上午8:00-12:00、下午-14:30-17:30在</w:t>
      </w:r>
      <w:r>
        <w:rPr>
          <w:rFonts w:hint="eastAsia" w:ascii="宋体" w:hAnsi="宋体" w:eastAsia="宋体" w:cs="宋体"/>
          <w:color w:val="auto"/>
          <w:sz w:val="28"/>
          <w:szCs w:val="28"/>
          <w:highlight w:val="none"/>
          <w:lang w:val="en-US" w:eastAsia="zh-CN"/>
        </w:rPr>
        <w:t>娄底市中心医院招标办（娄底市中心医院综合楼506室）</w:t>
      </w:r>
      <w:r>
        <w:rPr>
          <w:rFonts w:hint="eastAsia" w:ascii="宋体" w:hAnsi="宋体" w:eastAsia="宋体" w:cs="宋体"/>
          <w:color w:val="auto"/>
          <w:sz w:val="28"/>
          <w:szCs w:val="28"/>
          <w:lang w:val="en-US" w:eastAsia="zh-CN"/>
        </w:rPr>
        <w:t>。</w:t>
      </w:r>
    </w:p>
    <w:p w14:paraId="370F53CB">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四、投标截止时间、开标时间及地点</w:t>
      </w:r>
    </w:p>
    <w:p w14:paraId="32E1E4E8">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240" w:lineRule="auto"/>
        <w:ind w:firstLine="560" w:firstLineChars="200"/>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1.投标报名截止时间：2024年12月6日 17:30（北京时间）</w:t>
      </w:r>
    </w:p>
    <w:p w14:paraId="456B1626">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240" w:lineRule="auto"/>
        <w:ind w:firstLine="560" w:firstLineChars="200"/>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2.开标时间：2024年12月12日15:00</w:t>
      </w:r>
    </w:p>
    <w:p w14:paraId="2A95349B">
      <w:pPr>
        <w:pStyle w:val="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240" w:lineRule="auto"/>
        <w:ind w:firstLine="560" w:firstLineChars="200"/>
        <w:textAlignment w:val="auto"/>
        <w:rPr>
          <w:rFonts w:hint="eastAsia" w:ascii="宋体" w:hAnsi="宋体" w:eastAsia="宋体" w:cs="宋体"/>
          <w:color w:val="auto"/>
          <w:kern w:val="2"/>
          <w:sz w:val="28"/>
          <w:szCs w:val="28"/>
          <w:lang w:val="en-US" w:eastAsia="zh-CN" w:bidi="ar-SA"/>
        </w:rPr>
      </w:pPr>
      <w:r>
        <w:rPr>
          <w:rFonts w:hint="eastAsia" w:ascii="宋体" w:hAnsi="宋体" w:eastAsia="宋体" w:cs="宋体"/>
          <w:color w:val="auto"/>
          <w:kern w:val="2"/>
          <w:sz w:val="28"/>
          <w:szCs w:val="28"/>
          <w:lang w:val="en-US" w:eastAsia="zh-CN" w:bidi="ar-SA"/>
        </w:rPr>
        <w:t>3.开标地点：娄底市长青中街51号E区6楼远程会诊中心</w:t>
      </w:r>
    </w:p>
    <w:p w14:paraId="335E16A5">
      <w:pPr>
        <w:pStyle w:val="7"/>
        <w:ind w:firstLine="560" w:firstLineChars="200"/>
        <w:jc w:val="left"/>
        <w:rPr>
          <w:rFonts w:hint="default" w:ascii="宋体" w:hAnsi="宋体" w:eastAsia="宋体" w:cs="宋体"/>
          <w:b w:val="0"/>
          <w:color w:val="auto"/>
          <w:kern w:val="2"/>
          <w:sz w:val="28"/>
          <w:szCs w:val="28"/>
          <w:lang w:val="en-US" w:eastAsia="zh-CN" w:bidi="ar-SA"/>
        </w:rPr>
      </w:pPr>
      <w:r>
        <w:rPr>
          <w:rFonts w:hint="eastAsia" w:ascii="宋体" w:hAnsi="宋体" w:eastAsia="宋体" w:cs="宋体"/>
          <w:b w:val="0"/>
          <w:color w:val="auto"/>
          <w:kern w:val="2"/>
          <w:sz w:val="28"/>
          <w:szCs w:val="28"/>
          <w:lang w:val="en-US" w:eastAsia="zh-CN" w:bidi="ar-SA"/>
        </w:rPr>
        <w:t>4</w:t>
      </w:r>
      <w:r>
        <w:rPr>
          <w:rFonts w:hint="eastAsia" w:ascii="宋体" w:hAnsi="宋体" w:cs="宋体"/>
          <w:b w:val="0"/>
          <w:color w:val="auto"/>
          <w:kern w:val="2"/>
          <w:sz w:val="28"/>
          <w:szCs w:val="28"/>
          <w:lang w:val="en-US" w:eastAsia="zh-CN" w:bidi="ar-SA"/>
        </w:rPr>
        <w:t>.</w:t>
      </w:r>
      <w:r>
        <w:rPr>
          <w:rFonts w:hint="eastAsia" w:ascii="宋体" w:hAnsi="宋体" w:eastAsia="宋体" w:cs="宋体"/>
          <w:b w:val="0"/>
          <w:color w:val="auto"/>
          <w:kern w:val="2"/>
          <w:sz w:val="28"/>
          <w:szCs w:val="28"/>
          <w:lang w:val="en-US" w:eastAsia="zh-CN" w:bidi="ar-SA"/>
        </w:rPr>
        <w:t>报名方式：</w:t>
      </w:r>
      <w:r>
        <w:rPr>
          <w:rFonts w:hint="eastAsia" w:ascii="宋体" w:hAnsi="宋体" w:cs="宋体"/>
          <w:b w:val="0"/>
          <w:color w:val="auto"/>
          <w:kern w:val="2"/>
          <w:sz w:val="28"/>
          <w:szCs w:val="28"/>
          <w:lang w:val="en-US" w:eastAsia="zh-CN" w:bidi="ar-SA"/>
        </w:rPr>
        <w:t>请将包括（但不限于）以下信息，</w:t>
      </w:r>
      <w:r>
        <w:rPr>
          <w:rFonts w:hint="eastAsia" w:ascii="宋体" w:hAnsi="宋体" w:eastAsia="宋体" w:cs="宋体"/>
          <w:b w:val="0"/>
          <w:color w:val="auto"/>
          <w:kern w:val="2"/>
          <w:sz w:val="28"/>
          <w:szCs w:val="28"/>
          <w:lang w:val="en-US" w:eastAsia="zh-CN" w:bidi="ar-SA"/>
        </w:rPr>
        <w:t>参与项目名称、参与公司名称、联系人、联系方式</w:t>
      </w:r>
      <w:r>
        <w:rPr>
          <w:rFonts w:hint="eastAsia" w:ascii="宋体" w:hAnsi="宋体" w:cs="宋体"/>
          <w:b w:val="0"/>
          <w:color w:val="auto"/>
          <w:kern w:val="2"/>
          <w:sz w:val="28"/>
          <w:szCs w:val="28"/>
          <w:lang w:val="en-US" w:eastAsia="zh-CN" w:bidi="ar-SA"/>
        </w:rPr>
        <w:t>、参与公司营业执照</w:t>
      </w:r>
      <w:r>
        <w:rPr>
          <w:rFonts w:hint="eastAsia" w:ascii="宋体" w:hAnsi="宋体" w:eastAsia="宋体" w:cs="宋体"/>
          <w:b w:val="0"/>
          <w:color w:val="auto"/>
          <w:kern w:val="2"/>
          <w:sz w:val="28"/>
          <w:szCs w:val="28"/>
          <w:lang w:val="en-US" w:eastAsia="zh-CN" w:bidi="ar-SA"/>
        </w:rPr>
        <w:t>发</w:t>
      </w:r>
      <w:r>
        <w:rPr>
          <w:rFonts w:hint="eastAsia" w:ascii="宋体" w:hAnsi="宋体" w:cs="宋体"/>
          <w:b w:val="0"/>
          <w:color w:val="auto"/>
          <w:kern w:val="2"/>
          <w:sz w:val="28"/>
          <w:szCs w:val="28"/>
          <w:lang w:val="en-US" w:eastAsia="zh-CN" w:bidi="ar-SA"/>
        </w:rPr>
        <w:t>送</w:t>
      </w:r>
      <w:r>
        <w:rPr>
          <w:rFonts w:hint="eastAsia" w:ascii="宋体" w:hAnsi="宋体" w:eastAsia="宋体" w:cs="宋体"/>
          <w:b w:val="0"/>
          <w:color w:val="auto"/>
          <w:kern w:val="2"/>
          <w:sz w:val="28"/>
          <w:szCs w:val="28"/>
          <w:lang w:val="en-US" w:eastAsia="zh-CN" w:bidi="ar-SA"/>
        </w:rPr>
        <w:t>至28693680@qq.com</w:t>
      </w:r>
      <w:r>
        <w:rPr>
          <w:rFonts w:hint="eastAsia" w:ascii="宋体" w:hAnsi="宋体" w:cs="宋体"/>
          <w:b w:val="0"/>
          <w:color w:val="auto"/>
          <w:kern w:val="2"/>
          <w:sz w:val="28"/>
          <w:szCs w:val="28"/>
          <w:lang w:val="en-US" w:eastAsia="zh-CN" w:bidi="ar-SA"/>
        </w:rPr>
        <w:t>或将相关报名资料提交至娄底市中心医院综合楼506室廖海星处，联系电话：15873871616。</w:t>
      </w:r>
    </w:p>
    <w:p w14:paraId="12EDD41B">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本采购公告在采购人官方网站</w:t>
      </w:r>
      <w:r>
        <w:rPr>
          <w:rFonts w:hint="eastAsia" w:ascii="宋体" w:hAnsi="宋体" w:eastAsia="宋体" w:cs="宋体"/>
          <w:color w:val="auto"/>
          <w:sz w:val="28"/>
          <w:szCs w:val="28"/>
          <w:u w:val="single"/>
          <w:lang w:val="en-US" w:eastAsia="zh-CN"/>
        </w:rPr>
        <w:t>http://www.ldzxyy.com/</w:t>
      </w:r>
      <w:r>
        <w:rPr>
          <w:rFonts w:hint="eastAsia" w:ascii="宋体" w:hAnsi="宋体" w:eastAsia="宋体" w:cs="宋体"/>
          <w:color w:val="auto"/>
          <w:sz w:val="28"/>
          <w:szCs w:val="28"/>
          <w:highlight w:val="none"/>
          <w:lang w:val="en-US" w:eastAsia="zh-CN"/>
        </w:rPr>
        <w:t>发布，公告期限从本采购公告发布之日起5个工作日。</w:t>
      </w:r>
    </w:p>
    <w:p w14:paraId="467BBB92">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五、询问及质疑</w:t>
      </w:r>
      <w:bookmarkStart w:id="5" w:name="_GoBack"/>
      <w:bookmarkEnd w:id="5"/>
    </w:p>
    <w:p w14:paraId="2764899B">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1.投标人对采购活动事项如有疑问的，可以向采购人、采购代理机构提出询问。采购人、采购代理机构将在7个工作日内作出答复。</w:t>
      </w:r>
    </w:p>
    <w:p w14:paraId="3C7FA9CC">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2.潜在投标人认为采购文件或公告使自己的合法权益受到损害的，可以在收到采购文件之日或公告期限届满之日起7个工作日内，以纸质书面形式向采购人、采购代理机构提出质疑。</w:t>
      </w:r>
    </w:p>
    <w:p w14:paraId="4562B739">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黑体" w:hAnsi="黑体" w:eastAsia="黑体" w:cs="黑体"/>
          <w:color w:val="auto"/>
          <w:sz w:val="28"/>
          <w:szCs w:val="28"/>
          <w:highlight w:val="none"/>
          <w:lang w:val="en-US" w:eastAsia="zh-CN"/>
        </w:rPr>
      </w:pPr>
      <w:r>
        <w:rPr>
          <w:rFonts w:hint="eastAsia" w:ascii="黑体" w:hAnsi="黑体" w:eastAsia="黑体" w:cs="黑体"/>
          <w:color w:val="auto"/>
          <w:sz w:val="28"/>
          <w:szCs w:val="28"/>
          <w:highlight w:val="none"/>
          <w:lang w:val="en-US" w:eastAsia="zh-CN"/>
        </w:rPr>
        <w:t>六、投标说明</w:t>
      </w:r>
    </w:p>
    <w:p w14:paraId="05BB44DD">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参与竞标的投标人是律师事务所负责人或律师事务所负责人授权的代表人，需提供律师事务所负责人身份证复印件、律师事务所负责人授权委托人（如投标人是负责人授权参与竞标的）、被委托人的身份证复印件。</w:t>
      </w:r>
    </w:p>
    <w:p w14:paraId="1E3F2C68">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2.本项目不接受联合体投标，不允许分包、转包。</w:t>
      </w:r>
    </w:p>
    <w:p w14:paraId="05C0CD99">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3.中标人必须配合采购人在湖南省政府采购电子卖场完成采购程序。</w:t>
      </w:r>
    </w:p>
    <w:p w14:paraId="42E2D518">
      <w:pPr>
        <w:pStyle w:val="19"/>
        <w:keepNext w:val="0"/>
        <w:keepLines w:val="0"/>
        <w:pageBreakBefore w:val="0"/>
        <w:kinsoku/>
        <w:wordWrap/>
        <w:overflowPunct/>
        <w:topLinePunct w:val="0"/>
        <w:autoSpaceDE/>
        <w:autoSpaceDN/>
        <w:bidi w:val="0"/>
        <w:spacing w:line="520" w:lineRule="exact"/>
        <w:ind w:left="0" w:leftChars="0" w:firstLine="560" w:firstLineChars="200"/>
        <w:rPr>
          <w:rFonts w:hint="default"/>
          <w:color w:val="auto"/>
          <w:lang w:val="en-US" w:eastAsia="zh-CN"/>
        </w:rPr>
      </w:pPr>
      <w:r>
        <w:rPr>
          <w:rFonts w:hint="eastAsia" w:ascii="宋体" w:hAnsi="宋体" w:eastAsia="宋体" w:cs="宋体"/>
          <w:color w:val="auto"/>
          <w:sz w:val="28"/>
          <w:szCs w:val="28"/>
          <w:highlight w:val="none"/>
          <w:lang w:val="en-US" w:eastAsia="zh-CN"/>
        </w:rPr>
        <w:t>4.本项目产生的采购机构代理费及专家评审费均由中标人承担。</w:t>
      </w:r>
    </w:p>
    <w:p w14:paraId="03C1650D">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七、采购项目联系人姓名和电话</w:t>
      </w:r>
    </w:p>
    <w:p w14:paraId="4FF0FBAB">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1.联系人姓名： 贺剑</w:t>
      </w:r>
    </w:p>
    <w:p w14:paraId="270EACE3">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2.电话：18007389906</w:t>
      </w:r>
    </w:p>
    <w:p w14:paraId="69B66B86">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default"/>
          <w:color w:val="auto"/>
          <w:lang w:val="en-US" w:eastAsia="zh-CN"/>
        </w:rPr>
      </w:pPr>
      <w:r>
        <w:rPr>
          <w:rFonts w:hint="eastAsia" w:ascii="黑体" w:hAnsi="黑体" w:eastAsia="黑体" w:cs="黑体"/>
          <w:color w:val="auto"/>
          <w:sz w:val="28"/>
          <w:szCs w:val="28"/>
          <w:lang w:val="en-US" w:eastAsia="zh-CN"/>
        </w:rPr>
        <w:t>八、采购人、采购代理机构的名称、地址和联系方法</w:t>
      </w:r>
    </w:p>
    <w:p w14:paraId="6140C339">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1.采购人信息</w:t>
      </w:r>
    </w:p>
    <w:p w14:paraId="745E01D9">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（1）名  称：娄底市中心医院</w:t>
      </w:r>
    </w:p>
    <w:p w14:paraId="6505F739">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（2）地  址：娄底市娄星区长青中街51号</w:t>
      </w:r>
    </w:p>
    <w:p w14:paraId="714BC1CB">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（3）联系人：廖海星</w:t>
      </w:r>
    </w:p>
    <w:p w14:paraId="29CBF393">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（4）邮  编：417000</w:t>
      </w:r>
    </w:p>
    <w:p w14:paraId="7EEF0AD4">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（5）电  话：15873871616</w:t>
      </w:r>
    </w:p>
    <w:p w14:paraId="264CA76E">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2.采购代理机构信息</w:t>
      </w:r>
    </w:p>
    <w:p w14:paraId="74F8F62C">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（1）名 称：湖南森诺项目管理有限公司</w:t>
      </w:r>
    </w:p>
    <w:p w14:paraId="7237163F">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（2）地 址：娄底市湘中大道君临天厦A座</w:t>
      </w:r>
    </w:p>
    <w:p w14:paraId="037537D4">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（3）联系人：贺剑</w:t>
      </w:r>
    </w:p>
    <w:p w14:paraId="6385CFB8">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（4）邮 编：417000</w:t>
      </w:r>
    </w:p>
    <w:p w14:paraId="242BE215">
      <w:pPr>
        <w:keepNext w:val="0"/>
        <w:keepLines w:val="0"/>
        <w:pageBreakBefore w:val="0"/>
        <w:widowControl w:val="0"/>
        <w:kinsoku/>
        <w:wordWrap/>
        <w:overflowPunct/>
        <w:topLinePunct w:val="0"/>
        <w:autoSpaceDE/>
        <w:autoSpaceDN/>
        <w:bidi w:val="0"/>
        <w:adjustRightInd/>
        <w:snapToGrid/>
        <w:spacing w:line="52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（5）电 话：18007389906</w:t>
      </w:r>
    </w:p>
    <w:p w14:paraId="3719EAE0">
      <w:pPr>
        <w:pStyle w:val="19"/>
        <w:rPr>
          <w:rFonts w:hint="eastAsia" w:ascii="宋体" w:hAnsi="宋体" w:eastAsia="宋体" w:cs="宋体"/>
          <w:color w:val="auto"/>
          <w:sz w:val="28"/>
          <w:szCs w:val="28"/>
          <w:highlight w:val="none"/>
          <w:lang w:val="en-US" w:eastAsia="zh-CN"/>
        </w:rPr>
      </w:pPr>
    </w:p>
    <w:p w14:paraId="28E9FB0C">
      <w:pPr>
        <w:pStyle w:val="19"/>
        <w:jc w:val="right"/>
        <w:rPr>
          <w:rFonts w:hint="default"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lang w:val="en-US" w:eastAsia="zh-CN"/>
        </w:rPr>
        <w:t>公告发布日期：2024年12月2日</w:t>
      </w:r>
    </w:p>
    <w:p w14:paraId="21D97E0C">
      <w:pPr>
        <w:rPr>
          <w:rFonts w:hint="eastAsia" w:ascii="黑体" w:hAnsi="华文中宋" w:eastAsia="黑体"/>
          <w:b/>
          <w:color w:val="auto"/>
          <w:sz w:val="32"/>
          <w:szCs w:val="32"/>
          <w:highlight w:val="none"/>
        </w:rPr>
      </w:pPr>
      <w:bookmarkStart w:id="0" w:name="_Toc17336"/>
      <w:r>
        <w:rPr>
          <w:rFonts w:hint="eastAsia" w:ascii="黑体" w:hAnsi="华文中宋" w:eastAsia="黑体"/>
          <w:b/>
          <w:color w:val="auto"/>
          <w:sz w:val="32"/>
          <w:szCs w:val="32"/>
          <w:highlight w:val="none"/>
        </w:rPr>
        <w:br w:type="page"/>
      </w:r>
    </w:p>
    <w:p w14:paraId="1DA2468D">
      <w:pPr>
        <w:pStyle w:val="10"/>
        <w:keepNext w:val="0"/>
        <w:keepLines w:val="0"/>
        <w:pageBreakBefore w:val="0"/>
        <w:widowControl w:val="0"/>
        <w:kinsoku/>
        <w:wordWrap/>
        <w:overflowPunct/>
        <w:topLinePunct w:val="0"/>
        <w:autoSpaceDE/>
        <w:autoSpaceDN/>
        <w:bidi w:val="0"/>
        <w:adjustRightInd w:val="0"/>
        <w:snapToGrid w:val="0"/>
        <w:spacing w:line="500" w:lineRule="exact"/>
        <w:jc w:val="center"/>
        <w:textAlignment w:val="auto"/>
        <w:outlineLvl w:val="0"/>
        <w:rPr>
          <w:rFonts w:hint="default" w:ascii="黑体" w:hAnsi="华文中宋" w:eastAsia="黑体"/>
          <w:b/>
          <w:color w:val="auto"/>
          <w:sz w:val="32"/>
          <w:szCs w:val="32"/>
          <w:highlight w:val="none"/>
          <w:lang w:val="en-US" w:eastAsia="zh-CN"/>
        </w:rPr>
      </w:pPr>
      <w:r>
        <w:rPr>
          <w:rFonts w:hint="eastAsia" w:ascii="黑体" w:hAnsi="华文中宋" w:eastAsia="黑体"/>
          <w:b/>
          <w:color w:val="auto"/>
          <w:sz w:val="32"/>
          <w:szCs w:val="32"/>
          <w:highlight w:val="none"/>
        </w:rPr>
        <w:t xml:space="preserve">第二章 </w:t>
      </w:r>
      <w:bookmarkEnd w:id="0"/>
      <w:r>
        <w:rPr>
          <w:rFonts w:hint="eastAsia" w:ascii="黑体" w:hAnsi="华文中宋" w:eastAsia="黑体"/>
          <w:b/>
          <w:color w:val="auto"/>
          <w:sz w:val="32"/>
          <w:szCs w:val="32"/>
          <w:highlight w:val="none"/>
          <w:lang w:val="en-US" w:eastAsia="zh-CN"/>
        </w:rPr>
        <w:t>采购需求及付款方式</w:t>
      </w:r>
    </w:p>
    <w:p w14:paraId="51ED307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一、法律顾问服务采购需求</w:t>
      </w:r>
    </w:p>
    <w:p w14:paraId="676EDF7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1.指派律所3人及以上专职执业律师组建法律顾问团队（含坐班律师，</w:t>
      </w:r>
      <w:r>
        <w:rPr>
          <w:rFonts w:hint="eastAsia" w:ascii="宋体" w:hAnsi="宋体" w:eastAsia="宋体" w:cs="宋体"/>
          <w:color w:val="auto"/>
          <w:sz w:val="28"/>
          <w:szCs w:val="28"/>
          <w:highlight w:val="none"/>
          <w:lang w:val="en-US" w:eastAsia="zh-CN"/>
        </w:rPr>
        <w:t>坐班律师执业年限须在3年及以上</w:t>
      </w:r>
      <w:r>
        <w:rPr>
          <w:rFonts w:hint="eastAsia" w:ascii="宋体" w:hAnsi="宋体" w:eastAsia="宋体" w:cs="宋体"/>
          <w:color w:val="auto"/>
          <w:sz w:val="28"/>
          <w:szCs w:val="28"/>
          <w:lang w:val="en-US" w:eastAsia="zh-CN"/>
        </w:rPr>
        <w:t>），并由律所负责人或合伙律师担任法律顾问团队负责人；根据采购人需要指派执业律师来院坐班提供日常法律服务</w:t>
      </w:r>
      <w:r>
        <w:rPr>
          <w:rFonts w:hint="eastAsia" w:ascii="宋体" w:hAnsi="宋体" w:eastAsia="宋体" w:cs="宋体"/>
          <w:color w:val="auto"/>
          <w:sz w:val="28"/>
          <w:szCs w:val="28"/>
          <w:highlight w:val="none"/>
          <w:lang w:val="en-US" w:eastAsia="zh-CN"/>
        </w:rPr>
        <w:t>，</w:t>
      </w:r>
      <w:r>
        <w:rPr>
          <w:rFonts w:hint="eastAsia" w:ascii="宋体" w:hAnsi="宋体" w:eastAsia="宋体" w:cs="宋体"/>
          <w:color w:val="auto"/>
          <w:sz w:val="28"/>
          <w:szCs w:val="28"/>
          <w:lang w:val="en-US" w:eastAsia="zh-CN"/>
        </w:rPr>
        <w:t>每月时长不低于4个工作日。</w:t>
      </w:r>
    </w:p>
    <w:p w14:paraId="3011EE9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2.起草、修改涉法文书，根据采购人需要出具律师函。</w:t>
      </w:r>
    </w:p>
    <w:p w14:paraId="0C9A860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3.修改重要制度、文件、函件、答复等，对重要制度、文件、函件、答复、重大决定等进行合法性审查并出具意见，梳理法律风险防控点并提出风险防控解决方案。</w:t>
      </w:r>
    </w:p>
    <w:p w14:paraId="776AD49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4.建立合同模板库，负责起草、修改、审查合同，出具审查意见。</w:t>
      </w:r>
    </w:p>
    <w:p w14:paraId="510280A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5.根据采购人需要，参与对外谈判及纠纷处理，对已经面临或者可能发生的法律风险，进行法律论证，提出解决方案。</w:t>
      </w:r>
    </w:p>
    <w:p w14:paraId="7BAC818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6.根据采购人需要，参与医疗纠纷专家讨论并发表处理意见，参与重大医疗纠纷医患座谈，与患方进行沟通协调，参与医疗纠纷处置。</w:t>
      </w:r>
    </w:p>
    <w:p w14:paraId="0F89C17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7.提供重大项目建设专项法律服务，负责全过程各类法律文件的起草、修改、审查，协助采购人规范项目建设行为，防止违法行为发生等。</w:t>
      </w:r>
    </w:p>
    <w:p w14:paraId="00752ED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8.根据采购人需要来院现场服务，紧急情况下法律顾问团队负责人半小时内到达现场，包括参与会议、进行论证和合法性审查，提供法律意见、建议和解决方案。</w:t>
      </w:r>
    </w:p>
    <w:p w14:paraId="2BF6E42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9.提供电话、邮件、微信等形式的24小时法律咨询服务，紧急事务1小时内作出解答，根据采购人需要出具法律咨询意见书。</w:t>
      </w:r>
    </w:p>
    <w:p w14:paraId="21948F3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10.协助采购人法务部门开展法治建设工作，配合开展法治宣传教育及活动，根据采购人需要提供法律知识培训、普法教育和培训等，培训课时每年不少于8小时。</w:t>
      </w:r>
    </w:p>
    <w:p w14:paraId="3EB5914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11.服务期间根据采购人需要代理案件，分析是否参与应诉及风险，撰写相关法律文书，参与诉讼及鉴定案件的法律论证、策划。案件代理费不计入年度法律顾问服务费用。</w:t>
      </w:r>
    </w:p>
    <w:p w14:paraId="0D2C95B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12.办理采购人需要的其他法律事务。</w:t>
      </w:r>
    </w:p>
    <w:p w14:paraId="1711E6D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13.对服务期间知悉的工作内容及相关信息严格保密，如因泄露或不正当使用造成采购人损失的，应当承担赔偿责任。</w:t>
      </w:r>
    </w:p>
    <w:p w14:paraId="5E06E90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14.每半个合同年度届满后10日内需向采购人提交上半个合同年度《法律顾问服务工作报告》，内容包括上半个合同年度法律顾问工作总结、经办案件基本情况、原因评析、经验教训以及对采购人管理方面提出的建议。</w:t>
      </w:r>
    </w:p>
    <w:p w14:paraId="75AE561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lang w:val="en-US" w:eastAsia="zh-CN"/>
        </w:rPr>
        <w:t>15.接受采购人对服务质量进行考评，采购人有权对未达标准的服务在应支付款项中予以扣除费用；如因法律顾问执业过错造成采购人损失的，</w:t>
      </w:r>
      <w:r>
        <w:rPr>
          <w:rFonts w:hint="eastAsia" w:ascii="宋体" w:hAnsi="宋体" w:eastAsia="宋体" w:cs="宋体"/>
          <w:color w:val="auto"/>
          <w:sz w:val="28"/>
          <w:szCs w:val="28"/>
          <w:highlight w:val="none"/>
          <w:lang w:val="en-US" w:eastAsia="zh-CN"/>
        </w:rPr>
        <w:t>由法律顾问所在律师事务所承担赔偿责任。</w:t>
      </w:r>
    </w:p>
    <w:p w14:paraId="1FA63077">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二、付款方式</w:t>
      </w:r>
    </w:p>
    <w:p w14:paraId="54F37FD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color w:val="auto"/>
          <w:lang w:val="en-US" w:eastAsia="zh-CN"/>
        </w:rPr>
      </w:pPr>
      <w:r>
        <w:rPr>
          <w:rFonts w:hint="eastAsia" w:ascii="宋体" w:hAnsi="宋体" w:eastAsia="宋体" w:cs="宋体"/>
          <w:color w:val="auto"/>
          <w:sz w:val="28"/>
          <w:szCs w:val="28"/>
          <w:lang w:val="en-US" w:eastAsia="zh-CN"/>
        </w:rPr>
        <w:t>1.</w:t>
      </w:r>
      <w:r>
        <w:rPr>
          <w:rFonts w:hint="eastAsia" w:ascii="宋体" w:hAnsi="宋体" w:eastAsia="宋体" w:cs="宋体"/>
          <w:b w:val="0"/>
          <w:bCs w:val="0"/>
          <w:color w:val="auto"/>
          <w:sz w:val="28"/>
          <w:szCs w:val="28"/>
          <w:highlight w:val="none"/>
          <w:lang w:val="en-US" w:eastAsia="zh-CN"/>
        </w:rPr>
        <w:t>每半个合同年度届满后30日内支付上半个合同年度</w:t>
      </w:r>
      <w:r>
        <w:rPr>
          <w:rFonts w:hint="eastAsia" w:ascii="宋体" w:hAnsi="宋体" w:eastAsia="宋体" w:cs="宋体"/>
          <w:b w:val="0"/>
          <w:bCs w:val="0"/>
          <w:color w:val="auto"/>
          <w:sz w:val="28"/>
          <w:szCs w:val="28"/>
          <w:lang w:val="en-US" w:eastAsia="zh-CN"/>
        </w:rPr>
        <w:t>法律顾问</w:t>
      </w:r>
      <w:r>
        <w:rPr>
          <w:rFonts w:hint="eastAsia" w:ascii="宋体" w:hAnsi="宋体" w:eastAsia="宋体" w:cs="宋体"/>
          <w:b w:val="0"/>
          <w:bCs w:val="0"/>
          <w:color w:val="auto"/>
          <w:sz w:val="28"/>
          <w:szCs w:val="28"/>
          <w:highlight w:val="none"/>
          <w:lang w:val="en-US" w:eastAsia="zh-CN"/>
        </w:rPr>
        <w:t>服务费用；根据法律顾问服务</w:t>
      </w:r>
      <w:r>
        <w:rPr>
          <w:rFonts w:hint="eastAsia" w:ascii="宋体" w:hAnsi="宋体" w:eastAsia="宋体" w:cs="宋体"/>
          <w:color w:val="auto"/>
          <w:sz w:val="28"/>
          <w:szCs w:val="28"/>
          <w:lang w:eastAsia="zh-CN"/>
        </w:rPr>
        <w:t>考评结果</w:t>
      </w:r>
      <w:r>
        <w:rPr>
          <w:rFonts w:hint="eastAsia" w:ascii="宋体" w:hAnsi="宋体" w:eastAsia="宋体" w:cs="宋体"/>
          <w:color w:val="auto"/>
          <w:sz w:val="28"/>
          <w:szCs w:val="28"/>
          <w:lang w:val="en-US" w:eastAsia="zh-CN"/>
        </w:rPr>
        <w:t>支付半年度服务费用，</w:t>
      </w:r>
      <w:r>
        <w:rPr>
          <w:rFonts w:hint="eastAsia" w:ascii="宋体" w:hAnsi="宋体" w:eastAsia="宋体" w:cs="宋体"/>
          <w:b w:val="0"/>
          <w:bCs w:val="0"/>
          <w:color w:val="auto"/>
          <w:sz w:val="28"/>
          <w:szCs w:val="28"/>
          <w:highlight w:val="none"/>
          <w:lang w:val="en-US" w:eastAsia="zh-CN"/>
        </w:rPr>
        <w:t>考评等级在合格及以上的按合同约定支付半年度法律顾问服务费用；考评为基本合格等级的，支付80%的半年度法律顾问服务费用，对法律顾问及其所在法律服务机构负责人进行约谈，考虑调换法律顾问，法律服务机构应当在被约谈的5个工作日内提交经负责人签字确认的书面整改报告；考评为不合格等级的，不予支付半年度法律顾问服务费用，解除法律顾问服务合同，并要求就给采购人造成的损失予以赔偿。</w:t>
      </w: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lang w:val="en-US" w:eastAsia="zh-CN"/>
        </w:rPr>
        <w:t>法律顾问服务考评办法</w:t>
      </w:r>
      <w:r>
        <w:rPr>
          <w:rFonts w:hint="eastAsia" w:ascii="宋体" w:hAnsi="宋体" w:eastAsia="宋体" w:cs="宋体"/>
          <w:b/>
          <w:bCs/>
          <w:color w:val="auto"/>
          <w:sz w:val="28"/>
          <w:szCs w:val="28"/>
          <w:lang w:eastAsia="zh-CN"/>
        </w:rPr>
        <w:t>》</w:t>
      </w:r>
      <w:r>
        <w:rPr>
          <w:rFonts w:hint="eastAsia" w:ascii="宋体" w:hAnsi="宋体" w:eastAsia="宋体" w:cs="宋体"/>
          <w:b/>
          <w:bCs/>
          <w:color w:val="auto"/>
          <w:sz w:val="28"/>
          <w:szCs w:val="28"/>
          <w:lang w:val="en-US" w:eastAsia="zh-CN"/>
        </w:rPr>
        <w:t>详见合同附件。</w:t>
      </w:r>
    </w:p>
    <w:p w14:paraId="2455881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w:t>
      </w:r>
      <w:r>
        <w:rPr>
          <w:rFonts w:hint="eastAsia" w:ascii="宋体" w:hAnsi="宋体" w:eastAsia="宋体" w:cs="宋体"/>
          <w:color w:val="auto"/>
          <w:sz w:val="28"/>
          <w:szCs w:val="28"/>
          <w:highlight w:val="none"/>
          <w:lang w:val="en-US" w:eastAsia="zh-CN"/>
        </w:rPr>
        <w:t>案件代理费每满半个合同年度支付1次；供应商应在每半个合同年度届满后</w:t>
      </w:r>
      <w:r>
        <w:rPr>
          <w:rFonts w:hint="eastAsia" w:ascii="宋体" w:hAnsi="宋体" w:eastAsia="宋体" w:cs="宋体"/>
          <w:color w:val="auto"/>
          <w:sz w:val="28"/>
          <w:szCs w:val="28"/>
          <w:highlight w:val="none"/>
          <w:u w:val="single"/>
          <w:lang w:val="en-US" w:eastAsia="zh-CN"/>
        </w:rPr>
        <w:t xml:space="preserve"> 10 </w:t>
      </w:r>
      <w:r>
        <w:rPr>
          <w:rFonts w:hint="eastAsia" w:ascii="宋体" w:hAnsi="宋体" w:eastAsia="宋体" w:cs="宋体"/>
          <w:color w:val="auto"/>
          <w:sz w:val="28"/>
          <w:szCs w:val="28"/>
          <w:highlight w:val="none"/>
          <w:u w:val="none"/>
          <w:lang w:val="en-US" w:eastAsia="zh-CN"/>
        </w:rPr>
        <w:t>日内与采购人办理案件代理费结算，采购人在每半个合同年度届满后30日内向供应商支付上半个合同年度案件代理费</w:t>
      </w:r>
      <w:r>
        <w:rPr>
          <w:rFonts w:hint="eastAsia" w:ascii="宋体" w:hAnsi="宋体" w:eastAsia="宋体" w:cs="宋体"/>
          <w:color w:val="auto"/>
          <w:sz w:val="28"/>
          <w:szCs w:val="28"/>
          <w:highlight w:val="none"/>
          <w:lang w:val="en-US" w:eastAsia="zh-CN"/>
        </w:rPr>
        <w:t>。</w:t>
      </w:r>
    </w:p>
    <w:p w14:paraId="2917320C">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黑体" w:hAnsi="黑体" w:eastAsia="黑体" w:cs="黑体"/>
          <w:color w:val="auto"/>
          <w:sz w:val="28"/>
          <w:szCs w:val="28"/>
          <w:highlight w:val="none"/>
          <w:lang w:val="en-US" w:eastAsia="zh-CN"/>
        </w:rPr>
      </w:pPr>
      <w:r>
        <w:rPr>
          <w:rFonts w:hint="eastAsia" w:ascii="宋体" w:hAnsi="宋体" w:eastAsia="宋体" w:cs="宋体"/>
          <w:color w:val="auto"/>
          <w:sz w:val="28"/>
          <w:szCs w:val="28"/>
          <w:lang w:val="en-US" w:eastAsia="zh-CN"/>
        </w:rPr>
        <w:t>3.支付前成交供应商应与采购人确认金额，提交以该律师事务所名义开具的、对应支付金额、符合税法规定的</w:t>
      </w:r>
      <w:r>
        <w:rPr>
          <w:rFonts w:hint="eastAsia" w:ascii="宋体" w:hAnsi="宋体" w:eastAsia="宋体" w:cs="宋体"/>
          <w:color w:val="auto"/>
          <w:sz w:val="28"/>
          <w:szCs w:val="28"/>
          <w:highlight w:val="none"/>
          <w:lang w:val="en-US" w:eastAsia="zh-CN"/>
        </w:rPr>
        <w:t>增值税普通发票。</w:t>
      </w:r>
    </w:p>
    <w:p w14:paraId="3AF4A615">
      <w:pPr>
        <w:rPr>
          <w:rFonts w:hint="eastAsia" w:ascii="黑体" w:hAnsi="华文中宋" w:eastAsia="黑体"/>
          <w:b/>
          <w:color w:val="auto"/>
          <w:sz w:val="32"/>
          <w:szCs w:val="32"/>
          <w:highlight w:val="none"/>
        </w:rPr>
      </w:pPr>
      <w:r>
        <w:rPr>
          <w:rFonts w:hint="eastAsia" w:ascii="黑体" w:hAnsi="华文中宋" w:eastAsia="黑体"/>
          <w:b/>
          <w:color w:val="auto"/>
          <w:sz w:val="32"/>
          <w:szCs w:val="32"/>
          <w:highlight w:val="none"/>
        </w:rPr>
        <w:br w:type="page"/>
      </w:r>
    </w:p>
    <w:p w14:paraId="033283DE">
      <w:pPr>
        <w:pStyle w:val="10"/>
        <w:pageBreakBefore w:val="0"/>
        <w:widowControl w:val="0"/>
        <w:kinsoku/>
        <w:wordWrap/>
        <w:overflowPunct/>
        <w:topLinePunct w:val="0"/>
        <w:autoSpaceDE/>
        <w:autoSpaceDN/>
        <w:bidi w:val="0"/>
        <w:adjustRightInd w:val="0"/>
        <w:snapToGrid w:val="0"/>
        <w:spacing w:line="520" w:lineRule="exact"/>
        <w:jc w:val="center"/>
        <w:textAlignment w:val="auto"/>
        <w:outlineLvl w:val="0"/>
        <w:rPr>
          <w:rFonts w:ascii="黑体" w:hAnsi="华文中宋" w:eastAsia="黑体"/>
          <w:b/>
          <w:color w:val="auto"/>
          <w:spacing w:val="100"/>
          <w:sz w:val="32"/>
          <w:szCs w:val="32"/>
          <w:highlight w:val="none"/>
        </w:rPr>
      </w:pPr>
      <w:r>
        <w:rPr>
          <w:rFonts w:hint="eastAsia" w:ascii="黑体" w:hAnsi="华文中宋" w:eastAsia="黑体"/>
          <w:b/>
          <w:color w:val="auto"/>
          <w:sz w:val="32"/>
          <w:szCs w:val="32"/>
          <w:highlight w:val="none"/>
        </w:rPr>
        <w:t>第</w:t>
      </w:r>
      <w:r>
        <w:rPr>
          <w:rFonts w:hint="eastAsia" w:ascii="黑体" w:hAnsi="华文中宋" w:eastAsia="黑体"/>
          <w:b/>
          <w:color w:val="auto"/>
          <w:sz w:val="32"/>
          <w:szCs w:val="32"/>
          <w:highlight w:val="none"/>
          <w:lang w:val="en-US" w:eastAsia="zh-CN"/>
        </w:rPr>
        <w:t>三</w:t>
      </w:r>
      <w:r>
        <w:rPr>
          <w:rFonts w:hint="eastAsia" w:ascii="黑体" w:hAnsi="华文中宋" w:eastAsia="黑体"/>
          <w:b/>
          <w:color w:val="auto"/>
          <w:sz w:val="32"/>
          <w:szCs w:val="32"/>
          <w:highlight w:val="none"/>
        </w:rPr>
        <w:t>章 投标须知</w:t>
      </w:r>
    </w:p>
    <w:p w14:paraId="1F5C8935">
      <w:pPr>
        <w:pStyle w:val="4"/>
        <w:pageBreakBefore w:val="0"/>
        <w:widowControl w:val="0"/>
        <w:kinsoku/>
        <w:wordWrap/>
        <w:overflowPunct/>
        <w:topLinePunct w:val="0"/>
        <w:autoSpaceDE/>
        <w:autoSpaceDN/>
        <w:bidi w:val="0"/>
        <w:adjustRightInd w:val="0"/>
        <w:snapToGrid w:val="0"/>
        <w:spacing w:before="0" w:after="0" w:line="520" w:lineRule="exact"/>
        <w:ind w:firstLine="562" w:firstLineChars="200"/>
        <w:jc w:val="both"/>
        <w:textAlignment w:val="auto"/>
        <w:rPr>
          <w:rFonts w:ascii="黑体" w:hAnsi="黑体" w:eastAsia="黑体"/>
          <w:color w:val="auto"/>
          <w:sz w:val="28"/>
          <w:szCs w:val="28"/>
          <w:highlight w:val="none"/>
        </w:rPr>
      </w:pPr>
      <w:bookmarkStart w:id="1" w:name="_Toc25744"/>
      <w:r>
        <w:rPr>
          <w:rFonts w:hint="eastAsia" w:ascii="黑体" w:hAnsi="黑体" w:eastAsia="黑体"/>
          <w:color w:val="auto"/>
          <w:sz w:val="28"/>
          <w:szCs w:val="28"/>
          <w:highlight w:val="none"/>
          <w:lang w:val="en-US" w:eastAsia="zh-CN"/>
        </w:rPr>
        <w:t>一</w:t>
      </w:r>
      <w:r>
        <w:rPr>
          <w:rFonts w:hint="eastAsia" w:ascii="黑体" w:hAnsi="黑体" w:eastAsia="黑体"/>
          <w:color w:val="auto"/>
          <w:sz w:val="28"/>
          <w:szCs w:val="28"/>
          <w:highlight w:val="none"/>
        </w:rPr>
        <w:t>、投标文件</w:t>
      </w:r>
      <w:bookmarkEnd w:id="1"/>
    </w:p>
    <w:p w14:paraId="392DD024">
      <w:pPr>
        <w:pageBreakBefore w:val="0"/>
        <w:widowControl w:val="0"/>
        <w:kinsoku/>
        <w:wordWrap/>
        <w:overflowPunct/>
        <w:topLinePunct w:val="0"/>
        <w:autoSpaceDE/>
        <w:autoSpaceDN/>
        <w:bidi w:val="0"/>
        <w:adjustRightInd w:val="0"/>
        <w:snapToGrid w:val="0"/>
        <w:spacing w:line="520" w:lineRule="exact"/>
        <w:ind w:firstLine="562" w:firstLineChars="200"/>
        <w:jc w:val="left"/>
        <w:textAlignment w:val="auto"/>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lang w:val="en-US" w:eastAsia="zh-CN"/>
        </w:rPr>
        <w:t>1.</w:t>
      </w:r>
      <w:r>
        <w:rPr>
          <w:rFonts w:hint="eastAsia" w:asciiTheme="minorEastAsia" w:hAnsiTheme="minorEastAsia" w:eastAsiaTheme="minorEastAsia" w:cstheme="minorEastAsia"/>
          <w:b/>
          <w:bCs/>
          <w:color w:val="auto"/>
          <w:sz w:val="28"/>
          <w:szCs w:val="28"/>
          <w:highlight w:val="none"/>
        </w:rPr>
        <w:t>投标文件的组成</w:t>
      </w:r>
    </w:p>
    <w:p w14:paraId="7794F151">
      <w:pPr>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投标文件由如下内容组成：</w:t>
      </w:r>
    </w:p>
    <w:p w14:paraId="4F1EC45D">
      <w:pPr>
        <w:pageBreakBefore w:val="0"/>
        <w:widowControl w:val="0"/>
        <w:kinsoku/>
        <w:wordWrap/>
        <w:overflowPunct/>
        <w:topLinePunct w:val="0"/>
        <w:autoSpaceDE/>
        <w:autoSpaceDN/>
        <w:bidi w:val="0"/>
        <w:adjustRightInd w:val="0"/>
        <w:snapToGrid w:val="0"/>
        <w:spacing w:line="520" w:lineRule="exact"/>
        <w:ind w:firstLine="562" w:firstLineChars="200"/>
        <w:jc w:val="left"/>
        <w:textAlignment w:val="auto"/>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第一部分 资格证明文件</w:t>
      </w:r>
    </w:p>
    <w:p w14:paraId="3BAB80DD">
      <w:pPr>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（1）开标一览表</w:t>
      </w:r>
    </w:p>
    <w:p w14:paraId="5CF4AD37">
      <w:pPr>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（2）授权委托书</w:t>
      </w:r>
    </w:p>
    <w:p w14:paraId="0F6F7ED4">
      <w:pPr>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（3）投标人提供的资格证明文件</w:t>
      </w:r>
    </w:p>
    <w:p w14:paraId="7A95B9E7">
      <w:pPr>
        <w:pageBreakBefore w:val="0"/>
        <w:widowControl w:val="0"/>
        <w:kinsoku/>
        <w:wordWrap/>
        <w:overflowPunct/>
        <w:topLinePunct w:val="0"/>
        <w:autoSpaceDE/>
        <w:autoSpaceDN/>
        <w:bidi w:val="0"/>
        <w:adjustRightInd w:val="0"/>
        <w:snapToGrid w:val="0"/>
        <w:spacing w:line="520" w:lineRule="exact"/>
        <w:ind w:firstLine="562" w:firstLineChars="200"/>
        <w:jc w:val="left"/>
        <w:textAlignment w:val="auto"/>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28"/>
          <w:szCs w:val="28"/>
          <w:highlight w:val="none"/>
        </w:rPr>
        <w:t>第二部分 商务和技术文件</w:t>
      </w:r>
    </w:p>
    <w:p w14:paraId="4D85BAC1">
      <w:pPr>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（4）投标函</w:t>
      </w:r>
    </w:p>
    <w:p w14:paraId="3AD22459">
      <w:pPr>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lang w:val="en-US" w:eastAsia="zh-CN"/>
        </w:rPr>
      </w:pPr>
      <w:r>
        <w:rPr>
          <w:rFonts w:hint="eastAsia" w:asciiTheme="minorEastAsia" w:hAnsiTheme="minorEastAsia" w:eastAsiaTheme="minorEastAsia" w:cstheme="minorEastAsia"/>
          <w:color w:val="auto"/>
          <w:sz w:val="28"/>
          <w:szCs w:val="28"/>
          <w:highlight w:val="none"/>
        </w:rPr>
        <w:t>（5）</w:t>
      </w:r>
      <w:r>
        <w:rPr>
          <w:rFonts w:hint="eastAsia" w:asciiTheme="minorEastAsia" w:hAnsiTheme="minorEastAsia" w:cstheme="minorEastAsia"/>
          <w:color w:val="auto"/>
          <w:sz w:val="28"/>
          <w:szCs w:val="28"/>
          <w:highlight w:val="none"/>
          <w:lang w:val="en-US" w:eastAsia="zh-CN"/>
        </w:rPr>
        <w:t>报价单</w:t>
      </w:r>
    </w:p>
    <w:p w14:paraId="77884FE4">
      <w:pPr>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（6）采购需求响应</w:t>
      </w:r>
    </w:p>
    <w:p w14:paraId="232DFDBD">
      <w:pPr>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w:t>
      </w:r>
      <w:r>
        <w:rPr>
          <w:rFonts w:hint="eastAsia" w:asciiTheme="minorEastAsia" w:hAnsiTheme="minorEastAsia" w:cstheme="minorEastAsia"/>
          <w:color w:val="auto"/>
          <w:sz w:val="28"/>
          <w:szCs w:val="28"/>
          <w:highlight w:val="none"/>
          <w:lang w:val="en-US" w:eastAsia="zh-CN"/>
        </w:rPr>
        <w:t>7</w:t>
      </w:r>
      <w:r>
        <w:rPr>
          <w:rFonts w:hint="eastAsia" w:asciiTheme="minorEastAsia" w:hAnsiTheme="minorEastAsia" w:eastAsiaTheme="minorEastAsia" w:cstheme="minorEastAsia"/>
          <w:color w:val="auto"/>
          <w:sz w:val="28"/>
          <w:szCs w:val="28"/>
          <w:highlight w:val="none"/>
        </w:rPr>
        <w:t>）投标人认为需提供的其他资料</w:t>
      </w:r>
    </w:p>
    <w:p w14:paraId="57395D74">
      <w:pPr>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投标人可以编制资格审查索引表、符合性审查索引表、评审索引表，以方便采购人、采购代理机构、</w:t>
      </w:r>
      <w:r>
        <w:rPr>
          <w:rFonts w:hint="eastAsia" w:ascii="宋体" w:hAnsi="宋体" w:eastAsia="宋体" w:cs="宋体"/>
          <w:color w:val="auto"/>
          <w:kern w:val="2"/>
          <w:sz w:val="28"/>
          <w:szCs w:val="28"/>
          <w:lang w:val="en-US" w:eastAsia="zh-CN" w:bidi="ar-SA"/>
        </w:rPr>
        <w:t>评审小组</w:t>
      </w:r>
      <w:r>
        <w:rPr>
          <w:rFonts w:hint="eastAsia" w:asciiTheme="minorEastAsia" w:hAnsiTheme="minorEastAsia" w:eastAsiaTheme="minorEastAsia" w:cstheme="minorEastAsia"/>
          <w:color w:val="auto"/>
          <w:sz w:val="28"/>
          <w:szCs w:val="28"/>
          <w:highlight w:val="none"/>
        </w:rPr>
        <w:t>在资格审查及评审时查阅。</w:t>
      </w:r>
    </w:p>
    <w:p w14:paraId="3BE0013E">
      <w:pPr>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投标人无论中标与否，其投标文件不予退还。</w:t>
      </w:r>
    </w:p>
    <w:p w14:paraId="313D3B3A">
      <w:pPr>
        <w:pageBreakBefore w:val="0"/>
        <w:widowControl w:val="0"/>
        <w:kinsoku/>
        <w:wordWrap/>
        <w:overflowPunct/>
        <w:topLinePunct w:val="0"/>
        <w:autoSpaceDE/>
        <w:autoSpaceDN/>
        <w:bidi w:val="0"/>
        <w:adjustRightInd w:val="0"/>
        <w:snapToGrid w:val="0"/>
        <w:spacing w:line="520" w:lineRule="exact"/>
        <w:ind w:firstLine="562" w:firstLineChars="200"/>
        <w:jc w:val="left"/>
        <w:textAlignment w:val="auto"/>
        <w:rPr>
          <w:rFonts w:hint="eastAsia" w:asciiTheme="minorEastAsia" w:hAnsiTheme="minorEastAsia" w:eastAsiaTheme="minorEastAsia" w:cstheme="minorEastAsia"/>
          <w:b/>
          <w:bCs/>
          <w:color w:val="auto"/>
          <w:sz w:val="28"/>
          <w:szCs w:val="28"/>
          <w:highlight w:val="none"/>
        </w:rPr>
      </w:pPr>
      <w:r>
        <w:rPr>
          <w:rFonts w:hint="eastAsia" w:asciiTheme="minorEastAsia" w:hAnsiTheme="minorEastAsia" w:eastAsiaTheme="minorEastAsia" w:cstheme="minorEastAsia"/>
          <w:b/>
          <w:bCs/>
          <w:color w:val="auto"/>
          <w:sz w:val="28"/>
          <w:szCs w:val="28"/>
          <w:highlight w:val="none"/>
          <w:lang w:val="en-US" w:eastAsia="zh-CN"/>
        </w:rPr>
        <w:t>2.</w:t>
      </w:r>
      <w:r>
        <w:rPr>
          <w:rFonts w:hint="eastAsia" w:asciiTheme="minorEastAsia" w:hAnsiTheme="minorEastAsia" w:eastAsiaTheme="minorEastAsia" w:cstheme="minorEastAsia"/>
          <w:b/>
          <w:bCs/>
          <w:color w:val="auto"/>
          <w:sz w:val="28"/>
          <w:szCs w:val="28"/>
          <w:highlight w:val="none"/>
        </w:rPr>
        <w:t>投标报价</w:t>
      </w:r>
    </w:p>
    <w:p w14:paraId="13E22AFE">
      <w:pPr>
        <w:pStyle w:val="8"/>
        <w:keepNext w:val="0"/>
        <w:keepLines w:val="0"/>
        <w:pageBreakBefore w:val="0"/>
        <w:widowControl w:val="0"/>
        <w:kinsoku/>
        <w:wordWrap/>
        <w:overflowPunct/>
        <w:topLinePunct w:val="0"/>
        <w:autoSpaceDE/>
        <w:autoSpaceDN/>
        <w:bidi w:val="0"/>
        <w:adjustRightInd/>
        <w:snapToGrid/>
        <w:spacing w:after="0" w:line="520" w:lineRule="exact"/>
        <w:ind w:left="0" w:leftChars="0" w:firstLine="560" w:firstLineChars="200"/>
        <w:textAlignment w:val="auto"/>
        <w:rPr>
          <w:rFonts w:hint="eastAsia" w:asciiTheme="minorEastAsia" w:hAnsiTheme="minorEastAsia" w:eastAsiaTheme="minorEastAsia" w:cstheme="minorEastAsia"/>
          <w:color w:val="auto"/>
          <w:kern w:val="2"/>
          <w:sz w:val="28"/>
          <w:szCs w:val="28"/>
          <w:lang w:val="en-US" w:eastAsia="zh-CN" w:bidi="ar-SA"/>
        </w:rPr>
      </w:pPr>
      <w:r>
        <w:rPr>
          <w:rFonts w:hint="eastAsia" w:asciiTheme="minorEastAsia" w:hAnsiTheme="minorEastAsia" w:eastAsiaTheme="minorEastAsia" w:cstheme="minorEastAsia"/>
          <w:color w:val="auto"/>
          <w:kern w:val="2"/>
          <w:sz w:val="28"/>
          <w:szCs w:val="28"/>
          <w:lang w:val="en-US" w:eastAsia="zh-CN" w:bidi="ar-SA"/>
        </w:rPr>
        <w:t>如投标人未按照以下报价单格式填写报价或报价超过上限，则视为无效报价。</w:t>
      </w:r>
    </w:p>
    <w:tbl>
      <w:tblPr>
        <w:tblStyle w:val="15"/>
        <w:tblW w:w="892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807"/>
        <w:gridCol w:w="1463"/>
        <w:gridCol w:w="2489"/>
        <w:gridCol w:w="2163"/>
      </w:tblGrid>
      <w:tr w14:paraId="05D2C1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892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47AFF1">
            <w:pPr>
              <w:keepNext w:val="0"/>
              <w:keepLines w:val="0"/>
              <w:pageBreakBefore w:val="0"/>
              <w:widowControl w:val="0"/>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b w:val="0"/>
                <w:bCs w:val="0"/>
                <w:i w:val="0"/>
                <w:iCs w:val="0"/>
                <w:color w:val="auto"/>
                <w:kern w:val="0"/>
                <w:sz w:val="28"/>
                <w:szCs w:val="28"/>
                <w:u w:val="none"/>
                <w:lang w:val="en-US" w:eastAsia="zh-CN" w:bidi="ar"/>
              </w:rPr>
            </w:pPr>
            <w:r>
              <w:rPr>
                <w:rFonts w:hint="eastAsia" w:asciiTheme="minorEastAsia" w:hAnsiTheme="minorEastAsia" w:eastAsiaTheme="minorEastAsia" w:cstheme="minorEastAsia"/>
                <w:b/>
                <w:bCs/>
                <w:i w:val="0"/>
                <w:iCs w:val="0"/>
                <w:color w:val="auto"/>
                <w:kern w:val="0"/>
                <w:sz w:val="32"/>
                <w:szCs w:val="32"/>
                <w:u w:val="none"/>
                <w:lang w:val="en-US" w:eastAsia="zh-CN" w:bidi="ar"/>
              </w:rPr>
              <w:t>娄底市中心医院常年法律顾问服务（三年期）报价单</w:t>
            </w:r>
          </w:p>
        </w:tc>
      </w:tr>
      <w:tr w14:paraId="30F5CC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7" w:hRule="atLeast"/>
        </w:trPr>
        <w:tc>
          <w:tcPr>
            <w:tcW w:w="892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EA1984">
            <w:pPr>
              <w:jc w:val="both"/>
              <w:rPr>
                <w:rFonts w:hint="eastAsia" w:asciiTheme="minorEastAsia" w:hAnsiTheme="minorEastAsia" w:eastAsiaTheme="minorEastAsia" w:cstheme="minorEastAsia"/>
                <w:b w:val="0"/>
                <w:bCs w:val="0"/>
                <w:i w:val="0"/>
                <w:iCs w:val="0"/>
                <w:color w:val="auto"/>
                <w:kern w:val="0"/>
                <w:sz w:val="28"/>
                <w:szCs w:val="28"/>
                <w:u w:val="none"/>
                <w:lang w:val="en-US" w:eastAsia="zh-CN" w:bidi="ar"/>
              </w:rPr>
            </w:pPr>
            <w:r>
              <w:rPr>
                <w:rFonts w:hint="eastAsia" w:asciiTheme="minorEastAsia" w:hAnsiTheme="minorEastAsia" w:eastAsiaTheme="minorEastAsia" w:cstheme="minorEastAsia"/>
                <w:b w:val="0"/>
                <w:bCs w:val="0"/>
                <w:i w:val="0"/>
                <w:iCs w:val="0"/>
                <w:color w:val="auto"/>
                <w:sz w:val="28"/>
                <w:szCs w:val="28"/>
                <w:u w:val="none"/>
                <w:lang w:val="en-US" w:eastAsia="zh-CN"/>
              </w:rPr>
              <w:t>律师事务所名称（加盖公章） ：                 日期：  年  月  日</w:t>
            </w:r>
          </w:p>
        </w:tc>
      </w:tr>
      <w:tr w14:paraId="3D859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2" w:hRule="atLeast"/>
        </w:trPr>
        <w:tc>
          <w:tcPr>
            <w:tcW w:w="892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2E03E8">
            <w:pPr>
              <w:keepNext w:val="0"/>
              <w:keepLines w:val="0"/>
              <w:pageBreakBefore w:val="0"/>
              <w:widowControl w:val="0"/>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b w:val="0"/>
                <w:bCs w:val="0"/>
                <w:i w:val="0"/>
                <w:iCs w:val="0"/>
                <w:color w:val="auto"/>
                <w:sz w:val="28"/>
                <w:szCs w:val="28"/>
                <w:u w:val="none"/>
                <w:lang w:val="en-US" w:eastAsia="zh-CN"/>
              </w:rPr>
            </w:pPr>
            <w:r>
              <w:rPr>
                <w:rFonts w:hint="eastAsia" w:asciiTheme="minorEastAsia" w:hAnsiTheme="minorEastAsia" w:eastAsiaTheme="minorEastAsia" w:cstheme="minorEastAsia"/>
                <w:b/>
                <w:bCs/>
                <w:i w:val="0"/>
                <w:iCs w:val="0"/>
                <w:color w:val="auto"/>
                <w:kern w:val="0"/>
                <w:sz w:val="28"/>
                <w:szCs w:val="28"/>
                <w:u w:val="none"/>
                <w:lang w:val="en-US" w:eastAsia="zh-CN" w:bidi="ar"/>
              </w:rPr>
              <w:t>常年法律顾问服务费报价</w:t>
            </w:r>
          </w:p>
        </w:tc>
      </w:tr>
      <w:tr w14:paraId="7F1E5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270" w:type="dxa"/>
            <w:gridSpan w:val="2"/>
            <w:vMerge w:val="restart"/>
            <w:tcBorders>
              <w:top w:val="single" w:color="000000" w:sz="4" w:space="0"/>
              <w:left w:val="single" w:color="000000" w:sz="4" w:space="0"/>
              <w:right w:val="single" w:color="000000" w:sz="4" w:space="0"/>
            </w:tcBorders>
            <w:shd w:val="clear" w:color="auto" w:fill="auto"/>
            <w:noWrap/>
            <w:vAlign w:val="center"/>
          </w:tcPr>
          <w:p w14:paraId="2127A0AB">
            <w:pPr>
              <w:keepNext w:val="0"/>
              <w:keepLines w:val="0"/>
              <w:pageBreakBefore w:val="0"/>
              <w:widowControl w:val="0"/>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b w:val="0"/>
                <w:bCs w:val="0"/>
                <w:i w:val="0"/>
                <w:iCs w:val="0"/>
                <w:color w:val="auto"/>
                <w:kern w:val="0"/>
                <w:sz w:val="28"/>
                <w:szCs w:val="28"/>
                <w:u w:val="none"/>
                <w:lang w:val="en-US" w:eastAsia="zh-CN" w:bidi="ar"/>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报价上限3年45万元（15万元/年）</w:t>
            </w:r>
          </w:p>
        </w:tc>
        <w:tc>
          <w:tcPr>
            <w:tcW w:w="24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EE71D">
            <w:pPr>
              <w:keepNext w:val="0"/>
              <w:keepLines w:val="0"/>
              <w:pageBreakBefore w:val="0"/>
              <w:widowControl w:val="0"/>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b w:val="0"/>
                <w:bCs w:val="0"/>
                <w:i w:val="0"/>
                <w:iCs w:val="0"/>
                <w:color w:val="auto"/>
                <w:sz w:val="22"/>
                <w:szCs w:val="22"/>
                <w:u w:val="none"/>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年度服务费用报价</w:t>
            </w:r>
          </w:p>
        </w:tc>
        <w:tc>
          <w:tcPr>
            <w:tcW w:w="21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87940">
            <w:pPr>
              <w:keepNext w:val="0"/>
              <w:keepLines w:val="0"/>
              <w:pageBreakBefore w:val="0"/>
              <w:widowControl w:val="0"/>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b w:val="0"/>
                <w:bCs w:val="0"/>
                <w:i w:val="0"/>
                <w:iCs w:val="0"/>
                <w:color w:val="auto"/>
                <w:sz w:val="22"/>
                <w:szCs w:val="22"/>
                <w:u w:val="none"/>
              </w:rPr>
            </w:pP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3年总报价</w:t>
            </w:r>
          </w:p>
        </w:tc>
      </w:tr>
      <w:tr w14:paraId="0B28E19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4270" w:type="dxa"/>
            <w:gridSpan w:val="2"/>
            <w:vMerge w:val="continue"/>
            <w:tcBorders>
              <w:left w:val="single" w:color="000000" w:sz="4" w:space="0"/>
              <w:bottom w:val="single" w:color="000000" w:sz="4" w:space="0"/>
              <w:right w:val="single" w:color="000000" w:sz="4" w:space="0"/>
            </w:tcBorders>
            <w:shd w:val="clear" w:color="auto" w:fill="auto"/>
            <w:noWrap/>
            <w:vAlign w:val="center"/>
          </w:tcPr>
          <w:p w14:paraId="7594B9F3">
            <w:pPr>
              <w:keepNext w:val="0"/>
              <w:keepLines w:val="0"/>
              <w:pageBreakBefore w:val="0"/>
              <w:widowControl w:val="0"/>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b w:val="0"/>
                <w:bCs w:val="0"/>
                <w:i w:val="0"/>
                <w:iCs w:val="0"/>
                <w:color w:val="auto"/>
                <w:kern w:val="0"/>
                <w:sz w:val="28"/>
                <w:szCs w:val="28"/>
                <w:u w:val="none"/>
                <w:lang w:val="en-US" w:eastAsia="zh-CN" w:bidi="ar"/>
              </w:rPr>
            </w:pPr>
          </w:p>
        </w:tc>
        <w:tc>
          <w:tcPr>
            <w:tcW w:w="24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9B8376">
            <w:pPr>
              <w:keepNext w:val="0"/>
              <w:keepLines w:val="0"/>
              <w:pageBreakBefore w:val="0"/>
              <w:widowControl w:val="0"/>
              <w:kinsoku/>
              <w:wordWrap/>
              <w:overflowPunct/>
              <w:topLinePunct w:val="0"/>
              <w:autoSpaceDE/>
              <w:autoSpaceDN/>
              <w:bidi w:val="0"/>
              <w:adjustRightInd/>
              <w:snapToGrid/>
              <w:spacing w:line="400" w:lineRule="exact"/>
              <w:jc w:val="center"/>
              <w:rPr>
                <w:rFonts w:hint="eastAsia" w:asciiTheme="minorEastAsia" w:hAnsiTheme="minorEastAsia" w:eastAsiaTheme="minorEastAsia" w:cstheme="minorEastAsia"/>
                <w:b w:val="0"/>
                <w:bCs w:val="0"/>
                <w:i w:val="0"/>
                <w:iCs w:val="0"/>
                <w:color w:val="auto"/>
                <w:sz w:val="28"/>
                <w:szCs w:val="28"/>
                <w:u w:val="none"/>
                <w:lang w:val="en-US" w:eastAsia="zh-CN"/>
              </w:rPr>
            </w:pPr>
            <w:r>
              <w:rPr>
                <w:rFonts w:hint="eastAsia" w:asciiTheme="minorEastAsia" w:hAnsiTheme="minorEastAsia" w:eastAsiaTheme="minorEastAsia" w:cstheme="minorEastAsia"/>
                <w:b w:val="0"/>
                <w:bCs w:val="0"/>
                <w:i w:val="0"/>
                <w:iCs w:val="0"/>
                <w:color w:val="auto"/>
                <w:kern w:val="0"/>
                <w:sz w:val="22"/>
                <w:szCs w:val="22"/>
                <w:u w:val="single"/>
                <w:lang w:val="en-US" w:eastAsia="zh-CN" w:bidi="ar"/>
              </w:rPr>
              <w:t xml:space="preserve">         </w:t>
            </w: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元/年</w:t>
            </w:r>
          </w:p>
        </w:tc>
        <w:tc>
          <w:tcPr>
            <w:tcW w:w="21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A03F07">
            <w:pPr>
              <w:keepNext w:val="0"/>
              <w:keepLines w:val="0"/>
              <w:pageBreakBefore w:val="0"/>
              <w:widowControl w:val="0"/>
              <w:kinsoku/>
              <w:wordWrap/>
              <w:overflowPunct/>
              <w:topLinePunct w:val="0"/>
              <w:autoSpaceDE/>
              <w:autoSpaceDN/>
              <w:bidi w:val="0"/>
              <w:adjustRightInd/>
              <w:snapToGrid/>
              <w:spacing w:line="400" w:lineRule="exact"/>
              <w:jc w:val="center"/>
              <w:rPr>
                <w:rFonts w:hint="eastAsia" w:asciiTheme="minorEastAsia" w:hAnsiTheme="minorEastAsia" w:eastAsiaTheme="minorEastAsia" w:cstheme="minorEastAsia"/>
                <w:b w:val="0"/>
                <w:bCs w:val="0"/>
                <w:i w:val="0"/>
                <w:iCs w:val="0"/>
                <w:color w:val="auto"/>
                <w:sz w:val="28"/>
                <w:szCs w:val="28"/>
                <w:u w:val="none"/>
              </w:rPr>
            </w:pPr>
            <w:r>
              <w:rPr>
                <w:rFonts w:hint="eastAsia" w:asciiTheme="minorEastAsia" w:hAnsiTheme="minorEastAsia" w:eastAsiaTheme="minorEastAsia" w:cstheme="minorEastAsia"/>
                <w:b w:val="0"/>
                <w:bCs w:val="0"/>
                <w:i w:val="0"/>
                <w:iCs w:val="0"/>
                <w:color w:val="auto"/>
                <w:kern w:val="0"/>
                <w:sz w:val="22"/>
                <w:szCs w:val="22"/>
                <w:u w:val="single"/>
                <w:lang w:val="en-US" w:eastAsia="zh-CN" w:bidi="ar"/>
              </w:rPr>
              <w:t xml:space="preserve">          </w:t>
            </w:r>
            <w:r>
              <w:rPr>
                <w:rFonts w:hint="eastAsia" w:asciiTheme="minorEastAsia" w:hAnsiTheme="minorEastAsia" w:eastAsiaTheme="minorEastAsia" w:cstheme="minorEastAsia"/>
                <w:b w:val="0"/>
                <w:bCs w:val="0"/>
                <w:i w:val="0"/>
                <w:iCs w:val="0"/>
                <w:color w:val="auto"/>
                <w:kern w:val="0"/>
                <w:sz w:val="22"/>
                <w:szCs w:val="22"/>
                <w:u w:val="none"/>
                <w:lang w:val="en-US" w:eastAsia="zh-CN" w:bidi="ar"/>
              </w:rPr>
              <w:t>元</w:t>
            </w:r>
          </w:p>
        </w:tc>
      </w:tr>
      <w:tr w14:paraId="67A22A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8922"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86A63E">
            <w:pPr>
              <w:keepNext w:val="0"/>
              <w:keepLines w:val="0"/>
              <w:pageBreakBefore w:val="0"/>
              <w:widowControl w:val="0"/>
              <w:kinsoku/>
              <w:wordWrap/>
              <w:overflowPunct/>
              <w:topLinePunct w:val="0"/>
              <w:autoSpaceDE/>
              <w:autoSpaceDN/>
              <w:bidi w:val="0"/>
              <w:adjustRightInd/>
              <w:snapToGrid/>
              <w:spacing w:line="400" w:lineRule="exact"/>
              <w:jc w:val="center"/>
              <w:rPr>
                <w:rFonts w:hint="eastAsia" w:asciiTheme="minorEastAsia" w:hAnsiTheme="minorEastAsia" w:eastAsiaTheme="minorEastAsia" w:cstheme="minorEastAsia"/>
                <w:b w:val="0"/>
                <w:bCs w:val="0"/>
                <w:i w:val="0"/>
                <w:iCs w:val="0"/>
                <w:color w:val="auto"/>
                <w:sz w:val="28"/>
                <w:szCs w:val="28"/>
                <w:u w:val="none"/>
                <w:lang w:val="en-US"/>
              </w:rPr>
            </w:pPr>
            <w:r>
              <w:rPr>
                <w:rFonts w:hint="eastAsia" w:asciiTheme="minorEastAsia" w:hAnsiTheme="minorEastAsia" w:eastAsiaTheme="minorEastAsia" w:cstheme="minorEastAsia"/>
                <w:b/>
                <w:bCs/>
                <w:i w:val="0"/>
                <w:iCs w:val="0"/>
                <w:color w:val="auto"/>
                <w:kern w:val="0"/>
                <w:sz w:val="28"/>
                <w:szCs w:val="28"/>
                <w:u w:val="none"/>
                <w:lang w:val="en-US" w:eastAsia="zh-CN" w:bidi="ar"/>
              </w:rPr>
              <w:t>案件代理费折扣率报价</w:t>
            </w:r>
          </w:p>
        </w:tc>
      </w:tr>
      <w:tr w14:paraId="0D0B8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80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4F95E">
            <w:pPr>
              <w:keepNext w:val="0"/>
              <w:keepLines w:val="0"/>
              <w:pageBreakBefore w:val="0"/>
              <w:widowControl w:val="0"/>
              <w:kinsoku/>
              <w:wordWrap/>
              <w:overflowPunct/>
              <w:topLinePunct w:val="0"/>
              <w:autoSpaceDE/>
              <w:autoSpaceDN/>
              <w:bidi w:val="0"/>
              <w:spacing w:line="360" w:lineRule="exact"/>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类别</w:t>
            </w:r>
          </w:p>
        </w:tc>
        <w:tc>
          <w:tcPr>
            <w:tcW w:w="1463"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680898C2">
            <w:pPr>
              <w:keepNext w:val="0"/>
              <w:keepLines w:val="0"/>
              <w:pageBreakBefore w:val="0"/>
              <w:widowControl w:val="0"/>
              <w:kinsoku/>
              <w:wordWrap/>
              <w:overflowPunct/>
              <w:topLinePunct w:val="0"/>
              <w:autoSpaceDE/>
              <w:autoSpaceDN/>
              <w:bidi w:val="0"/>
              <w:spacing w:line="360" w:lineRule="exact"/>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阶段</w:t>
            </w:r>
          </w:p>
        </w:tc>
        <w:tc>
          <w:tcPr>
            <w:tcW w:w="2489"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49BD3257">
            <w:pPr>
              <w:keepNext w:val="0"/>
              <w:keepLines w:val="0"/>
              <w:pageBreakBefore w:val="0"/>
              <w:widowControl w:val="0"/>
              <w:kinsoku/>
              <w:wordWrap/>
              <w:overflowPunct/>
              <w:topLinePunct w:val="0"/>
              <w:autoSpaceDE/>
              <w:autoSpaceDN/>
              <w:bidi w:val="0"/>
              <w:spacing w:line="360" w:lineRule="exact"/>
              <w:jc w:val="center"/>
              <w:textAlignment w:val="auto"/>
              <w:rPr>
                <w:rFonts w:hint="default"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cstheme="minorEastAsia"/>
                <w:b w:val="0"/>
                <w:bCs w:val="0"/>
                <w:color w:val="auto"/>
                <w:sz w:val="21"/>
                <w:szCs w:val="21"/>
                <w:lang w:val="en-US" w:eastAsia="zh-CN"/>
              </w:rPr>
              <w:t>案件代理费上限</w:t>
            </w:r>
          </w:p>
        </w:tc>
        <w:tc>
          <w:tcPr>
            <w:tcW w:w="2163" w:type="dxa"/>
            <w:tcBorders>
              <w:top w:val="single" w:color="000000" w:sz="4" w:space="0"/>
              <w:left w:val="single" w:color="000000" w:sz="4" w:space="0"/>
              <w:bottom w:val="single" w:color="auto" w:sz="4" w:space="0"/>
              <w:right w:val="single" w:color="000000" w:sz="4" w:space="0"/>
            </w:tcBorders>
            <w:shd w:val="clear" w:color="auto" w:fill="auto"/>
            <w:noWrap/>
            <w:vAlign w:val="center"/>
          </w:tcPr>
          <w:p w14:paraId="2AFA1324">
            <w:pPr>
              <w:keepNext w:val="0"/>
              <w:keepLines w:val="0"/>
              <w:pageBreakBefore w:val="0"/>
              <w:widowControl w:val="0"/>
              <w:kinsoku/>
              <w:wordWrap/>
              <w:overflowPunct/>
              <w:topLinePunct w:val="0"/>
              <w:autoSpaceDE/>
              <w:autoSpaceDN/>
              <w:bidi w:val="0"/>
              <w:spacing w:line="360" w:lineRule="exact"/>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折扣率报价</w:t>
            </w:r>
          </w:p>
          <w:p w14:paraId="1FC1BD12">
            <w:pPr>
              <w:keepNext w:val="0"/>
              <w:keepLines w:val="0"/>
              <w:pageBreakBefore w:val="0"/>
              <w:widowControl w:val="0"/>
              <w:kinsoku/>
              <w:wordWrap/>
              <w:overflowPunct/>
              <w:topLinePunct w:val="0"/>
              <w:autoSpaceDE/>
              <w:autoSpaceDN/>
              <w:bidi w:val="0"/>
              <w:spacing w:line="360" w:lineRule="exact"/>
              <w:jc w:val="left"/>
              <w:textAlignment w:val="auto"/>
              <w:rPr>
                <w:rFonts w:hint="default"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w:t>
            </w:r>
            <w:r>
              <w:rPr>
                <w:rFonts w:hint="eastAsia" w:asciiTheme="minorEastAsia" w:hAnsiTheme="minorEastAsia" w:cstheme="minorEastAsia"/>
                <w:b w:val="0"/>
                <w:bCs w:val="0"/>
                <w:color w:val="auto"/>
                <w:sz w:val="21"/>
                <w:szCs w:val="21"/>
                <w:lang w:val="en-US" w:eastAsia="zh-CN"/>
              </w:rPr>
              <w:t>以案件代理费上限为基数</w:t>
            </w:r>
            <w:r>
              <w:rPr>
                <w:rFonts w:hint="eastAsia" w:asciiTheme="minorEastAsia" w:hAnsiTheme="minorEastAsia" w:eastAsiaTheme="minorEastAsia" w:cstheme="minorEastAsia"/>
                <w:b w:val="0"/>
                <w:bCs w:val="0"/>
                <w:color w:val="auto"/>
                <w:sz w:val="21"/>
                <w:szCs w:val="21"/>
                <w:lang w:val="en-US" w:eastAsia="zh-CN"/>
              </w:rPr>
              <w:t>填写</w:t>
            </w:r>
            <w:r>
              <w:rPr>
                <w:rFonts w:hint="eastAsia" w:asciiTheme="minorEastAsia" w:hAnsiTheme="minorEastAsia" w:cstheme="minorEastAsia"/>
                <w:b w:val="0"/>
                <w:bCs w:val="0"/>
                <w:color w:val="auto"/>
                <w:sz w:val="21"/>
                <w:szCs w:val="21"/>
                <w:lang w:val="en-US" w:eastAsia="zh-CN"/>
              </w:rPr>
              <w:t>整体</w:t>
            </w:r>
            <w:r>
              <w:rPr>
                <w:rFonts w:hint="eastAsia" w:asciiTheme="minorEastAsia" w:hAnsiTheme="minorEastAsia" w:eastAsiaTheme="minorEastAsia" w:cstheme="minorEastAsia"/>
                <w:b w:val="0"/>
                <w:bCs w:val="0"/>
                <w:color w:val="auto"/>
                <w:sz w:val="21"/>
                <w:szCs w:val="21"/>
                <w:lang w:val="en-US" w:eastAsia="zh-CN"/>
              </w:rPr>
              <w:t>折扣率</w:t>
            </w:r>
            <w:r>
              <w:rPr>
                <w:rFonts w:hint="eastAsia" w:asciiTheme="minorEastAsia" w:hAnsiTheme="minorEastAsia" w:cstheme="minorEastAsia"/>
                <w:b w:val="0"/>
                <w:bCs w:val="0"/>
                <w:color w:val="auto"/>
                <w:sz w:val="21"/>
                <w:szCs w:val="21"/>
                <w:lang w:val="en-US" w:eastAsia="zh-CN"/>
              </w:rPr>
              <w:t>，例：折扣率报价80%即10万以下案件一审代理费为4750*0.8=3800元）</w:t>
            </w:r>
          </w:p>
        </w:tc>
      </w:tr>
      <w:tr w14:paraId="53672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07" w:type="dxa"/>
            <w:vMerge w:val="restart"/>
            <w:tcBorders>
              <w:top w:val="single" w:color="000000" w:sz="4" w:space="0"/>
              <w:left w:val="single" w:color="000000" w:sz="4" w:space="0"/>
              <w:bottom w:val="single" w:color="000000" w:sz="4" w:space="0"/>
              <w:right w:val="single" w:color="auto" w:sz="4" w:space="0"/>
            </w:tcBorders>
            <w:shd w:val="clear" w:color="auto" w:fill="auto"/>
            <w:noWrap/>
            <w:vAlign w:val="center"/>
          </w:tcPr>
          <w:p w14:paraId="0C7F4374">
            <w:pPr>
              <w:keepNext w:val="0"/>
              <w:keepLines w:val="0"/>
              <w:pageBreakBefore w:val="0"/>
              <w:widowControl w:val="0"/>
              <w:kinsoku/>
              <w:wordWrap/>
              <w:overflowPunct/>
              <w:topLinePunct w:val="0"/>
              <w:autoSpaceDE/>
              <w:autoSpaceDN/>
              <w:bidi w:val="0"/>
              <w:spacing w:line="360" w:lineRule="exact"/>
              <w:jc w:val="left"/>
              <w:textAlignment w:val="auto"/>
              <w:rPr>
                <w:rFonts w:hint="default"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不涉及财产关系案件及案件涉及财产标的额</w:t>
            </w:r>
            <w:r>
              <w:rPr>
                <w:rFonts w:hint="eastAsia" w:asciiTheme="minorEastAsia" w:hAnsiTheme="minorEastAsia" w:cstheme="minorEastAsia"/>
                <w:b w:val="0"/>
                <w:bCs w:val="0"/>
                <w:color w:val="auto"/>
                <w:sz w:val="21"/>
                <w:szCs w:val="21"/>
                <w:lang w:val="en-US" w:eastAsia="zh-CN"/>
              </w:rPr>
              <w:t>在</w:t>
            </w:r>
            <w:r>
              <w:rPr>
                <w:rFonts w:hint="eastAsia" w:asciiTheme="minorEastAsia" w:hAnsiTheme="minorEastAsia" w:eastAsiaTheme="minorEastAsia" w:cstheme="minorEastAsia"/>
                <w:b w:val="0"/>
                <w:bCs w:val="0"/>
                <w:color w:val="auto"/>
                <w:sz w:val="21"/>
                <w:szCs w:val="21"/>
                <w:lang w:val="en-US" w:eastAsia="zh-CN"/>
              </w:rPr>
              <w:t>10万以下</w:t>
            </w:r>
          </w:p>
        </w:tc>
        <w:tc>
          <w:tcPr>
            <w:tcW w:w="1463"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6683C9D2">
            <w:pPr>
              <w:keepNext w:val="0"/>
              <w:keepLines w:val="0"/>
              <w:pageBreakBefore w:val="0"/>
              <w:widowControl w:val="0"/>
              <w:kinsoku/>
              <w:wordWrap/>
              <w:overflowPunct/>
              <w:topLinePunct w:val="0"/>
              <w:autoSpaceDE/>
              <w:autoSpaceDN/>
              <w:bidi w:val="0"/>
              <w:spacing w:line="360" w:lineRule="exact"/>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一审</w:t>
            </w:r>
          </w:p>
        </w:tc>
        <w:tc>
          <w:tcPr>
            <w:tcW w:w="2489"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E34429A">
            <w:pPr>
              <w:keepNext w:val="0"/>
              <w:keepLines w:val="0"/>
              <w:pageBreakBefore w:val="0"/>
              <w:widowControl w:val="0"/>
              <w:kinsoku/>
              <w:wordWrap/>
              <w:overflowPunct/>
              <w:topLinePunct w:val="0"/>
              <w:autoSpaceDE/>
              <w:autoSpaceDN/>
              <w:bidi w:val="0"/>
              <w:spacing w:line="360" w:lineRule="exact"/>
              <w:jc w:val="center"/>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4750元</w:t>
            </w:r>
          </w:p>
        </w:tc>
        <w:tc>
          <w:tcPr>
            <w:tcW w:w="2163" w:type="dxa"/>
            <w:vMerge w:val="restart"/>
            <w:tcBorders>
              <w:top w:val="single" w:color="auto" w:sz="4" w:space="0"/>
              <w:left w:val="single" w:color="000000" w:sz="4" w:space="0"/>
              <w:right w:val="single" w:color="auto" w:sz="4" w:space="0"/>
            </w:tcBorders>
            <w:shd w:val="clear" w:color="auto" w:fill="auto"/>
            <w:noWrap/>
            <w:vAlign w:val="center"/>
          </w:tcPr>
          <w:p w14:paraId="3B3CCA9F">
            <w:pPr>
              <w:keepNext w:val="0"/>
              <w:keepLines w:val="0"/>
              <w:pageBreakBefore w:val="0"/>
              <w:widowControl w:val="0"/>
              <w:kinsoku/>
              <w:wordWrap/>
              <w:overflowPunct/>
              <w:topLinePunct w:val="0"/>
              <w:autoSpaceDE/>
              <w:autoSpaceDN/>
              <w:bidi w:val="0"/>
              <w:spacing w:line="360" w:lineRule="exact"/>
              <w:jc w:val="left"/>
              <w:textAlignment w:val="auto"/>
              <w:rPr>
                <w:rFonts w:hint="eastAsia" w:asciiTheme="minorEastAsia" w:hAnsiTheme="minorEastAsia" w:eastAsiaTheme="minorEastAsia" w:cstheme="minorEastAsia"/>
                <w:b w:val="0"/>
                <w:bCs w:val="0"/>
                <w:color w:val="auto"/>
                <w:sz w:val="21"/>
                <w:szCs w:val="21"/>
                <w:lang w:val="en-US" w:eastAsia="zh-CN"/>
              </w:rPr>
            </w:pPr>
            <w:r>
              <w:rPr>
                <w:rFonts w:hint="eastAsia" w:asciiTheme="minorEastAsia" w:hAnsiTheme="minorEastAsia" w:eastAsiaTheme="minorEastAsia" w:cstheme="minorEastAsia"/>
                <w:b w:val="0"/>
                <w:bCs w:val="0"/>
                <w:color w:val="auto"/>
                <w:sz w:val="21"/>
                <w:szCs w:val="21"/>
                <w:lang w:val="en-US" w:eastAsia="zh-CN"/>
              </w:rPr>
              <w:t xml:space="preserve">   </w:t>
            </w:r>
            <w:r>
              <w:rPr>
                <w:rFonts w:hint="eastAsia" w:asciiTheme="minorEastAsia" w:hAnsiTheme="minorEastAsia" w:eastAsiaTheme="minorEastAsia" w:cstheme="minorEastAsia"/>
                <w:b w:val="0"/>
                <w:bCs w:val="0"/>
                <w:color w:val="auto"/>
                <w:sz w:val="21"/>
                <w:szCs w:val="21"/>
                <w:u w:val="single"/>
                <w:lang w:val="en-US" w:eastAsia="zh-CN"/>
              </w:rPr>
              <w:t xml:space="preserve">  </w:t>
            </w:r>
            <w:r>
              <w:rPr>
                <w:rFonts w:hint="eastAsia" w:asciiTheme="minorEastAsia" w:hAnsiTheme="minorEastAsia" w:cstheme="minorEastAsia"/>
                <w:b w:val="0"/>
                <w:bCs w:val="0"/>
                <w:color w:val="auto"/>
                <w:sz w:val="21"/>
                <w:szCs w:val="21"/>
                <w:u w:val="single"/>
                <w:lang w:val="en-US" w:eastAsia="zh-CN"/>
              </w:rPr>
              <w:t xml:space="preserve">        </w:t>
            </w:r>
            <w:r>
              <w:rPr>
                <w:rFonts w:hint="eastAsia" w:asciiTheme="minorEastAsia" w:hAnsiTheme="minorEastAsia" w:eastAsiaTheme="minorEastAsia" w:cstheme="minorEastAsia"/>
                <w:b w:val="0"/>
                <w:bCs w:val="0"/>
                <w:color w:val="auto"/>
                <w:sz w:val="21"/>
                <w:szCs w:val="21"/>
                <w:lang w:val="en-US" w:eastAsia="zh-CN"/>
              </w:rPr>
              <w:t>%</w:t>
            </w:r>
          </w:p>
        </w:tc>
      </w:tr>
      <w:tr w14:paraId="383146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07" w:type="dxa"/>
            <w:vMerge w:val="continue"/>
            <w:tcBorders>
              <w:top w:val="single" w:color="000000" w:sz="4" w:space="0"/>
              <w:left w:val="single" w:color="000000" w:sz="4" w:space="0"/>
              <w:bottom w:val="single" w:color="auto" w:sz="4" w:space="0"/>
              <w:right w:val="single" w:color="auto" w:sz="4" w:space="0"/>
            </w:tcBorders>
            <w:shd w:val="clear" w:color="auto" w:fill="auto"/>
            <w:noWrap/>
            <w:vAlign w:val="center"/>
          </w:tcPr>
          <w:p w14:paraId="626A123A">
            <w:pPr>
              <w:keepNext w:val="0"/>
              <w:keepLines w:val="0"/>
              <w:pageBreakBefore w:val="0"/>
              <w:widowControl w:val="0"/>
              <w:kinsoku/>
              <w:wordWrap/>
              <w:overflowPunct/>
              <w:topLinePunct w:val="0"/>
              <w:autoSpaceDE/>
              <w:autoSpaceDN/>
              <w:bidi w:val="0"/>
              <w:adjustRightInd/>
              <w:snapToGrid/>
              <w:spacing w:line="400" w:lineRule="exact"/>
              <w:jc w:val="center"/>
              <w:rPr>
                <w:rFonts w:hint="eastAsia" w:asciiTheme="minorEastAsia" w:hAnsiTheme="minorEastAsia" w:eastAsiaTheme="minorEastAsia" w:cstheme="minorEastAsia"/>
                <w:b w:val="0"/>
                <w:bCs w:val="0"/>
                <w:i w:val="0"/>
                <w:iCs w:val="0"/>
                <w:color w:val="auto"/>
                <w:sz w:val="21"/>
                <w:szCs w:val="21"/>
                <w:u w:val="none"/>
              </w:rPr>
            </w:pPr>
          </w:p>
        </w:tc>
        <w:tc>
          <w:tcPr>
            <w:tcW w:w="1463"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27A0274B">
            <w:pPr>
              <w:keepNext w:val="0"/>
              <w:keepLines w:val="0"/>
              <w:pageBreakBefore w:val="0"/>
              <w:widowControl w:val="0"/>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b w:val="0"/>
                <w:bCs w:val="0"/>
                <w:i w:val="0"/>
                <w:iCs w:val="0"/>
                <w:color w:val="auto"/>
                <w:sz w:val="21"/>
                <w:szCs w:val="21"/>
                <w:u w:val="none"/>
                <w:lang w:val="en-US"/>
              </w:rPr>
            </w:pPr>
            <w:r>
              <w:rPr>
                <w:rFonts w:hint="eastAsia" w:asciiTheme="minorEastAsia" w:hAnsiTheme="minorEastAsia" w:eastAsiaTheme="minorEastAsia" w:cstheme="minorEastAsia"/>
                <w:b w:val="0"/>
                <w:bCs w:val="0"/>
                <w:i w:val="0"/>
                <w:iCs w:val="0"/>
                <w:color w:val="auto"/>
                <w:kern w:val="0"/>
                <w:sz w:val="21"/>
                <w:szCs w:val="21"/>
                <w:u w:val="none"/>
                <w:lang w:val="en-US" w:eastAsia="zh-CN" w:bidi="ar"/>
              </w:rPr>
              <w:t>二审、再审等</w:t>
            </w:r>
          </w:p>
        </w:tc>
        <w:tc>
          <w:tcPr>
            <w:tcW w:w="24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E46E5F">
            <w:pPr>
              <w:keepNext w:val="0"/>
              <w:keepLines w:val="0"/>
              <w:pageBreakBefore w:val="0"/>
              <w:widowControl w:val="0"/>
              <w:kinsoku/>
              <w:wordWrap/>
              <w:overflowPunct/>
              <w:topLinePunct w:val="0"/>
              <w:autoSpaceDE/>
              <w:autoSpaceDN/>
              <w:bidi w:val="0"/>
              <w:adjustRightInd/>
              <w:snapToGrid/>
              <w:spacing w:line="400" w:lineRule="exact"/>
              <w:jc w:val="center"/>
              <w:rPr>
                <w:rFonts w:hint="eastAsia" w:asciiTheme="minorEastAsia" w:hAnsiTheme="minorEastAsia" w:eastAsiaTheme="minorEastAsia" w:cstheme="minorEastAsia"/>
                <w:b w:val="0"/>
                <w:bCs w:val="0"/>
                <w:i w:val="0"/>
                <w:iCs w:val="0"/>
                <w:color w:val="auto"/>
                <w:sz w:val="21"/>
                <w:szCs w:val="21"/>
                <w:u w:val="none"/>
                <w:lang w:val="en-US" w:eastAsia="zh-CN"/>
              </w:rPr>
            </w:pPr>
            <w:r>
              <w:rPr>
                <w:rFonts w:hint="eastAsia" w:asciiTheme="minorEastAsia" w:hAnsiTheme="minorEastAsia" w:eastAsiaTheme="minorEastAsia" w:cstheme="minorEastAsia"/>
                <w:b w:val="0"/>
                <w:bCs w:val="0"/>
                <w:i w:val="0"/>
                <w:iCs w:val="0"/>
                <w:color w:val="auto"/>
                <w:sz w:val="21"/>
                <w:szCs w:val="21"/>
                <w:u w:val="none"/>
                <w:lang w:val="en-US" w:eastAsia="zh-CN"/>
              </w:rPr>
              <w:t>2256元</w:t>
            </w:r>
          </w:p>
        </w:tc>
        <w:tc>
          <w:tcPr>
            <w:tcW w:w="2163" w:type="dxa"/>
            <w:vMerge w:val="continue"/>
            <w:tcBorders>
              <w:left w:val="single" w:color="000000" w:sz="4" w:space="0"/>
              <w:right w:val="single" w:color="auto" w:sz="4" w:space="0"/>
            </w:tcBorders>
            <w:shd w:val="clear" w:color="auto" w:fill="auto"/>
            <w:noWrap/>
            <w:vAlign w:val="center"/>
          </w:tcPr>
          <w:p w14:paraId="4E4BDE5C">
            <w:pPr>
              <w:keepNext w:val="0"/>
              <w:keepLines w:val="0"/>
              <w:pageBreakBefore w:val="0"/>
              <w:widowControl w:val="0"/>
              <w:kinsoku/>
              <w:wordWrap/>
              <w:overflowPunct/>
              <w:topLinePunct w:val="0"/>
              <w:autoSpaceDE/>
              <w:autoSpaceDN/>
              <w:bidi w:val="0"/>
              <w:adjustRightInd/>
              <w:snapToGrid/>
              <w:spacing w:line="400" w:lineRule="exact"/>
              <w:jc w:val="center"/>
              <w:rPr>
                <w:rFonts w:hint="eastAsia" w:asciiTheme="minorEastAsia" w:hAnsiTheme="minorEastAsia" w:eastAsiaTheme="minorEastAsia" w:cstheme="minorEastAsia"/>
                <w:b w:val="0"/>
                <w:bCs w:val="0"/>
                <w:i w:val="0"/>
                <w:iCs w:val="0"/>
                <w:color w:val="auto"/>
                <w:sz w:val="21"/>
                <w:szCs w:val="21"/>
                <w:u w:val="none"/>
              </w:rPr>
            </w:pPr>
          </w:p>
        </w:tc>
      </w:tr>
      <w:tr w14:paraId="670AF0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2807" w:type="dxa"/>
            <w:vMerge w:val="restart"/>
            <w:tcBorders>
              <w:top w:val="single" w:color="auto" w:sz="4" w:space="0"/>
              <w:left w:val="single" w:color="000000" w:sz="4" w:space="0"/>
              <w:right w:val="single" w:color="auto" w:sz="4" w:space="0"/>
            </w:tcBorders>
            <w:shd w:val="clear" w:color="auto" w:fill="auto"/>
            <w:noWrap/>
            <w:vAlign w:val="center"/>
          </w:tcPr>
          <w:p w14:paraId="35CFE922">
            <w:pPr>
              <w:keepNext w:val="0"/>
              <w:keepLines w:val="0"/>
              <w:pageBreakBefore w:val="0"/>
              <w:widowControl w:val="0"/>
              <w:kinsoku/>
              <w:wordWrap/>
              <w:overflowPunct/>
              <w:topLinePunct w:val="0"/>
              <w:autoSpaceDE/>
              <w:autoSpaceDN/>
              <w:bidi w:val="0"/>
              <w:adjustRightInd/>
              <w:snapToGrid/>
              <w:spacing w:line="400" w:lineRule="exact"/>
              <w:jc w:val="center"/>
              <w:rPr>
                <w:rFonts w:hint="default" w:asciiTheme="minorEastAsia" w:hAnsiTheme="minorEastAsia" w:eastAsiaTheme="minorEastAsia" w:cstheme="minorEastAsia"/>
                <w:b w:val="0"/>
                <w:bCs w:val="0"/>
                <w:i w:val="0"/>
                <w:iCs w:val="0"/>
                <w:color w:val="auto"/>
                <w:kern w:val="0"/>
                <w:sz w:val="21"/>
                <w:szCs w:val="21"/>
                <w:u w:val="none"/>
                <w:lang w:val="en-US" w:eastAsia="zh-CN" w:bidi="ar"/>
              </w:rPr>
            </w:pPr>
            <w:r>
              <w:rPr>
                <w:rFonts w:hint="eastAsia" w:asciiTheme="minorEastAsia" w:hAnsiTheme="minorEastAsia" w:eastAsiaTheme="minorEastAsia" w:cstheme="minorEastAsia"/>
                <w:b w:val="0"/>
                <w:bCs w:val="0"/>
                <w:i w:val="0"/>
                <w:iCs w:val="0"/>
                <w:color w:val="auto"/>
                <w:kern w:val="0"/>
                <w:sz w:val="21"/>
                <w:szCs w:val="21"/>
                <w:u w:val="none"/>
                <w:lang w:val="en-US" w:eastAsia="zh-CN" w:bidi="ar"/>
              </w:rPr>
              <w:t>案件涉及财产标的额</w:t>
            </w:r>
            <w:r>
              <w:rPr>
                <w:rFonts w:hint="eastAsia" w:asciiTheme="minorEastAsia" w:hAnsiTheme="minorEastAsia" w:cstheme="minorEastAsia"/>
                <w:b w:val="0"/>
                <w:bCs w:val="0"/>
                <w:i w:val="0"/>
                <w:iCs w:val="0"/>
                <w:color w:val="auto"/>
                <w:kern w:val="0"/>
                <w:sz w:val="21"/>
                <w:szCs w:val="21"/>
                <w:u w:val="none"/>
                <w:lang w:val="en-US" w:eastAsia="zh-CN" w:bidi="ar"/>
              </w:rPr>
              <w:t>在</w:t>
            </w:r>
          </w:p>
          <w:p w14:paraId="2C2DE8B7">
            <w:pPr>
              <w:keepNext w:val="0"/>
              <w:keepLines w:val="0"/>
              <w:pageBreakBefore w:val="0"/>
              <w:widowControl w:val="0"/>
              <w:kinsoku/>
              <w:wordWrap/>
              <w:overflowPunct/>
              <w:topLinePunct w:val="0"/>
              <w:autoSpaceDE/>
              <w:autoSpaceDN/>
              <w:bidi w:val="0"/>
              <w:adjustRightInd/>
              <w:snapToGrid/>
              <w:spacing w:line="400" w:lineRule="exact"/>
              <w:jc w:val="center"/>
              <w:rPr>
                <w:rFonts w:hint="default" w:asciiTheme="minorEastAsia" w:hAnsiTheme="minorEastAsia" w:eastAsiaTheme="minorEastAsia" w:cstheme="minorEastAsia"/>
                <w:b w:val="0"/>
                <w:bCs w:val="0"/>
                <w:i w:val="0"/>
                <w:iCs w:val="0"/>
                <w:color w:val="auto"/>
                <w:sz w:val="21"/>
                <w:szCs w:val="21"/>
                <w:u w:val="none"/>
                <w:lang w:val="en-US"/>
              </w:rPr>
            </w:pPr>
            <w:r>
              <w:rPr>
                <w:rFonts w:hint="eastAsia" w:asciiTheme="minorEastAsia" w:hAnsiTheme="minorEastAsia" w:eastAsiaTheme="minorEastAsia" w:cstheme="minorEastAsia"/>
                <w:b w:val="0"/>
                <w:bCs w:val="0"/>
                <w:i w:val="0"/>
                <w:iCs w:val="0"/>
                <w:color w:val="auto"/>
                <w:kern w:val="0"/>
                <w:sz w:val="21"/>
                <w:szCs w:val="21"/>
                <w:u w:val="none"/>
                <w:lang w:val="en-US" w:eastAsia="zh-CN" w:bidi="ar"/>
              </w:rPr>
              <w:t>10万以上</w:t>
            </w:r>
            <w:r>
              <w:rPr>
                <w:rFonts w:hint="eastAsia" w:asciiTheme="minorEastAsia" w:hAnsiTheme="minorEastAsia" w:cstheme="minorEastAsia"/>
                <w:b w:val="0"/>
                <w:bCs w:val="0"/>
                <w:i w:val="0"/>
                <w:iCs w:val="0"/>
                <w:color w:val="auto"/>
                <w:kern w:val="0"/>
                <w:sz w:val="21"/>
                <w:szCs w:val="21"/>
                <w:u w:val="none"/>
                <w:lang w:val="en-US" w:eastAsia="zh-CN" w:bidi="ar"/>
              </w:rPr>
              <w:t>（含10万元）</w:t>
            </w:r>
          </w:p>
        </w:tc>
        <w:tc>
          <w:tcPr>
            <w:tcW w:w="1463"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697EA481">
            <w:pPr>
              <w:keepNext w:val="0"/>
              <w:keepLines w:val="0"/>
              <w:pageBreakBefore w:val="0"/>
              <w:widowControl w:val="0"/>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b w:val="0"/>
                <w:bCs w:val="0"/>
                <w:i w:val="0"/>
                <w:iCs w:val="0"/>
                <w:color w:val="auto"/>
                <w:sz w:val="21"/>
                <w:szCs w:val="21"/>
                <w:u w:val="none"/>
              </w:rPr>
            </w:pPr>
            <w:r>
              <w:rPr>
                <w:rFonts w:hint="eastAsia" w:asciiTheme="minorEastAsia" w:hAnsiTheme="minorEastAsia" w:eastAsiaTheme="minorEastAsia" w:cstheme="minorEastAsia"/>
                <w:b w:val="0"/>
                <w:bCs w:val="0"/>
                <w:i w:val="0"/>
                <w:iCs w:val="0"/>
                <w:color w:val="auto"/>
                <w:kern w:val="0"/>
                <w:sz w:val="21"/>
                <w:szCs w:val="21"/>
                <w:u w:val="none"/>
                <w:lang w:val="en-US" w:eastAsia="zh-CN" w:bidi="ar"/>
              </w:rPr>
              <w:t>一审</w:t>
            </w:r>
          </w:p>
        </w:tc>
        <w:tc>
          <w:tcPr>
            <w:tcW w:w="24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1AF85F">
            <w:pPr>
              <w:keepNext w:val="0"/>
              <w:keepLines w:val="0"/>
              <w:pageBreakBefore w:val="0"/>
              <w:widowControl w:val="0"/>
              <w:kinsoku/>
              <w:wordWrap/>
              <w:overflowPunct/>
              <w:topLinePunct w:val="0"/>
              <w:autoSpaceDE/>
              <w:autoSpaceDN/>
              <w:bidi w:val="0"/>
              <w:adjustRightInd/>
              <w:snapToGrid/>
              <w:spacing w:line="400" w:lineRule="exact"/>
              <w:jc w:val="center"/>
              <w:rPr>
                <w:rFonts w:hint="eastAsia" w:asciiTheme="minorEastAsia" w:hAnsiTheme="minorEastAsia" w:eastAsiaTheme="minorEastAsia" w:cstheme="minorEastAsia"/>
                <w:b w:val="0"/>
                <w:bCs w:val="0"/>
                <w:i w:val="0"/>
                <w:iCs w:val="0"/>
                <w:color w:val="auto"/>
                <w:sz w:val="21"/>
                <w:szCs w:val="21"/>
                <w:u w:val="none"/>
                <w:lang w:val="en-US" w:eastAsia="zh-CN"/>
              </w:rPr>
            </w:pPr>
            <w:r>
              <w:rPr>
                <w:rFonts w:hint="eastAsia" w:asciiTheme="minorEastAsia" w:hAnsiTheme="minorEastAsia" w:eastAsiaTheme="minorEastAsia" w:cstheme="minorEastAsia"/>
                <w:b w:val="0"/>
                <w:bCs w:val="0"/>
                <w:i w:val="0"/>
                <w:iCs w:val="0"/>
                <w:color w:val="auto"/>
                <w:sz w:val="21"/>
                <w:szCs w:val="21"/>
                <w:u w:val="none"/>
              </w:rPr>
              <w:t>按《湖南省律师服务收费行业指导标准（2017年版）》分段计费最低费率计算基</w:t>
            </w:r>
            <w:r>
              <w:rPr>
                <w:rFonts w:hint="eastAsia" w:asciiTheme="minorEastAsia" w:hAnsiTheme="minorEastAsia" w:eastAsiaTheme="minorEastAsia" w:cstheme="minorEastAsia"/>
                <w:b w:val="0"/>
                <w:bCs w:val="0"/>
                <w:i w:val="0"/>
                <w:iCs w:val="0"/>
                <w:color w:val="auto"/>
                <w:sz w:val="21"/>
                <w:szCs w:val="21"/>
                <w:u w:val="none"/>
                <w:lang w:val="en-US" w:eastAsia="zh-CN"/>
              </w:rPr>
              <w:t>数</w:t>
            </w:r>
            <w:r>
              <w:rPr>
                <w:rFonts w:hint="eastAsia" w:asciiTheme="minorEastAsia" w:hAnsiTheme="minorEastAsia" w:eastAsiaTheme="minorEastAsia" w:cstheme="minorEastAsia"/>
                <w:b w:val="0"/>
                <w:bCs w:val="0"/>
                <w:i w:val="0"/>
                <w:iCs w:val="0"/>
                <w:color w:val="auto"/>
                <w:sz w:val="21"/>
                <w:szCs w:val="21"/>
                <w:u w:val="none"/>
              </w:rPr>
              <w:t>4.5折</w:t>
            </w:r>
            <w:r>
              <w:rPr>
                <w:rFonts w:hint="eastAsia" w:asciiTheme="minorEastAsia" w:hAnsiTheme="minorEastAsia" w:eastAsiaTheme="minorEastAsia" w:cstheme="minorEastAsia"/>
                <w:b w:val="0"/>
                <w:bCs w:val="0"/>
                <w:i w:val="0"/>
                <w:iCs w:val="0"/>
                <w:color w:val="auto"/>
                <w:sz w:val="21"/>
                <w:szCs w:val="21"/>
                <w:u w:val="none"/>
                <w:lang w:val="en-US" w:eastAsia="zh-CN"/>
              </w:rPr>
              <w:t>收取</w:t>
            </w:r>
          </w:p>
        </w:tc>
        <w:tc>
          <w:tcPr>
            <w:tcW w:w="2163" w:type="dxa"/>
            <w:vMerge w:val="continue"/>
            <w:tcBorders>
              <w:left w:val="single" w:color="000000" w:sz="4" w:space="0"/>
              <w:right w:val="single" w:color="auto" w:sz="4" w:space="0"/>
            </w:tcBorders>
            <w:shd w:val="clear" w:color="auto" w:fill="auto"/>
            <w:noWrap/>
            <w:vAlign w:val="center"/>
          </w:tcPr>
          <w:p w14:paraId="47873391">
            <w:pPr>
              <w:keepNext w:val="0"/>
              <w:keepLines w:val="0"/>
              <w:pageBreakBefore w:val="0"/>
              <w:widowControl w:val="0"/>
              <w:kinsoku/>
              <w:wordWrap/>
              <w:overflowPunct/>
              <w:topLinePunct w:val="0"/>
              <w:autoSpaceDE/>
              <w:autoSpaceDN/>
              <w:bidi w:val="0"/>
              <w:adjustRightInd/>
              <w:snapToGrid/>
              <w:spacing w:line="400" w:lineRule="exact"/>
              <w:jc w:val="center"/>
              <w:rPr>
                <w:rFonts w:hint="eastAsia" w:asciiTheme="minorEastAsia" w:hAnsiTheme="minorEastAsia" w:eastAsiaTheme="minorEastAsia" w:cstheme="minorEastAsia"/>
                <w:b w:val="0"/>
                <w:bCs w:val="0"/>
                <w:i w:val="0"/>
                <w:iCs w:val="0"/>
                <w:color w:val="auto"/>
                <w:sz w:val="21"/>
                <w:szCs w:val="21"/>
                <w:u w:val="none"/>
              </w:rPr>
            </w:pPr>
          </w:p>
        </w:tc>
      </w:tr>
      <w:tr w14:paraId="4361A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trPr>
        <w:tc>
          <w:tcPr>
            <w:tcW w:w="2807" w:type="dxa"/>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14:paraId="2CFEBC43">
            <w:pPr>
              <w:keepNext w:val="0"/>
              <w:keepLines w:val="0"/>
              <w:pageBreakBefore w:val="0"/>
              <w:widowControl w:val="0"/>
              <w:kinsoku/>
              <w:wordWrap/>
              <w:overflowPunct/>
              <w:topLinePunct w:val="0"/>
              <w:autoSpaceDE/>
              <w:autoSpaceDN/>
              <w:bidi w:val="0"/>
              <w:adjustRightInd/>
              <w:snapToGrid/>
              <w:spacing w:line="400" w:lineRule="exact"/>
              <w:jc w:val="center"/>
              <w:rPr>
                <w:rFonts w:hint="eastAsia" w:asciiTheme="minorEastAsia" w:hAnsiTheme="minorEastAsia" w:eastAsiaTheme="minorEastAsia" w:cstheme="minorEastAsia"/>
                <w:b w:val="0"/>
                <w:bCs w:val="0"/>
                <w:i w:val="0"/>
                <w:iCs w:val="0"/>
                <w:color w:val="auto"/>
                <w:sz w:val="21"/>
                <w:szCs w:val="21"/>
                <w:u w:val="none"/>
              </w:rPr>
            </w:pPr>
          </w:p>
        </w:tc>
        <w:tc>
          <w:tcPr>
            <w:tcW w:w="1463" w:type="dxa"/>
            <w:tcBorders>
              <w:top w:val="single" w:color="auto" w:sz="4" w:space="0"/>
              <w:left w:val="single" w:color="auto" w:sz="4" w:space="0"/>
              <w:bottom w:val="single" w:color="auto" w:sz="4" w:space="0"/>
              <w:right w:val="single" w:color="000000" w:sz="4" w:space="0"/>
            </w:tcBorders>
            <w:shd w:val="clear" w:color="auto" w:fill="auto"/>
            <w:noWrap/>
            <w:vAlign w:val="center"/>
          </w:tcPr>
          <w:p w14:paraId="39E03CA7">
            <w:pPr>
              <w:keepNext w:val="0"/>
              <w:keepLines w:val="0"/>
              <w:pageBreakBefore w:val="0"/>
              <w:widowControl w:val="0"/>
              <w:suppressLineNumbers w:val="0"/>
              <w:kinsoku/>
              <w:wordWrap/>
              <w:overflowPunct/>
              <w:topLinePunct w:val="0"/>
              <w:autoSpaceDE/>
              <w:autoSpaceDN/>
              <w:bidi w:val="0"/>
              <w:adjustRightInd/>
              <w:snapToGrid/>
              <w:spacing w:line="400" w:lineRule="exact"/>
              <w:jc w:val="center"/>
              <w:textAlignment w:val="center"/>
              <w:rPr>
                <w:rFonts w:hint="eastAsia" w:asciiTheme="minorEastAsia" w:hAnsiTheme="minorEastAsia" w:eastAsiaTheme="minorEastAsia" w:cstheme="minorEastAsia"/>
                <w:b w:val="0"/>
                <w:bCs w:val="0"/>
                <w:i w:val="0"/>
                <w:iCs w:val="0"/>
                <w:color w:val="auto"/>
                <w:sz w:val="21"/>
                <w:szCs w:val="21"/>
                <w:u w:val="none"/>
              </w:rPr>
            </w:pPr>
            <w:r>
              <w:rPr>
                <w:rFonts w:hint="eastAsia" w:asciiTheme="minorEastAsia" w:hAnsiTheme="minorEastAsia" w:eastAsiaTheme="minorEastAsia" w:cstheme="minorEastAsia"/>
                <w:b w:val="0"/>
                <w:bCs w:val="0"/>
                <w:i w:val="0"/>
                <w:iCs w:val="0"/>
                <w:color w:val="auto"/>
                <w:kern w:val="0"/>
                <w:sz w:val="21"/>
                <w:szCs w:val="21"/>
                <w:u w:val="none"/>
                <w:lang w:val="en-US" w:eastAsia="zh-CN" w:bidi="ar"/>
              </w:rPr>
              <w:t>二审、再审等</w:t>
            </w:r>
          </w:p>
        </w:tc>
        <w:tc>
          <w:tcPr>
            <w:tcW w:w="248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72CAE">
            <w:pPr>
              <w:keepNext w:val="0"/>
              <w:keepLines w:val="0"/>
              <w:pageBreakBefore w:val="0"/>
              <w:widowControl w:val="0"/>
              <w:kinsoku/>
              <w:wordWrap/>
              <w:overflowPunct/>
              <w:topLinePunct w:val="0"/>
              <w:autoSpaceDE/>
              <w:autoSpaceDN/>
              <w:bidi w:val="0"/>
              <w:adjustRightInd/>
              <w:snapToGrid/>
              <w:spacing w:line="400" w:lineRule="exact"/>
              <w:jc w:val="center"/>
              <w:rPr>
                <w:rFonts w:hint="eastAsia" w:asciiTheme="minorEastAsia" w:hAnsiTheme="minorEastAsia" w:eastAsiaTheme="minorEastAsia" w:cstheme="minorEastAsia"/>
                <w:b w:val="0"/>
                <w:bCs w:val="0"/>
                <w:i w:val="0"/>
                <w:iCs w:val="0"/>
                <w:color w:val="auto"/>
                <w:sz w:val="21"/>
                <w:szCs w:val="21"/>
                <w:u w:val="none"/>
              </w:rPr>
            </w:pPr>
            <w:r>
              <w:rPr>
                <w:rFonts w:hint="eastAsia" w:asciiTheme="minorEastAsia" w:hAnsiTheme="minorEastAsia" w:eastAsiaTheme="minorEastAsia" w:cstheme="minorEastAsia"/>
                <w:b w:val="0"/>
                <w:bCs w:val="0"/>
                <w:i w:val="0"/>
                <w:iCs w:val="0"/>
                <w:color w:val="auto"/>
                <w:sz w:val="21"/>
                <w:szCs w:val="21"/>
                <w:u w:val="none"/>
                <w:lang w:val="en-US" w:eastAsia="zh-CN"/>
              </w:rPr>
              <w:t>按</w:t>
            </w:r>
            <w:r>
              <w:rPr>
                <w:rFonts w:hint="eastAsia" w:asciiTheme="minorEastAsia" w:hAnsiTheme="minorEastAsia" w:eastAsiaTheme="minorEastAsia" w:cstheme="minorEastAsia"/>
                <w:b w:val="0"/>
                <w:bCs w:val="0"/>
                <w:i w:val="0"/>
                <w:iCs w:val="0"/>
                <w:color w:val="auto"/>
                <w:sz w:val="21"/>
                <w:szCs w:val="21"/>
                <w:u w:val="none"/>
              </w:rPr>
              <w:t>一审费用4.75折收取</w:t>
            </w:r>
          </w:p>
        </w:tc>
        <w:tc>
          <w:tcPr>
            <w:tcW w:w="2163" w:type="dxa"/>
            <w:vMerge w:val="continue"/>
            <w:tcBorders>
              <w:left w:val="single" w:color="000000" w:sz="4" w:space="0"/>
              <w:right w:val="single" w:color="auto" w:sz="4" w:space="0"/>
            </w:tcBorders>
            <w:shd w:val="clear" w:color="auto" w:fill="auto"/>
            <w:noWrap/>
            <w:vAlign w:val="center"/>
          </w:tcPr>
          <w:p w14:paraId="37ECA579">
            <w:pPr>
              <w:keepNext w:val="0"/>
              <w:keepLines w:val="0"/>
              <w:pageBreakBefore w:val="0"/>
              <w:widowControl w:val="0"/>
              <w:kinsoku/>
              <w:wordWrap/>
              <w:overflowPunct/>
              <w:topLinePunct w:val="0"/>
              <w:autoSpaceDE/>
              <w:autoSpaceDN/>
              <w:bidi w:val="0"/>
              <w:adjustRightInd/>
              <w:snapToGrid/>
              <w:spacing w:line="400" w:lineRule="exact"/>
              <w:jc w:val="center"/>
              <w:rPr>
                <w:rFonts w:hint="eastAsia" w:asciiTheme="minorEastAsia" w:hAnsiTheme="minorEastAsia" w:eastAsiaTheme="minorEastAsia" w:cstheme="minorEastAsia"/>
                <w:b w:val="0"/>
                <w:bCs w:val="0"/>
                <w:i w:val="0"/>
                <w:iCs w:val="0"/>
                <w:color w:val="auto"/>
                <w:sz w:val="21"/>
                <w:szCs w:val="21"/>
                <w:u w:val="none"/>
              </w:rPr>
            </w:pPr>
          </w:p>
        </w:tc>
      </w:tr>
      <w:tr w14:paraId="49B2B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9" w:hRule="atLeast"/>
        </w:trPr>
        <w:tc>
          <w:tcPr>
            <w:tcW w:w="6759"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FC407">
            <w:pPr>
              <w:keepNext w:val="0"/>
              <w:keepLines w:val="0"/>
              <w:pageBreakBefore w:val="0"/>
              <w:widowControl w:val="0"/>
              <w:kinsoku/>
              <w:wordWrap/>
              <w:overflowPunct/>
              <w:topLinePunct w:val="0"/>
              <w:autoSpaceDE/>
              <w:autoSpaceDN/>
              <w:bidi w:val="0"/>
              <w:adjustRightInd/>
              <w:snapToGrid/>
              <w:spacing w:line="400" w:lineRule="exact"/>
              <w:jc w:val="left"/>
              <w:rPr>
                <w:rFonts w:hint="eastAsia" w:asciiTheme="minorEastAsia" w:hAnsiTheme="minorEastAsia" w:eastAsiaTheme="minorEastAsia" w:cstheme="minorEastAsia"/>
                <w:b w:val="0"/>
                <w:bCs w:val="0"/>
                <w:i w:val="0"/>
                <w:iCs w:val="0"/>
                <w:color w:val="auto"/>
                <w:sz w:val="21"/>
                <w:szCs w:val="21"/>
                <w:u w:val="none"/>
                <w:lang w:val="en-US" w:eastAsia="zh-CN"/>
              </w:rPr>
            </w:pPr>
            <w:r>
              <w:rPr>
                <w:rFonts w:hint="eastAsia" w:asciiTheme="minorEastAsia" w:hAnsiTheme="minorEastAsia" w:cstheme="minorEastAsia"/>
                <w:b w:val="0"/>
                <w:bCs w:val="0"/>
                <w:i w:val="0"/>
                <w:iCs w:val="0"/>
                <w:color w:val="auto"/>
                <w:kern w:val="0"/>
                <w:sz w:val="21"/>
                <w:szCs w:val="21"/>
                <w:u w:val="none"/>
                <w:lang w:val="en-US" w:eastAsia="zh-CN" w:bidi="ar"/>
              </w:rPr>
              <w:t>备注：</w:t>
            </w:r>
            <w:r>
              <w:rPr>
                <w:rFonts w:hint="eastAsia" w:asciiTheme="minorEastAsia" w:hAnsiTheme="minorEastAsia" w:eastAsiaTheme="minorEastAsia" w:cstheme="minorEastAsia"/>
                <w:b w:val="0"/>
                <w:bCs w:val="0"/>
                <w:i w:val="0"/>
                <w:iCs w:val="0"/>
                <w:color w:val="auto"/>
                <w:kern w:val="0"/>
                <w:sz w:val="21"/>
                <w:szCs w:val="21"/>
                <w:u w:val="none"/>
                <w:lang w:val="en-US" w:eastAsia="zh-CN" w:bidi="ar"/>
              </w:rPr>
              <w:t>案件涉及财产标的额</w:t>
            </w:r>
            <w:r>
              <w:rPr>
                <w:rFonts w:hint="eastAsia" w:asciiTheme="minorEastAsia" w:hAnsiTheme="minorEastAsia" w:cstheme="minorEastAsia"/>
                <w:b w:val="0"/>
                <w:bCs w:val="0"/>
                <w:i w:val="0"/>
                <w:iCs w:val="0"/>
                <w:color w:val="auto"/>
                <w:kern w:val="0"/>
                <w:sz w:val="21"/>
                <w:szCs w:val="21"/>
                <w:u w:val="none"/>
                <w:lang w:val="en-US" w:eastAsia="zh-CN" w:bidi="ar"/>
              </w:rPr>
              <w:t>在1000万及以上（含1000万）的，在低于案件代理费整体报价折扣基础上协商确定案件代理费。</w:t>
            </w:r>
          </w:p>
        </w:tc>
        <w:tc>
          <w:tcPr>
            <w:tcW w:w="2163" w:type="dxa"/>
            <w:tcBorders>
              <w:left w:val="single" w:color="000000" w:sz="4" w:space="0"/>
              <w:bottom w:val="single" w:color="auto" w:sz="4" w:space="0"/>
              <w:right w:val="single" w:color="auto" w:sz="4" w:space="0"/>
            </w:tcBorders>
            <w:shd w:val="clear" w:color="auto" w:fill="auto"/>
            <w:noWrap/>
            <w:vAlign w:val="center"/>
          </w:tcPr>
          <w:p w14:paraId="28767070">
            <w:pPr>
              <w:keepNext w:val="0"/>
              <w:keepLines w:val="0"/>
              <w:pageBreakBefore w:val="0"/>
              <w:widowControl w:val="0"/>
              <w:kinsoku/>
              <w:wordWrap/>
              <w:overflowPunct/>
              <w:topLinePunct w:val="0"/>
              <w:autoSpaceDE/>
              <w:autoSpaceDN/>
              <w:bidi w:val="0"/>
              <w:adjustRightInd/>
              <w:snapToGrid/>
              <w:spacing w:line="400" w:lineRule="exact"/>
              <w:jc w:val="center"/>
              <w:rPr>
                <w:rFonts w:hint="eastAsia" w:asciiTheme="minorEastAsia" w:hAnsiTheme="minorEastAsia" w:eastAsiaTheme="minorEastAsia" w:cstheme="minorEastAsia"/>
                <w:b w:val="0"/>
                <w:bCs w:val="0"/>
                <w:i w:val="0"/>
                <w:iCs w:val="0"/>
                <w:color w:val="auto"/>
                <w:sz w:val="21"/>
                <w:szCs w:val="21"/>
                <w:u w:val="none"/>
              </w:rPr>
            </w:pPr>
          </w:p>
        </w:tc>
      </w:tr>
    </w:tbl>
    <w:p w14:paraId="35975468">
      <w:pPr>
        <w:pStyle w:val="4"/>
        <w:pageBreakBefore w:val="0"/>
        <w:widowControl w:val="0"/>
        <w:kinsoku/>
        <w:wordWrap/>
        <w:overflowPunct/>
        <w:topLinePunct w:val="0"/>
        <w:autoSpaceDE/>
        <w:autoSpaceDN/>
        <w:bidi w:val="0"/>
        <w:adjustRightInd w:val="0"/>
        <w:snapToGrid w:val="0"/>
        <w:spacing w:before="0" w:after="0" w:line="520" w:lineRule="exact"/>
        <w:ind w:firstLine="562" w:firstLineChars="200"/>
        <w:jc w:val="both"/>
        <w:textAlignment w:val="auto"/>
        <w:rPr>
          <w:rFonts w:hint="eastAsia" w:asciiTheme="minorEastAsia" w:hAnsiTheme="minorEastAsia" w:eastAsiaTheme="minorEastAsia" w:cstheme="minorEastAsia"/>
          <w:color w:val="auto"/>
          <w:sz w:val="28"/>
          <w:szCs w:val="28"/>
          <w:highlight w:val="none"/>
        </w:rPr>
      </w:pPr>
      <w:bookmarkStart w:id="2" w:name="_Toc32166"/>
      <w:r>
        <w:rPr>
          <w:rFonts w:hint="eastAsia" w:asciiTheme="minorEastAsia" w:hAnsiTheme="minorEastAsia" w:eastAsiaTheme="minorEastAsia" w:cstheme="minorEastAsia"/>
          <w:color w:val="auto"/>
          <w:sz w:val="28"/>
          <w:szCs w:val="28"/>
          <w:highlight w:val="none"/>
          <w:lang w:val="en-US" w:eastAsia="zh-CN"/>
        </w:rPr>
        <w:t>3.</w:t>
      </w:r>
      <w:r>
        <w:rPr>
          <w:rFonts w:hint="eastAsia" w:asciiTheme="minorEastAsia" w:hAnsiTheme="minorEastAsia" w:eastAsiaTheme="minorEastAsia" w:cstheme="minorEastAsia"/>
          <w:color w:val="auto"/>
          <w:sz w:val="28"/>
          <w:szCs w:val="28"/>
          <w:highlight w:val="none"/>
        </w:rPr>
        <w:t>其他规定</w:t>
      </w:r>
      <w:bookmarkEnd w:id="2"/>
    </w:p>
    <w:p w14:paraId="050D9BB6">
      <w:pPr>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投标截止后投标人不足3家或者通过资格审查或符合性审查的投标人不足3家的，除采购任务取消情形外，按照以下方式处理：</w:t>
      </w:r>
    </w:p>
    <w:p w14:paraId="33AFE241">
      <w:pPr>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（1）</w:t>
      </w:r>
      <w:r>
        <w:rPr>
          <w:rFonts w:hint="eastAsia" w:asciiTheme="minorEastAsia" w:hAnsiTheme="minorEastAsia" w:cstheme="minorEastAsia"/>
          <w:color w:val="auto"/>
          <w:sz w:val="28"/>
          <w:szCs w:val="28"/>
          <w:highlight w:val="none"/>
          <w:lang w:eastAsia="zh-CN"/>
        </w:rPr>
        <w:t>采购</w:t>
      </w:r>
      <w:r>
        <w:rPr>
          <w:rFonts w:hint="eastAsia" w:asciiTheme="minorEastAsia" w:hAnsiTheme="minorEastAsia" w:eastAsiaTheme="minorEastAsia" w:cstheme="minorEastAsia"/>
          <w:color w:val="auto"/>
          <w:sz w:val="28"/>
          <w:szCs w:val="28"/>
          <w:highlight w:val="none"/>
        </w:rPr>
        <w:t>文件存在不合理条款或者</w:t>
      </w:r>
      <w:r>
        <w:rPr>
          <w:rFonts w:hint="eastAsia" w:asciiTheme="minorEastAsia" w:hAnsiTheme="minorEastAsia" w:cstheme="minorEastAsia"/>
          <w:color w:val="auto"/>
          <w:sz w:val="28"/>
          <w:szCs w:val="28"/>
          <w:highlight w:val="none"/>
          <w:lang w:eastAsia="zh-CN"/>
        </w:rPr>
        <w:t>采购</w:t>
      </w:r>
      <w:r>
        <w:rPr>
          <w:rFonts w:hint="eastAsia" w:asciiTheme="minorEastAsia" w:hAnsiTheme="minorEastAsia" w:eastAsiaTheme="minorEastAsia" w:cstheme="minorEastAsia"/>
          <w:color w:val="auto"/>
          <w:sz w:val="28"/>
          <w:szCs w:val="28"/>
          <w:highlight w:val="none"/>
        </w:rPr>
        <w:t>程序不符合规定的，采购人、采购代理机构改正后依法重新招标；</w:t>
      </w:r>
    </w:p>
    <w:p w14:paraId="063A117C">
      <w:pPr>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（2）</w:t>
      </w:r>
      <w:r>
        <w:rPr>
          <w:rFonts w:hint="eastAsia" w:asciiTheme="minorEastAsia" w:hAnsiTheme="minorEastAsia" w:cstheme="minorEastAsia"/>
          <w:color w:val="auto"/>
          <w:sz w:val="28"/>
          <w:szCs w:val="28"/>
          <w:highlight w:val="none"/>
          <w:lang w:eastAsia="zh-CN"/>
        </w:rPr>
        <w:t>采购</w:t>
      </w:r>
      <w:r>
        <w:rPr>
          <w:rFonts w:hint="eastAsia" w:asciiTheme="minorEastAsia" w:hAnsiTheme="minorEastAsia" w:eastAsiaTheme="minorEastAsia" w:cstheme="minorEastAsia"/>
          <w:color w:val="auto"/>
          <w:sz w:val="28"/>
          <w:szCs w:val="28"/>
          <w:highlight w:val="none"/>
        </w:rPr>
        <w:t>文件没有不合理条款、</w:t>
      </w:r>
      <w:r>
        <w:rPr>
          <w:rFonts w:hint="eastAsia" w:asciiTheme="minorEastAsia" w:hAnsiTheme="minorEastAsia" w:cstheme="minorEastAsia"/>
          <w:color w:val="auto"/>
          <w:sz w:val="28"/>
          <w:szCs w:val="28"/>
          <w:highlight w:val="none"/>
          <w:lang w:eastAsia="zh-CN"/>
        </w:rPr>
        <w:t>采购</w:t>
      </w:r>
      <w:r>
        <w:rPr>
          <w:rFonts w:hint="eastAsia" w:asciiTheme="minorEastAsia" w:hAnsiTheme="minorEastAsia" w:eastAsiaTheme="minorEastAsia" w:cstheme="minorEastAsia"/>
          <w:color w:val="auto"/>
          <w:sz w:val="28"/>
          <w:szCs w:val="28"/>
          <w:highlight w:val="none"/>
        </w:rPr>
        <w:t>程序符合规定，需要采用其他采购方式采购的，采购人应当依法报财政部门批准。</w:t>
      </w:r>
    </w:p>
    <w:p w14:paraId="1BB140D6">
      <w:pPr>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hint="eastAsia" w:asciiTheme="minorEastAsia" w:hAnsiTheme="minorEastAsia" w:eastAsiaTheme="minorEastAsia" w:cstheme="minorEastAsia"/>
          <w:color w:val="auto"/>
          <w:sz w:val="28"/>
          <w:szCs w:val="28"/>
          <w:highlight w:val="none"/>
        </w:rPr>
      </w:pPr>
      <w:r>
        <w:rPr>
          <w:rFonts w:hint="eastAsia" w:asciiTheme="minorEastAsia" w:hAnsiTheme="minorEastAsia" w:eastAsiaTheme="minorEastAsia" w:cstheme="minorEastAsia"/>
          <w:color w:val="auto"/>
          <w:sz w:val="28"/>
          <w:szCs w:val="28"/>
          <w:highlight w:val="none"/>
        </w:rPr>
        <w:t>属上款第（2）项情形的，</w:t>
      </w:r>
      <w:r>
        <w:rPr>
          <w:rFonts w:hint="eastAsia" w:ascii="宋体" w:hAnsi="宋体" w:eastAsia="宋体" w:cs="宋体"/>
          <w:color w:val="auto"/>
          <w:kern w:val="2"/>
          <w:sz w:val="28"/>
          <w:szCs w:val="28"/>
          <w:highlight w:val="none"/>
          <w:lang w:val="en-US" w:eastAsia="zh-CN" w:bidi="ar-SA"/>
        </w:rPr>
        <w:t>评审小组</w:t>
      </w:r>
      <w:r>
        <w:rPr>
          <w:rFonts w:hint="eastAsia" w:asciiTheme="minorEastAsia" w:hAnsiTheme="minorEastAsia" w:eastAsiaTheme="minorEastAsia" w:cstheme="minorEastAsia"/>
          <w:color w:val="auto"/>
          <w:sz w:val="28"/>
          <w:szCs w:val="28"/>
          <w:highlight w:val="none"/>
        </w:rPr>
        <w:t>应出具的</w:t>
      </w:r>
      <w:r>
        <w:rPr>
          <w:rFonts w:hint="eastAsia" w:asciiTheme="minorEastAsia" w:hAnsiTheme="minorEastAsia" w:cstheme="minorEastAsia"/>
          <w:color w:val="auto"/>
          <w:sz w:val="28"/>
          <w:szCs w:val="28"/>
          <w:highlight w:val="none"/>
          <w:lang w:eastAsia="zh-CN"/>
        </w:rPr>
        <w:t>采购</w:t>
      </w:r>
      <w:r>
        <w:rPr>
          <w:rFonts w:hint="eastAsia" w:asciiTheme="minorEastAsia" w:hAnsiTheme="minorEastAsia" w:eastAsiaTheme="minorEastAsia" w:cstheme="minorEastAsia"/>
          <w:color w:val="auto"/>
          <w:sz w:val="28"/>
          <w:szCs w:val="28"/>
          <w:highlight w:val="none"/>
        </w:rPr>
        <w:t>文件没有不合理条款的论证意见。</w:t>
      </w:r>
    </w:p>
    <w:p w14:paraId="74E96EBD">
      <w:pPr>
        <w:pStyle w:val="4"/>
        <w:keepNext w:val="0"/>
        <w:keepLines w:val="0"/>
        <w:pageBreakBefore w:val="0"/>
        <w:widowControl w:val="0"/>
        <w:kinsoku/>
        <w:wordWrap/>
        <w:overflowPunct/>
        <w:topLinePunct w:val="0"/>
        <w:autoSpaceDE/>
        <w:autoSpaceDN/>
        <w:bidi w:val="0"/>
        <w:adjustRightInd w:val="0"/>
        <w:snapToGrid w:val="0"/>
        <w:spacing w:before="0" w:after="0" w:line="520" w:lineRule="exact"/>
        <w:ind w:firstLine="560" w:firstLineChars="200"/>
        <w:textAlignment w:val="auto"/>
        <w:rPr>
          <w:rFonts w:hint="eastAsia" w:ascii="黑体" w:hAnsi="华文中宋" w:eastAsia="黑体" w:cstheme="minorBidi"/>
          <w:b w:val="0"/>
          <w:bCs w:val="0"/>
          <w:color w:val="auto"/>
          <w:kern w:val="2"/>
          <w:sz w:val="28"/>
          <w:szCs w:val="28"/>
          <w:highlight w:val="none"/>
          <w:lang w:val="en-US" w:eastAsia="zh-CN" w:bidi="ar-SA"/>
        </w:rPr>
      </w:pPr>
      <w:bookmarkStart w:id="3" w:name="_Toc24858"/>
      <w:r>
        <w:rPr>
          <w:rFonts w:hint="eastAsia" w:ascii="黑体" w:hAnsi="华文中宋" w:eastAsia="黑体" w:cstheme="minorBidi"/>
          <w:b w:val="0"/>
          <w:bCs w:val="0"/>
          <w:color w:val="auto"/>
          <w:kern w:val="2"/>
          <w:sz w:val="28"/>
          <w:szCs w:val="28"/>
          <w:highlight w:val="none"/>
          <w:lang w:val="en-US" w:eastAsia="zh-CN" w:bidi="ar-SA"/>
        </w:rPr>
        <w:t>二、投标文件的澄清</w:t>
      </w:r>
      <w:bookmarkEnd w:id="3"/>
    </w:p>
    <w:p w14:paraId="30DB0EED">
      <w:pPr>
        <w:keepNext w:val="0"/>
        <w:keepLines w:val="0"/>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ascii="宋体" w:hAnsi="宋体"/>
          <w:color w:val="auto"/>
          <w:sz w:val="28"/>
          <w:szCs w:val="28"/>
          <w:highlight w:val="none"/>
        </w:rPr>
      </w:pPr>
      <w:r>
        <w:rPr>
          <w:rFonts w:hint="eastAsia" w:ascii="宋体" w:hAnsi="宋体"/>
          <w:color w:val="auto"/>
          <w:sz w:val="28"/>
          <w:szCs w:val="28"/>
          <w:highlight w:val="none"/>
        </w:rPr>
        <w:t>1</w:t>
      </w:r>
      <w:r>
        <w:rPr>
          <w:rFonts w:hint="eastAsia" w:ascii="宋体" w:hAnsi="宋体"/>
          <w:color w:val="auto"/>
          <w:sz w:val="28"/>
          <w:szCs w:val="28"/>
          <w:highlight w:val="none"/>
          <w:lang w:val="en-US" w:eastAsia="zh-CN"/>
        </w:rPr>
        <w:t>.</w:t>
      </w:r>
      <w:r>
        <w:rPr>
          <w:rFonts w:hint="eastAsia" w:ascii="宋体" w:hAnsi="宋体"/>
          <w:color w:val="auto"/>
          <w:sz w:val="28"/>
          <w:szCs w:val="28"/>
          <w:highlight w:val="none"/>
        </w:rPr>
        <w:t>对于投标文件中含义不明确、同类问题表述不一致或者有明显文字和计算错误的内容，</w:t>
      </w:r>
      <w:r>
        <w:rPr>
          <w:rFonts w:hint="eastAsia" w:ascii="宋体" w:hAnsi="宋体" w:eastAsia="宋体" w:cs="宋体"/>
          <w:color w:val="auto"/>
          <w:kern w:val="2"/>
          <w:sz w:val="28"/>
          <w:szCs w:val="28"/>
          <w:lang w:val="en-US" w:eastAsia="zh-CN" w:bidi="ar-SA"/>
        </w:rPr>
        <w:t>评审小组</w:t>
      </w:r>
      <w:r>
        <w:rPr>
          <w:rFonts w:hint="eastAsia" w:ascii="宋体" w:hAnsi="宋体"/>
          <w:color w:val="auto"/>
          <w:sz w:val="28"/>
          <w:szCs w:val="28"/>
          <w:highlight w:val="none"/>
        </w:rPr>
        <w:t>应当以书面形式要求投标人作出必要的澄清、说明或者补正。</w:t>
      </w:r>
    </w:p>
    <w:p w14:paraId="60EB6C4B">
      <w:pPr>
        <w:keepNext w:val="0"/>
        <w:keepLines w:val="0"/>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ascii="宋体" w:hAnsi="宋体"/>
          <w:color w:val="auto"/>
          <w:sz w:val="28"/>
          <w:szCs w:val="28"/>
          <w:highlight w:val="none"/>
        </w:rPr>
      </w:pPr>
      <w:r>
        <w:rPr>
          <w:rFonts w:hint="eastAsia" w:ascii="宋体" w:hAnsi="宋体"/>
          <w:color w:val="auto"/>
          <w:sz w:val="28"/>
          <w:szCs w:val="28"/>
          <w:highlight w:val="none"/>
        </w:rPr>
        <w:t>2</w:t>
      </w:r>
      <w:r>
        <w:rPr>
          <w:rFonts w:hint="eastAsia" w:ascii="宋体" w:hAnsi="宋体"/>
          <w:color w:val="auto"/>
          <w:sz w:val="28"/>
          <w:szCs w:val="28"/>
          <w:highlight w:val="none"/>
          <w:lang w:val="en-US" w:eastAsia="zh-CN"/>
        </w:rPr>
        <w:t>.</w:t>
      </w:r>
      <w:r>
        <w:rPr>
          <w:rFonts w:hint="eastAsia" w:ascii="宋体" w:hAnsi="宋体"/>
          <w:color w:val="auto"/>
          <w:sz w:val="28"/>
          <w:szCs w:val="28"/>
          <w:highlight w:val="none"/>
        </w:rPr>
        <w:t>投标文件的投标报价出现前后不一致的，按照下列规定修正：</w:t>
      </w:r>
    </w:p>
    <w:p w14:paraId="1A22351A">
      <w:pPr>
        <w:keepNext w:val="0"/>
        <w:keepLines w:val="0"/>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ascii="宋体" w:hAnsi="宋体"/>
          <w:color w:val="auto"/>
          <w:sz w:val="28"/>
          <w:szCs w:val="28"/>
          <w:highlight w:val="none"/>
        </w:rPr>
      </w:pPr>
      <w:r>
        <w:rPr>
          <w:rFonts w:hint="eastAsia" w:ascii="宋体" w:hAnsi="宋体"/>
          <w:color w:val="auto"/>
          <w:sz w:val="28"/>
          <w:szCs w:val="28"/>
          <w:highlight w:val="none"/>
        </w:rPr>
        <w:t>（1）投标文件中开标一览表内容与投标文件中相应内容不一致的，以开标一览表为准；</w:t>
      </w:r>
    </w:p>
    <w:p w14:paraId="109BA7EA">
      <w:pPr>
        <w:keepNext w:val="0"/>
        <w:keepLines w:val="0"/>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ascii="宋体" w:hAnsi="宋体"/>
          <w:color w:val="auto"/>
          <w:sz w:val="28"/>
          <w:szCs w:val="28"/>
          <w:highlight w:val="none"/>
        </w:rPr>
      </w:pPr>
      <w:r>
        <w:rPr>
          <w:rFonts w:hint="eastAsia" w:ascii="宋体" w:hAnsi="宋体"/>
          <w:color w:val="auto"/>
          <w:sz w:val="28"/>
          <w:szCs w:val="28"/>
          <w:highlight w:val="none"/>
        </w:rPr>
        <w:t>（2）大写金额和小写金额不一致的，以大写金额为准；</w:t>
      </w:r>
    </w:p>
    <w:p w14:paraId="4BA41CBD">
      <w:pPr>
        <w:keepNext w:val="0"/>
        <w:keepLines w:val="0"/>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ascii="宋体" w:hAnsi="宋体"/>
          <w:color w:val="auto"/>
          <w:sz w:val="28"/>
          <w:szCs w:val="28"/>
          <w:highlight w:val="none"/>
        </w:rPr>
      </w:pPr>
      <w:r>
        <w:rPr>
          <w:rFonts w:hint="eastAsia" w:ascii="宋体" w:hAnsi="宋体"/>
          <w:color w:val="auto"/>
          <w:sz w:val="28"/>
          <w:szCs w:val="28"/>
          <w:highlight w:val="none"/>
        </w:rPr>
        <w:t>（3）单价金额小数点或者百分比有明显错位的，以开标一览表的总价为准，并修改单价；</w:t>
      </w:r>
    </w:p>
    <w:p w14:paraId="43BAB6D3">
      <w:pPr>
        <w:keepNext w:val="0"/>
        <w:keepLines w:val="0"/>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ascii="宋体" w:hAnsi="宋体"/>
          <w:color w:val="auto"/>
          <w:sz w:val="28"/>
          <w:szCs w:val="28"/>
          <w:highlight w:val="none"/>
        </w:rPr>
      </w:pPr>
      <w:r>
        <w:rPr>
          <w:rFonts w:hint="eastAsia" w:ascii="宋体" w:hAnsi="宋体"/>
          <w:color w:val="auto"/>
          <w:sz w:val="28"/>
          <w:szCs w:val="28"/>
          <w:highlight w:val="none"/>
        </w:rPr>
        <w:t>（4）总价金额与按单价汇总金额不一致的，以单价金额计算结果为准。</w:t>
      </w:r>
    </w:p>
    <w:p w14:paraId="48B2CE5F">
      <w:pPr>
        <w:keepNext w:val="0"/>
        <w:keepLines w:val="0"/>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ascii="宋体" w:hAnsi="宋体"/>
          <w:color w:val="auto"/>
          <w:sz w:val="28"/>
          <w:szCs w:val="28"/>
          <w:highlight w:val="none"/>
        </w:rPr>
      </w:pPr>
      <w:r>
        <w:rPr>
          <w:rFonts w:hint="eastAsia" w:ascii="宋体" w:hAnsi="宋体"/>
          <w:color w:val="auto"/>
          <w:sz w:val="28"/>
          <w:szCs w:val="28"/>
          <w:highlight w:val="none"/>
          <w:lang w:val="en-US" w:eastAsia="zh-CN"/>
        </w:rPr>
        <w:t>3.</w:t>
      </w:r>
      <w:r>
        <w:rPr>
          <w:rFonts w:hint="eastAsia" w:ascii="宋体" w:hAnsi="宋体"/>
          <w:color w:val="auto"/>
          <w:sz w:val="28"/>
          <w:szCs w:val="28"/>
          <w:highlight w:val="none"/>
        </w:rPr>
        <w:t>投标文件报价同时出现两种以上不一致的，按照前款规定的顺序修正</w:t>
      </w:r>
      <w:r>
        <w:rPr>
          <w:rFonts w:hint="eastAsia" w:ascii="宋体" w:hAnsi="宋体"/>
          <w:color w:val="auto"/>
          <w:sz w:val="28"/>
          <w:szCs w:val="28"/>
          <w:highlight w:val="none"/>
          <w:lang w:eastAsia="zh-CN"/>
        </w:rPr>
        <w:t>。</w:t>
      </w:r>
      <w:r>
        <w:rPr>
          <w:rFonts w:hint="eastAsia" w:ascii="宋体" w:hAnsi="宋体"/>
          <w:color w:val="auto"/>
          <w:sz w:val="28"/>
          <w:szCs w:val="28"/>
          <w:highlight w:val="none"/>
        </w:rPr>
        <w:t>修正后的报价由</w:t>
      </w:r>
      <w:r>
        <w:rPr>
          <w:rFonts w:hint="eastAsia" w:ascii="宋体" w:hAnsi="宋体"/>
          <w:color w:val="auto"/>
          <w:sz w:val="28"/>
          <w:szCs w:val="28"/>
          <w:highlight w:val="none"/>
          <w:lang w:val="en-US" w:eastAsia="zh-CN"/>
        </w:rPr>
        <w:t>投标</w:t>
      </w:r>
      <w:r>
        <w:rPr>
          <w:rFonts w:hint="eastAsia" w:ascii="宋体" w:hAnsi="宋体" w:eastAsia="宋体" w:cs="宋体"/>
          <w:color w:val="auto"/>
          <w:sz w:val="28"/>
          <w:szCs w:val="28"/>
          <w:highlight w:val="none"/>
          <w:lang w:val="en-US" w:eastAsia="zh-CN"/>
        </w:rPr>
        <w:t>律师事务所负责人或律师事务所负责人授权的代表人</w:t>
      </w:r>
      <w:r>
        <w:rPr>
          <w:rFonts w:hint="eastAsia" w:ascii="宋体" w:hAnsi="宋体"/>
          <w:color w:val="auto"/>
          <w:sz w:val="28"/>
          <w:szCs w:val="28"/>
          <w:highlight w:val="none"/>
        </w:rPr>
        <w:t>签字或者加盖单位章确认后产生约束力，投标人不确认的，其投标无效。</w:t>
      </w:r>
    </w:p>
    <w:p w14:paraId="34C0C99D">
      <w:pPr>
        <w:keepNext w:val="0"/>
        <w:keepLines w:val="0"/>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ascii="宋体" w:hAnsi="宋体"/>
          <w:color w:val="auto"/>
          <w:sz w:val="28"/>
          <w:szCs w:val="28"/>
          <w:highlight w:val="none"/>
        </w:rPr>
      </w:pPr>
      <w:r>
        <w:rPr>
          <w:rFonts w:hint="eastAsia" w:ascii="宋体" w:hAnsi="宋体"/>
          <w:color w:val="auto"/>
          <w:sz w:val="28"/>
          <w:szCs w:val="28"/>
          <w:highlight w:val="none"/>
          <w:lang w:val="en-US" w:eastAsia="zh-CN"/>
        </w:rPr>
        <w:t>4.</w:t>
      </w:r>
      <w:r>
        <w:rPr>
          <w:rFonts w:hint="eastAsia" w:ascii="宋体" w:hAnsi="宋体"/>
          <w:color w:val="auto"/>
          <w:sz w:val="28"/>
          <w:szCs w:val="28"/>
          <w:highlight w:val="none"/>
        </w:rPr>
        <w:t>投标人的澄清、说明或者补正应当采用书面形式，并加盖公章，或者由</w:t>
      </w:r>
      <w:r>
        <w:rPr>
          <w:rFonts w:hint="eastAsia" w:ascii="宋体" w:hAnsi="宋体"/>
          <w:color w:val="auto"/>
          <w:sz w:val="28"/>
          <w:szCs w:val="28"/>
          <w:highlight w:val="none"/>
          <w:lang w:val="en-US" w:eastAsia="zh-CN"/>
        </w:rPr>
        <w:t>投标</w:t>
      </w:r>
      <w:r>
        <w:rPr>
          <w:rFonts w:hint="eastAsia" w:ascii="宋体" w:hAnsi="宋体" w:eastAsia="宋体" w:cs="宋体"/>
          <w:color w:val="auto"/>
          <w:sz w:val="28"/>
          <w:szCs w:val="28"/>
          <w:highlight w:val="none"/>
          <w:lang w:val="en-US" w:eastAsia="zh-CN"/>
        </w:rPr>
        <w:t>律师事务所负责人或律师事务所负责人授权的代表人</w:t>
      </w:r>
      <w:r>
        <w:rPr>
          <w:rFonts w:hint="eastAsia" w:ascii="宋体" w:hAnsi="宋体"/>
          <w:color w:val="auto"/>
          <w:sz w:val="28"/>
          <w:szCs w:val="28"/>
          <w:highlight w:val="none"/>
        </w:rPr>
        <w:t>签字，并按</w:t>
      </w:r>
      <w:r>
        <w:rPr>
          <w:rFonts w:hint="eastAsia" w:ascii="宋体" w:hAnsi="宋体" w:eastAsia="宋体" w:cs="宋体"/>
          <w:color w:val="auto"/>
          <w:kern w:val="2"/>
          <w:sz w:val="28"/>
          <w:szCs w:val="28"/>
          <w:lang w:val="en-US" w:eastAsia="zh-CN" w:bidi="ar-SA"/>
        </w:rPr>
        <w:t>评审小组</w:t>
      </w:r>
      <w:r>
        <w:rPr>
          <w:rFonts w:hint="eastAsia" w:ascii="宋体" w:hAnsi="宋体"/>
          <w:color w:val="auto"/>
          <w:sz w:val="28"/>
          <w:szCs w:val="28"/>
          <w:highlight w:val="none"/>
        </w:rPr>
        <w:t>的通知要求递交。投标人的澄清、说明或者补正不得超出投标文件的范围或者改变投标文件的实质性内容。</w:t>
      </w:r>
    </w:p>
    <w:p w14:paraId="229FE4AB">
      <w:pPr>
        <w:keepNext w:val="0"/>
        <w:keepLines w:val="0"/>
        <w:pageBreakBefore w:val="0"/>
        <w:widowControl w:val="0"/>
        <w:kinsoku/>
        <w:wordWrap/>
        <w:overflowPunct/>
        <w:topLinePunct w:val="0"/>
        <w:autoSpaceDE/>
        <w:autoSpaceDN/>
        <w:bidi w:val="0"/>
        <w:adjustRightInd w:val="0"/>
        <w:snapToGrid w:val="0"/>
        <w:spacing w:line="520" w:lineRule="exact"/>
        <w:ind w:firstLine="560" w:firstLineChars="200"/>
        <w:jc w:val="left"/>
        <w:textAlignment w:val="auto"/>
        <w:rPr>
          <w:rFonts w:ascii="宋体" w:hAnsi="宋体"/>
          <w:color w:val="auto"/>
          <w:sz w:val="28"/>
          <w:szCs w:val="28"/>
          <w:highlight w:val="none"/>
        </w:rPr>
      </w:pPr>
      <w:r>
        <w:rPr>
          <w:rFonts w:hint="eastAsia" w:ascii="宋体" w:hAnsi="宋体"/>
          <w:color w:val="auto"/>
          <w:sz w:val="28"/>
          <w:szCs w:val="28"/>
          <w:highlight w:val="none"/>
        </w:rPr>
        <w:t>5</w:t>
      </w:r>
      <w:r>
        <w:rPr>
          <w:rFonts w:hint="eastAsia" w:ascii="宋体" w:hAnsi="宋体"/>
          <w:color w:val="auto"/>
          <w:sz w:val="28"/>
          <w:szCs w:val="28"/>
          <w:highlight w:val="none"/>
          <w:lang w:val="en-US" w:eastAsia="zh-CN"/>
        </w:rPr>
        <w:t>.</w:t>
      </w:r>
      <w:r>
        <w:rPr>
          <w:rFonts w:hint="eastAsia" w:ascii="宋体" w:hAnsi="宋体"/>
          <w:color w:val="auto"/>
          <w:sz w:val="28"/>
          <w:szCs w:val="28"/>
          <w:highlight w:val="none"/>
        </w:rPr>
        <w:t>有效的书面澄清材料，是投标文件的补充材料，成为投标文件的组成部分。</w:t>
      </w:r>
    </w:p>
    <w:p w14:paraId="28DCD040">
      <w:pPr>
        <w:keepNext w:val="0"/>
        <w:keepLines w:val="0"/>
        <w:pageBreakBefore w:val="0"/>
        <w:widowControl w:val="0"/>
        <w:kinsoku/>
        <w:wordWrap/>
        <w:overflowPunct/>
        <w:topLinePunct w:val="0"/>
        <w:autoSpaceDE/>
        <w:autoSpaceDN/>
        <w:bidi w:val="0"/>
        <w:adjustRightInd w:val="0"/>
        <w:snapToGrid w:val="0"/>
        <w:spacing w:line="520" w:lineRule="exact"/>
        <w:ind w:firstLine="560" w:firstLineChars="200"/>
        <w:jc w:val="both"/>
        <w:textAlignment w:val="auto"/>
        <w:rPr>
          <w:rFonts w:hint="eastAsia" w:ascii="宋体" w:hAnsi="宋体"/>
          <w:color w:val="auto"/>
          <w:sz w:val="28"/>
          <w:szCs w:val="28"/>
          <w:highlight w:val="none"/>
        </w:rPr>
      </w:pPr>
      <w:r>
        <w:rPr>
          <w:rFonts w:hint="eastAsia" w:ascii="宋体" w:hAnsi="宋体"/>
          <w:color w:val="auto"/>
          <w:sz w:val="28"/>
          <w:szCs w:val="28"/>
          <w:highlight w:val="none"/>
          <w:lang w:val="en-US" w:eastAsia="zh-CN"/>
        </w:rPr>
        <w:t>6.</w:t>
      </w:r>
      <w:r>
        <w:rPr>
          <w:rFonts w:hint="eastAsia" w:ascii="宋体" w:hAnsi="宋体" w:eastAsia="宋体" w:cs="宋体"/>
          <w:color w:val="auto"/>
          <w:kern w:val="2"/>
          <w:sz w:val="28"/>
          <w:szCs w:val="28"/>
          <w:lang w:val="en-US" w:eastAsia="zh-CN" w:bidi="ar-SA"/>
        </w:rPr>
        <w:t>评审小组</w:t>
      </w:r>
      <w:r>
        <w:rPr>
          <w:rFonts w:hint="eastAsia" w:ascii="宋体" w:hAnsi="宋体"/>
          <w:color w:val="auto"/>
          <w:sz w:val="28"/>
          <w:szCs w:val="28"/>
          <w:highlight w:val="none"/>
        </w:rPr>
        <w:t>认为投标人的报价明显低于其他通过符合性审查投标人的报价，有可能影响</w:t>
      </w:r>
      <w:r>
        <w:rPr>
          <w:rFonts w:hint="eastAsia" w:ascii="宋体" w:hAnsi="宋体"/>
          <w:color w:val="auto"/>
          <w:sz w:val="28"/>
          <w:szCs w:val="28"/>
          <w:highlight w:val="none"/>
          <w:lang w:val="en-US" w:eastAsia="zh-CN"/>
        </w:rPr>
        <w:t>服务</w:t>
      </w:r>
      <w:r>
        <w:rPr>
          <w:rFonts w:hint="eastAsia" w:ascii="宋体" w:hAnsi="宋体"/>
          <w:color w:val="auto"/>
          <w:sz w:val="28"/>
          <w:szCs w:val="28"/>
          <w:highlight w:val="none"/>
        </w:rPr>
        <w:t>质量或者不能诚信履约的，应当要求其在评标现场合理的时间内提供书面说明，必要时提交相关证明材料；投标人不能证明其报价合理性的，</w:t>
      </w:r>
      <w:r>
        <w:rPr>
          <w:rFonts w:hint="eastAsia" w:ascii="宋体" w:hAnsi="宋体" w:eastAsia="宋体" w:cs="宋体"/>
          <w:color w:val="auto"/>
          <w:kern w:val="2"/>
          <w:sz w:val="28"/>
          <w:szCs w:val="28"/>
          <w:lang w:val="en-US" w:eastAsia="zh-CN" w:bidi="ar-SA"/>
        </w:rPr>
        <w:t>评审小组</w:t>
      </w:r>
      <w:r>
        <w:rPr>
          <w:rFonts w:hint="eastAsia" w:ascii="宋体" w:hAnsi="宋体"/>
          <w:color w:val="auto"/>
          <w:sz w:val="28"/>
          <w:szCs w:val="28"/>
          <w:highlight w:val="none"/>
        </w:rPr>
        <w:t>应当将其作为投标无效处理。</w:t>
      </w:r>
    </w:p>
    <w:p w14:paraId="512AD71E">
      <w:pPr>
        <w:pStyle w:val="19"/>
        <w:keepNext w:val="0"/>
        <w:keepLines w:val="0"/>
        <w:pageBreakBefore w:val="0"/>
        <w:widowControl/>
        <w:kinsoku/>
        <w:wordWrap/>
        <w:overflowPunct/>
        <w:topLinePunct w:val="0"/>
        <w:autoSpaceDE/>
        <w:autoSpaceDN/>
        <w:bidi w:val="0"/>
        <w:adjustRightInd w:val="0"/>
        <w:snapToGrid w:val="0"/>
        <w:spacing w:line="520" w:lineRule="exact"/>
        <w:ind w:left="0" w:leftChars="0" w:firstLine="560" w:firstLineChars="200"/>
        <w:textAlignment w:val="baseline"/>
        <w:rPr>
          <w:rFonts w:hint="eastAsia" w:ascii="黑体" w:hAnsi="华文中宋" w:eastAsia="黑体" w:cstheme="minorBidi"/>
          <w:color w:val="auto"/>
          <w:kern w:val="2"/>
          <w:sz w:val="28"/>
          <w:szCs w:val="28"/>
          <w:highlight w:val="none"/>
          <w:lang w:val="en-US" w:eastAsia="zh-CN" w:bidi="ar-SA"/>
        </w:rPr>
      </w:pPr>
      <w:r>
        <w:rPr>
          <w:rFonts w:hint="eastAsia" w:ascii="黑体" w:hAnsi="华文中宋" w:eastAsia="黑体" w:cstheme="minorBidi"/>
          <w:color w:val="auto"/>
          <w:kern w:val="2"/>
          <w:sz w:val="28"/>
          <w:szCs w:val="28"/>
          <w:highlight w:val="none"/>
          <w:lang w:val="en-US" w:eastAsia="zh-CN" w:bidi="ar-SA"/>
        </w:rPr>
        <w:t>三、评审专家构成</w:t>
      </w:r>
    </w:p>
    <w:p w14:paraId="15325EB9">
      <w:pPr>
        <w:pStyle w:val="19"/>
        <w:keepNext w:val="0"/>
        <w:keepLines w:val="0"/>
        <w:pageBreakBefore w:val="0"/>
        <w:widowControl/>
        <w:kinsoku/>
        <w:wordWrap/>
        <w:overflowPunct/>
        <w:topLinePunct w:val="0"/>
        <w:autoSpaceDE/>
        <w:autoSpaceDN/>
        <w:bidi w:val="0"/>
        <w:adjustRightInd w:val="0"/>
        <w:snapToGrid w:val="0"/>
        <w:spacing w:line="520" w:lineRule="exact"/>
        <w:ind w:left="0" w:leftChars="0" w:firstLine="560" w:firstLineChars="200"/>
        <w:textAlignment w:val="baseline"/>
        <w:rPr>
          <w:rFonts w:hint="default" w:ascii="宋体" w:hAnsi="宋体" w:eastAsiaTheme="minorEastAsia" w:cstheme="minorBidi"/>
          <w:color w:val="auto"/>
          <w:kern w:val="2"/>
          <w:sz w:val="28"/>
          <w:szCs w:val="28"/>
          <w:highlight w:val="none"/>
          <w:lang w:val="en-US" w:eastAsia="zh-CN" w:bidi="ar-SA"/>
        </w:rPr>
      </w:pPr>
      <w:r>
        <w:rPr>
          <w:rFonts w:hint="eastAsia" w:ascii="宋体" w:hAnsi="宋体" w:cstheme="minorBidi"/>
          <w:color w:val="auto"/>
          <w:kern w:val="2"/>
          <w:sz w:val="28"/>
          <w:szCs w:val="28"/>
          <w:highlight w:val="none"/>
          <w:lang w:val="en-US" w:eastAsia="zh-CN" w:bidi="ar-SA"/>
        </w:rPr>
        <w:t>由在</w:t>
      </w:r>
      <w:r>
        <w:rPr>
          <w:rFonts w:hint="eastAsia" w:ascii="宋体" w:hAnsi="宋体" w:cstheme="minorBidi"/>
          <w:color w:val="auto"/>
          <w:kern w:val="2"/>
          <w:sz w:val="28"/>
          <w:szCs w:val="28"/>
          <w:highlight w:val="none"/>
          <w:u w:val="none"/>
          <w:lang w:val="en-US" w:eastAsia="zh-CN" w:bidi="ar-SA"/>
        </w:rPr>
        <w:t>【湖南省政府采购专家库】备案的法律专业专家组成此次评审小组，专家人数为</w:t>
      </w:r>
      <w:r>
        <w:rPr>
          <w:rFonts w:hint="eastAsia" w:ascii="宋体" w:hAnsi="宋体" w:cstheme="minorBidi"/>
          <w:color w:val="auto"/>
          <w:kern w:val="2"/>
          <w:sz w:val="28"/>
          <w:szCs w:val="28"/>
          <w:highlight w:val="none"/>
          <w:u w:val="single"/>
          <w:lang w:val="en-US" w:eastAsia="zh-CN" w:bidi="ar-SA"/>
        </w:rPr>
        <w:t>5人</w:t>
      </w:r>
      <w:r>
        <w:rPr>
          <w:rFonts w:hint="eastAsia" w:ascii="宋体" w:hAnsi="宋体" w:cstheme="minorBidi"/>
          <w:color w:val="auto"/>
          <w:kern w:val="2"/>
          <w:sz w:val="28"/>
          <w:szCs w:val="28"/>
          <w:highlight w:val="none"/>
          <w:lang w:val="en-US" w:eastAsia="zh-CN" w:bidi="ar-SA"/>
        </w:rPr>
        <w:t>。</w:t>
      </w:r>
    </w:p>
    <w:p w14:paraId="64DC1B41">
      <w:pPr>
        <w:pStyle w:val="19"/>
        <w:keepNext w:val="0"/>
        <w:keepLines w:val="0"/>
        <w:pageBreakBefore w:val="0"/>
        <w:widowControl/>
        <w:numPr>
          <w:ilvl w:val="0"/>
          <w:numId w:val="1"/>
        </w:numPr>
        <w:kinsoku/>
        <w:wordWrap/>
        <w:overflowPunct/>
        <w:topLinePunct w:val="0"/>
        <w:autoSpaceDE/>
        <w:autoSpaceDN/>
        <w:bidi w:val="0"/>
        <w:adjustRightInd w:val="0"/>
        <w:snapToGrid w:val="0"/>
        <w:spacing w:line="520" w:lineRule="exact"/>
        <w:ind w:left="0" w:leftChars="0" w:firstLine="560" w:firstLineChars="200"/>
        <w:textAlignment w:val="baseline"/>
        <w:rPr>
          <w:rFonts w:hint="eastAsia" w:ascii="黑体" w:hAnsi="华文中宋" w:eastAsia="黑体" w:cstheme="minorBidi"/>
          <w:color w:val="auto"/>
          <w:kern w:val="2"/>
          <w:sz w:val="28"/>
          <w:szCs w:val="28"/>
          <w:highlight w:val="none"/>
          <w:lang w:val="en-US" w:eastAsia="zh-CN" w:bidi="ar-SA"/>
        </w:rPr>
      </w:pPr>
      <w:r>
        <w:rPr>
          <w:rFonts w:hint="eastAsia" w:ascii="黑体" w:hAnsi="华文中宋" w:eastAsia="黑体" w:cstheme="minorBidi"/>
          <w:color w:val="auto"/>
          <w:kern w:val="2"/>
          <w:sz w:val="28"/>
          <w:szCs w:val="28"/>
          <w:highlight w:val="none"/>
          <w:lang w:val="en-US" w:eastAsia="zh-CN" w:bidi="ar-SA"/>
        </w:rPr>
        <w:t>评标具体流程</w:t>
      </w:r>
    </w:p>
    <w:p w14:paraId="2D6F5BDA">
      <w:pPr>
        <w:pStyle w:val="8"/>
        <w:keepNext w:val="0"/>
        <w:keepLines w:val="0"/>
        <w:pageBreakBefore w:val="0"/>
        <w:widowControl w:val="0"/>
        <w:kinsoku/>
        <w:wordWrap/>
        <w:overflowPunct/>
        <w:topLinePunct w:val="0"/>
        <w:autoSpaceDE/>
        <w:autoSpaceDN/>
        <w:bidi w:val="0"/>
        <w:adjustRightInd/>
        <w:snapToGrid/>
        <w:spacing w:after="0" w:line="520" w:lineRule="exact"/>
        <w:ind w:left="0" w:leftChars="0" w:firstLine="560" w:firstLineChars="200"/>
        <w:textAlignment w:val="auto"/>
        <w:rPr>
          <w:rFonts w:hint="eastAsia" w:asciiTheme="minorEastAsia" w:hAnsiTheme="minorEastAsia" w:eastAsiaTheme="minorEastAsia" w:cstheme="minorEastAsia"/>
          <w:color w:val="auto"/>
          <w:sz w:val="28"/>
          <w:szCs w:val="28"/>
          <w:lang w:val="en-US" w:eastAsia="zh-CN"/>
        </w:rPr>
      </w:pPr>
      <w:r>
        <w:rPr>
          <w:rFonts w:hint="eastAsia" w:ascii="宋体" w:hAnsi="宋体" w:eastAsia="宋体" w:cs="宋体"/>
          <w:color w:val="auto"/>
          <w:kern w:val="2"/>
          <w:sz w:val="28"/>
          <w:szCs w:val="28"/>
          <w:lang w:val="en-US" w:eastAsia="zh-CN" w:bidi="ar-SA"/>
        </w:rPr>
        <w:t>由采购代理机构组织公开采购，采购代理机构抽选的评审小组按“资格审查表、符合性审查表”对投标文件进行资格性审查和符合性审查，对通过审查的投标人，按“评标方法及标准”进行打分评审，现场开标确定中标候选人并在采购人官网公示。资格性审查或</w:t>
      </w:r>
      <w:r>
        <w:rPr>
          <w:rFonts w:hint="eastAsia" w:asciiTheme="minorEastAsia" w:hAnsiTheme="minorEastAsia" w:eastAsiaTheme="minorEastAsia" w:cstheme="minorEastAsia"/>
          <w:color w:val="auto"/>
          <w:sz w:val="28"/>
          <w:szCs w:val="28"/>
          <w:lang w:val="en-US" w:eastAsia="zh-CN"/>
        </w:rPr>
        <w:t>符合性审查合格投标人少于3家的，应予废标。</w:t>
      </w:r>
    </w:p>
    <w:p w14:paraId="63327A05">
      <w:pPr>
        <w:keepNext w:val="0"/>
        <w:keepLines w:val="0"/>
        <w:pageBreakBefore w:val="0"/>
        <w:widowControl w:val="0"/>
        <w:kinsoku/>
        <w:wordWrap/>
        <w:overflowPunct/>
        <w:topLinePunct w:val="0"/>
        <w:autoSpaceDE/>
        <w:autoSpaceDN/>
        <w:bidi w:val="0"/>
        <w:adjustRightInd/>
        <w:snapToGrid/>
        <w:spacing w:line="520" w:lineRule="exact"/>
        <w:ind w:firstLine="560" w:firstLineChars="200"/>
        <w:textAlignment w:val="auto"/>
        <w:rPr>
          <w:rFonts w:hint="eastAsia" w:ascii="黑体" w:hAnsi="黑体" w:eastAsia="黑体" w:cs="黑体"/>
          <w:color w:val="auto"/>
          <w:sz w:val="28"/>
          <w:szCs w:val="28"/>
          <w:lang w:val="en-US" w:eastAsia="zh-CN"/>
        </w:rPr>
      </w:pPr>
      <w:bookmarkStart w:id="4" w:name="_Toc22054"/>
      <w:r>
        <w:rPr>
          <w:rFonts w:hint="eastAsia" w:ascii="黑体" w:hAnsi="华文中宋" w:eastAsia="黑体"/>
          <w:color w:val="auto"/>
          <w:sz w:val="28"/>
          <w:szCs w:val="28"/>
          <w:highlight w:val="none"/>
          <w:lang w:val="en-US" w:eastAsia="zh-CN"/>
        </w:rPr>
        <w:t>五、</w:t>
      </w:r>
      <w:r>
        <w:rPr>
          <w:rFonts w:hint="eastAsia" w:ascii="黑体" w:hAnsi="华文中宋" w:eastAsia="黑体"/>
          <w:color w:val="auto"/>
          <w:sz w:val="28"/>
          <w:szCs w:val="28"/>
          <w:highlight w:val="none"/>
        </w:rPr>
        <w:t>评标方法及标准</w:t>
      </w:r>
      <w:bookmarkEnd w:id="4"/>
    </w:p>
    <w:p w14:paraId="3C5E7BC6">
      <w:pPr>
        <w:pStyle w:val="4"/>
        <w:keepNext w:val="0"/>
        <w:keepLines w:val="0"/>
        <w:pageBreakBefore w:val="0"/>
        <w:widowControl w:val="0"/>
        <w:kinsoku/>
        <w:wordWrap/>
        <w:overflowPunct/>
        <w:topLinePunct w:val="0"/>
        <w:autoSpaceDE/>
        <w:autoSpaceDN/>
        <w:bidi w:val="0"/>
        <w:adjustRightInd w:val="0"/>
        <w:snapToGrid w:val="0"/>
        <w:spacing w:before="0" w:after="0" w:line="520" w:lineRule="exact"/>
        <w:ind w:firstLine="562" w:firstLineChars="200"/>
        <w:textAlignment w:val="auto"/>
        <w:rPr>
          <w:rFonts w:hint="eastAsia" w:ascii="宋体" w:hAnsi="宋体" w:eastAsiaTheme="minorEastAsia" w:cstheme="minorBidi"/>
          <w:b/>
          <w:bCs/>
          <w:color w:val="auto"/>
          <w:kern w:val="2"/>
          <w:sz w:val="28"/>
          <w:szCs w:val="28"/>
          <w:highlight w:val="none"/>
          <w:lang w:val="en-US" w:eastAsia="zh-CN" w:bidi="ar-SA"/>
        </w:rPr>
      </w:pPr>
      <w:r>
        <w:rPr>
          <w:rFonts w:hint="eastAsia" w:ascii="宋体" w:hAnsi="宋体" w:eastAsiaTheme="minorEastAsia" w:cstheme="minorBidi"/>
          <w:b/>
          <w:bCs/>
          <w:color w:val="auto"/>
          <w:kern w:val="2"/>
          <w:sz w:val="28"/>
          <w:szCs w:val="28"/>
          <w:highlight w:val="none"/>
          <w:lang w:val="en-US" w:eastAsia="zh-CN" w:bidi="ar-SA"/>
        </w:rPr>
        <w:t>1.评标方法</w:t>
      </w:r>
    </w:p>
    <w:p w14:paraId="39C9BC6A">
      <w:pPr>
        <w:pStyle w:val="4"/>
        <w:keepNext w:val="0"/>
        <w:keepLines w:val="0"/>
        <w:pageBreakBefore w:val="0"/>
        <w:widowControl w:val="0"/>
        <w:kinsoku/>
        <w:wordWrap/>
        <w:overflowPunct/>
        <w:topLinePunct w:val="0"/>
        <w:autoSpaceDE/>
        <w:autoSpaceDN/>
        <w:bidi w:val="0"/>
        <w:adjustRightInd w:val="0"/>
        <w:snapToGrid w:val="0"/>
        <w:spacing w:before="0" w:after="0" w:line="520" w:lineRule="exact"/>
        <w:ind w:firstLine="560" w:firstLineChars="200"/>
        <w:textAlignment w:val="auto"/>
        <w:rPr>
          <w:rFonts w:hint="default" w:ascii="宋体" w:hAnsi="宋体" w:eastAsiaTheme="minorEastAsia" w:cstheme="minorBidi"/>
          <w:b w:val="0"/>
          <w:bCs w:val="0"/>
          <w:color w:val="auto"/>
          <w:kern w:val="2"/>
          <w:sz w:val="28"/>
          <w:szCs w:val="28"/>
          <w:highlight w:val="none"/>
          <w:lang w:val="en-US" w:eastAsia="zh-CN" w:bidi="ar-SA"/>
        </w:rPr>
      </w:pPr>
      <w:r>
        <w:rPr>
          <w:rFonts w:hint="eastAsia" w:ascii="宋体" w:hAnsi="宋体" w:eastAsiaTheme="minorEastAsia" w:cstheme="minorBidi"/>
          <w:b w:val="0"/>
          <w:bCs w:val="0"/>
          <w:color w:val="auto"/>
          <w:kern w:val="2"/>
          <w:sz w:val="28"/>
          <w:szCs w:val="28"/>
          <w:highlight w:val="none"/>
          <w:lang w:val="en-US" w:eastAsia="zh-CN" w:bidi="ar-SA"/>
        </w:rPr>
        <w:t>本项目采取综合评分法，指投标文件满足采购文件全部采购需求，且按照评审因素的量化指标评审得分最高的投标人为中标候选人的评标方法。评标结果按评审后得分由高到低顺序排列，排名第一的为中标候选人。中标候选人并列的：得分相同的，按投标报价由低到高顺序排列；得分且投标报价相同的，按技术得分从高到低顺序排列；技术得分也相同的，按照商务得分从高到低排序，以此类推，若均相同，将随机抽取确定中标人。</w:t>
      </w:r>
    </w:p>
    <w:p w14:paraId="3CD086FC">
      <w:pPr>
        <w:keepNext w:val="0"/>
        <w:keepLines w:val="0"/>
        <w:pageBreakBefore w:val="0"/>
        <w:widowControl w:val="0"/>
        <w:kinsoku/>
        <w:wordWrap/>
        <w:overflowPunct/>
        <w:topLinePunct w:val="0"/>
        <w:autoSpaceDE/>
        <w:autoSpaceDN/>
        <w:bidi w:val="0"/>
        <w:adjustRightInd w:val="0"/>
        <w:snapToGrid w:val="0"/>
        <w:spacing w:line="520" w:lineRule="exact"/>
        <w:ind w:firstLine="562" w:firstLineChars="200"/>
        <w:jc w:val="both"/>
        <w:textAlignment w:val="auto"/>
        <w:rPr>
          <w:color w:val="auto"/>
        </w:rPr>
      </w:pPr>
      <w:r>
        <w:rPr>
          <w:rFonts w:hint="eastAsia" w:asciiTheme="minorEastAsia" w:hAnsiTheme="minorEastAsia" w:eastAsiaTheme="minorEastAsia" w:cstheme="minorEastAsia"/>
          <w:b/>
          <w:bCs/>
          <w:color w:val="auto"/>
          <w:sz w:val="28"/>
          <w:szCs w:val="28"/>
          <w:lang w:val="en-US" w:eastAsia="zh-CN"/>
        </w:rPr>
        <w:t>2.</w:t>
      </w:r>
      <w:r>
        <w:rPr>
          <w:rFonts w:ascii="黑体" w:hAnsi="黑体" w:eastAsia="黑体"/>
          <w:b/>
          <w:color w:val="auto"/>
          <w:sz w:val="28"/>
          <w:szCs w:val="28"/>
        </w:rPr>
        <w:t>资格审查表</w:t>
      </w:r>
    </w:p>
    <w:p w14:paraId="4E7F788D">
      <w:pPr>
        <w:adjustRightInd w:val="0"/>
        <w:snapToGrid w:val="0"/>
        <w:spacing w:line="360" w:lineRule="auto"/>
        <w:jc w:val="center"/>
        <w:rPr>
          <w:rFonts w:ascii="黑体" w:hAnsi="黑体" w:eastAsia="黑体"/>
          <w:b/>
          <w:color w:val="auto"/>
          <w:sz w:val="28"/>
          <w:szCs w:val="28"/>
        </w:rPr>
      </w:pPr>
    </w:p>
    <w:p w14:paraId="61B3A132">
      <w:pPr>
        <w:adjustRightInd w:val="0"/>
        <w:snapToGrid w:val="0"/>
        <w:spacing w:line="360" w:lineRule="auto"/>
        <w:jc w:val="center"/>
        <w:rPr>
          <w:rFonts w:ascii="黑体" w:hAnsi="黑体" w:eastAsia="黑体"/>
          <w:b/>
          <w:color w:val="auto"/>
          <w:sz w:val="28"/>
          <w:szCs w:val="28"/>
        </w:rPr>
      </w:pPr>
      <w:r>
        <w:rPr>
          <w:rFonts w:ascii="黑体" w:hAnsi="黑体" w:eastAsia="黑体"/>
          <w:b/>
          <w:color w:val="auto"/>
          <w:sz w:val="28"/>
          <w:szCs w:val="28"/>
        </w:rPr>
        <w:t>资格审查表</w:t>
      </w:r>
    </w:p>
    <w:p w14:paraId="46189FCE">
      <w:pPr>
        <w:adjustRightInd w:val="0"/>
        <w:snapToGrid w:val="0"/>
        <w:spacing w:line="360" w:lineRule="auto"/>
        <w:rPr>
          <w:rFonts w:ascii="黑体" w:hAnsi="黑体" w:eastAsia="黑体"/>
          <w:color w:val="auto"/>
          <w:sz w:val="28"/>
          <w:szCs w:val="28"/>
        </w:rPr>
      </w:pPr>
      <w:r>
        <w:rPr>
          <w:rFonts w:hint="eastAsia" w:ascii="宋体" w:hAnsi="宋体"/>
          <w:color w:val="auto"/>
          <w:szCs w:val="21"/>
        </w:rPr>
        <w:t>项目名称：</w:t>
      </w:r>
      <w:r>
        <w:rPr>
          <w:rFonts w:hint="eastAsia" w:ascii="宋体" w:hAnsi="宋体"/>
          <w:color w:val="auto"/>
          <w:szCs w:val="21"/>
          <w:u w:val="single"/>
        </w:rPr>
        <w:t xml:space="preserve">       </w:t>
      </w:r>
      <w:r>
        <w:rPr>
          <w:rFonts w:hint="eastAsia" w:ascii="宋体" w:hAnsi="宋体"/>
          <w:color w:val="auto"/>
          <w:szCs w:val="21"/>
        </w:rPr>
        <w:t xml:space="preserve">                                    政府采购计划编号：</w:t>
      </w:r>
      <w:r>
        <w:rPr>
          <w:rFonts w:hint="eastAsia" w:ascii="宋体" w:hAnsi="宋体"/>
          <w:color w:val="auto"/>
          <w:szCs w:val="21"/>
          <w:u w:val="single"/>
        </w:rPr>
        <w:t xml:space="preserve">       </w:t>
      </w:r>
    </w:p>
    <w:tbl>
      <w:tblPr>
        <w:tblStyle w:val="15"/>
        <w:tblW w:w="8897"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83"/>
        <w:gridCol w:w="2260"/>
        <w:gridCol w:w="5954"/>
      </w:tblGrid>
      <w:tr w14:paraId="415652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683" w:type="dxa"/>
            <w:noWrap w:val="0"/>
            <w:vAlign w:val="center"/>
          </w:tcPr>
          <w:p w14:paraId="431BCD60">
            <w:pPr>
              <w:adjustRightInd w:val="0"/>
              <w:snapToGrid w:val="0"/>
              <w:spacing w:before="156" w:beforeLines="50" w:line="360" w:lineRule="auto"/>
              <w:jc w:val="center"/>
              <w:rPr>
                <w:rFonts w:ascii="宋体" w:hAnsi="宋体" w:cs="宋体"/>
                <w:b/>
                <w:color w:val="auto"/>
                <w:kern w:val="0"/>
                <w:szCs w:val="21"/>
              </w:rPr>
            </w:pPr>
            <w:r>
              <w:rPr>
                <w:rFonts w:hint="eastAsia" w:ascii="宋体" w:hAnsi="宋体" w:cs="宋体"/>
                <w:b/>
                <w:color w:val="auto"/>
                <w:kern w:val="0"/>
                <w:szCs w:val="21"/>
              </w:rPr>
              <w:t>序号</w:t>
            </w:r>
          </w:p>
        </w:tc>
        <w:tc>
          <w:tcPr>
            <w:tcW w:w="2260" w:type="dxa"/>
            <w:noWrap w:val="0"/>
            <w:vAlign w:val="center"/>
          </w:tcPr>
          <w:p w14:paraId="7A1DAB91">
            <w:pPr>
              <w:adjustRightInd w:val="0"/>
              <w:snapToGrid w:val="0"/>
              <w:spacing w:before="156" w:beforeLines="50" w:line="360" w:lineRule="auto"/>
              <w:jc w:val="center"/>
              <w:rPr>
                <w:rFonts w:ascii="宋体" w:hAnsi="宋体" w:cs="宋体"/>
                <w:b/>
                <w:color w:val="auto"/>
                <w:kern w:val="0"/>
                <w:szCs w:val="21"/>
              </w:rPr>
            </w:pPr>
            <w:r>
              <w:rPr>
                <w:rFonts w:hint="eastAsia" w:ascii="宋体" w:hAnsi="宋体" w:cs="宋体"/>
                <w:b/>
                <w:color w:val="auto"/>
                <w:kern w:val="0"/>
                <w:szCs w:val="21"/>
              </w:rPr>
              <w:t>审查项目</w:t>
            </w:r>
          </w:p>
        </w:tc>
        <w:tc>
          <w:tcPr>
            <w:tcW w:w="5954" w:type="dxa"/>
            <w:noWrap w:val="0"/>
            <w:vAlign w:val="center"/>
          </w:tcPr>
          <w:p w14:paraId="738246D7">
            <w:pPr>
              <w:adjustRightInd w:val="0"/>
              <w:snapToGrid w:val="0"/>
              <w:spacing w:before="156" w:beforeLines="50" w:line="360" w:lineRule="auto"/>
              <w:jc w:val="center"/>
              <w:rPr>
                <w:rFonts w:ascii="宋体" w:hAnsi="宋体" w:cs="宋体"/>
                <w:b/>
                <w:color w:val="auto"/>
                <w:kern w:val="0"/>
                <w:szCs w:val="21"/>
              </w:rPr>
            </w:pPr>
            <w:r>
              <w:rPr>
                <w:rFonts w:hint="eastAsia" w:ascii="宋体" w:hAnsi="宋体" w:cs="宋体"/>
                <w:b/>
                <w:color w:val="auto"/>
                <w:kern w:val="0"/>
                <w:szCs w:val="21"/>
              </w:rPr>
              <w:t>审查标准</w:t>
            </w:r>
          </w:p>
        </w:tc>
      </w:tr>
      <w:tr w14:paraId="762AB4A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766F3DB2">
            <w:pPr>
              <w:adjustRightInd w:val="0"/>
              <w:snapToGrid w:val="0"/>
              <w:spacing w:before="156" w:beforeLines="50" w:line="360" w:lineRule="auto"/>
              <w:jc w:val="center"/>
              <w:rPr>
                <w:rFonts w:ascii="宋体" w:hAnsi="宋体" w:cs="宋体"/>
                <w:color w:val="auto"/>
                <w:kern w:val="0"/>
                <w:szCs w:val="21"/>
              </w:rPr>
            </w:pPr>
            <w:r>
              <w:rPr>
                <w:rFonts w:hint="eastAsia" w:ascii="宋体" w:hAnsi="宋体" w:cs="宋体"/>
                <w:color w:val="auto"/>
                <w:kern w:val="0"/>
                <w:szCs w:val="21"/>
              </w:rPr>
              <w:t>1</w:t>
            </w:r>
          </w:p>
        </w:tc>
        <w:tc>
          <w:tcPr>
            <w:tcW w:w="2260" w:type="dxa"/>
            <w:noWrap w:val="0"/>
            <w:vAlign w:val="center"/>
          </w:tcPr>
          <w:p w14:paraId="26BA0EFC">
            <w:pPr>
              <w:pStyle w:val="23"/>
              <w:jc w:val="center"/>
              <w:rPr>
                <w:rFonts w:ascii="宋体" w:hAnsi="宋体" w:eastAsia="宋体" w:cs="宋体"/>
                <w:color w:val="auto"/>
                <w:szCs w:val="21"/>
              </w:rPr>
            </w:pPr>
            <w:r>
              <w:rPr>
                <w:rFonts w:hint="eastAsia" w:ascii="宋体" w:hAnsi="宋体" w:eastAsia="宋体" w:cs="宋体"/>
                <w:color w:val="auto"/>
                <w:sz w:val="21"/>
              </w:rPr>
              <w:t>法人营业执照</w:t>
            </w:r>
          </w:p>
        </w:tc>
        <w:tc>
          <w:tcPr>
            <w:tcW w:w="5954" w:type="dxa"/>
            <w:noWrap w:val="0"/>
            <w:vAlign w:val="center"/>
          </w:tcPr>
          <w:p w14:paraId="0675965D">
            <w:pPr>
              <w:pStyle w:val="14"/>
              <w:spacing w:before="0" w:beforeAutospacing="0" w:after="0" w:afterAutospacing="0" w:line="400" w:lineRule="atLeast"/>
              <w:rPr>
                <w:color w:val="auto"/>
                <w:sz w:val="21"/>
                <w:szCs w:val="21"/>
              </w:rPr>
            </w:pPr>
            <w:r>
              <w:rPr>
                <w:rFonts w:hint="eastAsia"/>
                <w:color w:val="auto"/>
                <w:sz w:val="21"/>
                <w:szCs w:val="21"/>
              </w:rPr>
              <w:t>法人提交企业法人营业执照副本(或者法人登记证书)以及组织机构代码证副本复印件；</w:t>
            </w:r>
          </w:p>
          <w:p w14:paraId="0BC9B426">
            <w:pPr>
              <w:pStyle w:val="14"/>
              <w:spacing w:before="0" w:beforeAutospacing="0" w:after="0" w:afterAutospacing="0" w:line="400" w:lineRule="atLeast"/>
              <w:rPr>
                <w:color w:val="auto"/>
                <w:szCs w:val="21"/>
              </w:rPr>
            </w:pPr>
            <w:r>
              <w:rPr>
                <w:rFonts w:hint="eastAsia"/>
                <w:color w:val="auto"/>
                <w:sz w:val="21"/>
                <w:szCs w:val="21"/>
              </w:rPr>
              <w:t>注：已获取“统一社会信用代码</w:t>
            </w:r>
            <w:r>
              <w:rPr>
                <w:rFonts w:hint="eastAsia" w:ascii="Times New Roman" w:hAnsi="Times New Roman" w:eastAsia="宋体" w:cs="Times New Roman"/>
                <w:color w:val="auto"/>
                <w:sz w:val="21"/>
                <w:szCs w:val="21"/>
              </w:rPr>
              <w:t>”的“三证合一”、“五证合一”企业，无须再提供组织机构代</w:t>
            </w:r>
            <w:r>
              <w:rPr>
                <w:rFonts w:hint="eastAsia"/>
                <w:color w:val="auto"/>
                <w:sz w:val="21"/>
                <w:szCs w:val="21"/>
              </w:rPr>
              <w:t>码证及税务登记证。</w:t>
            </w:r>
          </w:p>
        </w:tc>
      </w:tr>
      <w:tr w14:paraId="0A99EC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488F548A">
            <w:pPr>
              <w:adjustRightInd w:val="0"/>
              <w:snapToGrid w:val="0"/>
              <w:spacing w:before="156" w:beforeLines="50" w:line="360" w:lineRule="auto"/>
              <w:jc w:val="center"/>
              <w:rPr>
                <w:rFonts w:ascii="宋体" w:hAnsi="宋体" w:cs="宋体"/>
                <w:color w:val="auto"/>
                <w:kern w:val="0"/>
                <w:szCs w:val="21"/>
              </w:rPr>
            </w:pPr>
            <w:r>
              <w:rPr>
                <w:rFonts w:hint="eastAsia" w:ascii="宋体" w:hAnsi="宋体" w:cs="宋体"/>
                <w:color w:val="auto"/>
                <w:kern w:val="0"/>
                <w:szCs w:val="21"/>
              </w:rPr>
              <w:t>2</w:t>
            </w:r>
          </w:p>
        </w:tc>
        <w:tc>
          <w:tcPr>
            <w:tcW w:w="2260" w:type="dxa"/>
            <w:noWrap w:val="0"/>
            <w:vAlign w:val="center"/>
          </w:tcPr>
          <w:p w14:paraId="2D527F15">
            <w:pPr>
              <w:pStyle w:val="23"/>
              <w:jc w:val="center"/>
              <w:rPr>
                <w:rFonts w:ascii="宋体" w:hAnsi="宋体" w:eastAsia="宋体" w:cs="宋体"/>
                <w:color w:val="auto"/>
                <w:szCs w:val="21"/>
              </w:rPr>
            </w:pPr>
            <w:r>
              <w:rPr>
                <w:rFonts w:hint="eastAsia" w:ascii="宋体" w:hAnsi="宋体" w:eastAsia="宋体" w:cs="宋体"/>
                <w:color w:val="auto"/>
                <w:sz w:val="21"/>
              </w:rPr>
              <w:t>法定代表或法人授权委托书原件及复印件</w:t>
            </w:r>
          </w:p>
        </w:tc>
        <w:tc>
          <w:tcPr>
            <w:tcW w:w="5954" w:type="dxa"/>
            <w:noWrap w:val="0"/>
            <w:vAlign w:val="center"/>
          </w:tcPr>
          <w:p w14:paraId="4A87B5AF">
            <w:pPr>
              <w:pStyle w:val="23"/>
              <w:rPr>
                <w:rFonts w:ascii="宋体" w:hAnsi="宋体" w:eastAsia="宋体" w:cs="宋体"/>
                <w:color w:val="auto"/>
                <w:szCs w:val="21"/>
              </w:rPr>
            </w:pPr>
            <w:r>
              <w:rPr>
                <w:rFonts w:hint="eastAsia" w:ascii="宋体" w:hAnsi="宋体" w:eastAsia="宋体" w:cs="宋体"/>
                <w:color w:val="auto"/>
                <w:sz w:val="21"/>
                <w:szCs w:val="21"/>
              </w:rPr>
              <w:t xml:space="preserve">法人提交法定代表人资格证明书复印件或者法定代表人授权委托书原件并附法定代表人身份证明复印件和被授权代理人有效身份证件； </w:t>
            </w:r>
          </w:p>
        </w:tc>
      </w:tr>
      <w:tr w14:paraId="2C0C2E5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1DED0B66">
            <w:pPr>
              <w:adjustRightInd w:val="0"/>
              <w:snapToGrid w:val="0"/>
              <w:spacing w:before="156" w:beforeLines="50" w:line="360" w:lineRule="auto"/>
              <w:jc w:val="center"/>
              <w:rPr>
                <w:rFonts w:ascii="宋体" w:hAnsi="宋体" w:cs="宋体"/>
                <w:color w:val="auto"/>
                <w:kern w:val="0"/>
                <w:szCs w:val="21"/>
              </w:rPr>
            </w:pPr>
            <w:r>
              <w:rPr>
                <w:rFonts w:hint="eastAsia" w:ascii="宋体" w:hAnsi="宋体" w:cs="宋体"/>
                <w:color w:val="auto"/>
                <w:kern w:val="0"/>
                <w:szCs w:val="21"/>
              </w:rPr>
              <w:t>3</w:t>
            </w:r>
          </w:p>
        </w:tc>
        <w:tc>
          <w:tcPr>
            <w:tcW w:w="2260" w:type="dxa"/>
            <w:noWrap w:val="0"/>
            <w:vAlign w:val="center"/>
          </w:tcPr>
          <w:p w14:paraId="6215CF11">
            <w:pPr>
              <w:pStyle w:val="23"/>
              <w:jc w:val="center"/>
              <w:rPr>
                <w:rFonts w:ascii="宋体" w:hAnsi="宋体" w:eastAsia="宋体" w:cs="宋体"/>
                <w:color w:val="auto"/>
                <w:sz w:val="21"/>
              </w:rPr>
            </w:pPr>
            <w:r>
              <w:rPr>
                <w:rFonts w:hint="eastAsia" w:ascii="宋体" w:hAnsi="宋体" w:eastAsia="宋体" w:cs="宋体"/>
                <w:color w:val="auto"/>
                <w:sz w:val="21"/>
              </w:rPr>
              <w:t>供应商特定资格要求</w:t>
            </w:r>
          </w:p>
        </w:tc>
        <w:tc>
          <w:tcPr>
            <w:tcW w:w="5954" w:type="dxa"/>
            <w:noWrap w:val="0"/>
            <w:vAlign w:val="center"/>
          </w:tcPr>
          <w:p w14:paraId="664552AD">
            <w:pPr>
              <w:pStyle w:val="23"/>
              <w:rPr>
                <w:rFonts w:ascii="宋体" w:hAnsi="宋体" w:eastAsia="宋体" w:cs="宋体"/>
                <w:color w:val="auto"/>
                <w:sz w:val="21"/>
                <w:szCs w:val="21"/>
              </w:rPr>
            </w:pPr>
            <w:r>
              <w:rPr>
                <w:rFonts w:hint="eastAsia" w:ascii="宋体" w:hAnsi="宋体" w:eastAsia="宋体" w:cs="宋体"/>
                <w:color w:val="auto"/>
                <w:sz w:val="21"/>
                <w:szCs w:val="21"/>
              </w:rPr>
              <w:t>供应商提供符合特定资格要求的证明资料</w:t>
            </w:r>
          </w:p>
        </w:tc>
      </w:tr>
      <w:tr w14:paraId="31191B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187B0467">
            <w:pPr>
              <w:adjustRightInd w:val="0"/>
              <w:snapToGrid w:val="0"/>
              <w:spacing w:before="156" w:beforeLines="50" w:line="360" w:lineRule="auto"/>
              <w:jc w:val="center"/>
              <w:rPr>
                <w:rFonts w:ascii="宋体" w:hAnsi="宋体" w:cs="宋体"/>
                <w:color w:val="auto"/>
                <w:kern w:val="0"/>
                <w:szCs w:val="21"/>
              </w:rPr>
            </w:pPr>
            <w:r>
              <w:rPr>
                <w:rFonts w:hint="eastAsia" w:ascii="宋体" w:hAnsi="宋体" w:cs="宋体"/>
                <w:color w:val="auto"/>
                <w:kern w:val="0"/>
                <w:szCs w:val="21"/>
              </w:rPr>
              <w:t>4</w:t>
            </w:r>
          </w:p>
        </w:tc>
        <w:tc>
          <w:tcPr>
            <w:tcW w:w="2260" w:type="dxa"/>
            <w:noWrap w:val="0"/>
            <w:vAlign w:val="center"/>
          </w:tcPr>
          <w:p w14:paraId="68446CE3">
            <w:pPr>
              <w:pStyle w:val="23"/>
              <w:jc w:val="both"/>
              <w:rPr>
                <w:rFonts w:ascii="宋体" w:hAnsi="宋体" w:eastAsia="宋体" w:cs="宋体"/>
                <w:color w:val="auto"/>
                <w:szCs w:val="21"/>
              </w:rPr>
            </w:pPr>
            <w:r>
              <w:rPr>
                <w:rFonts w:hint="eastAsia" w:ascii="宋体" w:hAnsi="宋体" w:eastAsia="宋体" w:cs="宋体"/>
                <w:color w:val="auto"/>
                <w:sz w:val="21"/>
              </w:rPr>
              <w:t>财务状况报告、依法缴纳税收、依法缴纳社会保障资金、具备履行合同所必需的设备和专业技术能力的书面承诺</w:t>
            </w:r>
          </w:p>
        </w:tc>
        <w:tc>
          <w:tcPr>
            <w:tcW w:w="5954" w:type="dxa"/>
            <w:noWrap w:val="0"/>
            <w:vAlign w:val="center"/>
          </w:tcPr>
          <w:p w14:paraId="14EE096C">
            <w:pPr>
              <w:pStyle w:val="14"/>
              <w:spacing w:before="0" w:beforeAutospacing="0" w:after="0" w:afterAutospacing="0" w:line="400" w:lineRule="atLeast"/>
              <w:rPr>
                <w:rFonts w:hint="eastAsia"/>
                <w:color w:val="auto"/>
                <w:sz w:val="21"/>
                <w:szCs w:val="21"/>
              </w:rPr>
            </w:pPr>
            <w:r>
              <w:rPr>
                <w:rFonts w:hint="eastAsia"/>
                <w:color w:val="auto"/>
                <w:sz w:val="21"/>
                <w:szCs w:val="21"/>
              </w:rPr>
              <w:t>提供2023年度财务状况报告扫描件（投标文件中只需提供上述报告中的审计结论意见书及资产负债表、损益利润分配表扫描件）或银行资信证明；新成立的或成立不足一年的的公司提供最近月份的财务报表或银行资信证明；</w:t>
            </w:r>
          </w:p>
          <w:p w14:paraId="15BCCDB3">
            <w:pPr>
              <w:pStyle w:val="14"/>
              <w:spacing w:before="0" w:beforeAutospacing="0" w:after="0" w:afterAutospacing="0" w:line="400" w:lineRule="atLeast"/>
              <w:rPr>
                <w:rFonts w:hint="eastAsia"/>
                <w:color w:val="auto"/>
                <w:sz w:val="21"/>
                <w:szCs w:val="21"/>
              </w:rPr>
            </w:pPr>
            <w:r>
              <w:rPr>
                <w:rFonts w:hint="eastAsia"/>
                <w:color w:val="auto"/>
                <w:sz w:val="21"/>
                <w:szCs w:val="21"/>
              </w:rPr>
              <w:t>提供2024年5月-2024年10月（任意连续3个月）依法纳税及依法缴纳社会保障金相关证明文件。</w:t>
            </w:r>
          </w:p>
          <w:p w14:paraId="60E53F7C">
            <w:pPr>
              <w:pStyle w:val="14"/>
              <w:spacing w:before="0" w:beforeAutospacing="0" w:after="0" w:afterAutospacing="0" w:line="400" w:lineRule="atLeast"/>
              <w:rPr>
                <w:rFonts w:hint="eastAsia"/>
                <w:color w:val="auto"/>
                <w:szCs w:val="21"/>
              </w:rPr>
            </w:pPr>
            <w:r>
              <w:rPr>
                <w:rFonts w:hint="eastAsia"/>
                <w:color w:val="auto"/>
                <w:sz w:val="21"/>
                <w:szCs w:val="21"/>
              </w:rPr>
              <w:t>注：根据《湖南省财政厅关于政府采购促进中小企业发展有关措施的通知》要求，中小微企业参与本项目投标，只需提供‘湖南省政府采购供应商资格承诺函’，视同满足上述要求。其他投标人按要求提供。</w:t>
            </w:r>
          </w:p>
        </w:tc>
      </w:tr>
      <w:tr w14:paraId="5E4076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637CA417">
            <w:pPr>
              <w:adjustRightInd w:val="0"/>
              <w:snapToGrid w:val="0"/>
              <w:spacing w:before="156" w:beforeLines="50" w:line="360" w:lineRule="auto"/>
              <w:jc w:val="center"/>
              <w:rPr>
                <w:rFonts w:ascii="宋体" w:hAnsi="宋体" w:cs="宋体"/>
                <w:color w:val="auto"/>
                <w:kern w:val="0"/>
                <w:szCs w:val="21"/>
              </w:rPr>
            </w:pPr>
            <w:r>
              <w:rPr>
                <w:rFonts w:hint="eastAsia" w:ascii="宋体" w:hAnsi="宋体" w:cs="宋体"/>
                <w:color w:val="auto"/>
                <w:kern w:val="0"/>
                <w:szCs w:val="21"/>
              </w:rPr>
              <w:t>5</w:t>
            </w:r>
          </w:p>
        </w:tc>
        <w:tc>
          <w:tcPr>
            <w:tcW w:w="2260" w:type="dxa"/>
            <w:noWrap w:val="0"/>
            <w:vAlign w:val="center"/>
          </w:tcPr>
          <w:p w14:paraId="02FF6F0E">
            <w:pPr>
              <w:pStyle w:val="23"/>
              <w:jc w:val="both"/>
              <w:rPr>
                <w:rFonts w:ascii="宋体" w:hAnsi="宋体" w:eastAsia="宋体" w:cs="宋体"/>
                <w:color w:val="auto"/>
                <w:sz w:val="21"/>
              </w:rPr>
            </w:pPr>
            <w:r>
              <w:rPr>
                <w:rFonts w:hint="eastAsia" w:ascii="宋体" w:hAnsi="宋体" w:eastAsia="宋体" w:cs="宋体"/>
                <w:color w:val="auto"/>
                <w:sz w:val="21"/>
              </w:rPr>
              <w:t>单位负责人为同一人或者存在直接控股、管理关系的不同投标人，不得参加本项目同一合同项下的政府采购活动的书面承诺</w:t>
            </w:r>
          </w:p>
        </w:tc>
        <w:tc>
          <w:tcPr>
            <w:tcW w:w="5954" w:type="dxa"/>
            <w:noWrap w:val="0"/>
            <w:vAlign w:val="center"/>
          </w:tcPr>
          <w:p w14:paraId="17140B04">
            <w:pPr>
              <w:pStyle w:val="14"/>
              <w:spacing w:before="0" w:beforeAutospacing="0" w:after="0" w:afterAutospacing="0" w:line="400" w:lineRule="atLeast"/>
              <w:rPr>
                <w:rFonts w:hint="eastAsia"/>
                <w:color w:val="auto"/>
                <w:sz w:val="21"/>
                <w:szCs w:val="21"/>
              </w:rPr>
            </w:pPr>
            <w:r>
              <w:rPr>
                <w:rFonts w:hint="eastAsia"/>
                <w:color w:val="auto"/>
                <w:sz w:val="21"/>
                <w:szCs w:val="21"/>
              </w:rPr>
              <w:t>提供单位负责人为同一人或者存在直接控股、管理关系的不同投标人，不得参加本项目同一合同项下的政府采购活动的书面承诺；</w:t>
            </w:r>
          </w:p>
        </w:tc>
      </w:tr>
      <w:tr w14:paraId="5EC61B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2D40E748">
            <w:pPr>
              <w:adjustRightInd w:val="0"/>
              <w:snapToGrid w:val="0"/>
              <w:spacing w:before="156" w:beforeLines="50" w:line="360" w:lineRule="auto"/>
              <w:jc w:val="center"/>
              <w:rPr>
                <w:rFonts w:ascii="宋体" w:hAnsi="宋体" w:cs="宋体"/>
                <w:color w:val="auto"/>
                <w:kern w:val="0"/>
                <w:szCs w:val="21"/>
              </w:rPr>
            </w:pPr>
            <w:r>
              <w:rPr>
                <w:rFonts w:hint="eastAsia" w:ascii="宋体" w:hAnsi="宋体" w:cs="宋体"/>
                <w:color w:val="auto"/>
                <w:kern w:val="0"/>
                <w:szCs w:val="21"/>
              </w:rPr>
              <w:t>6</w:t>
            </w:r>
          </w:p>
        </w:tc>
        <w:tc>
          <w:tcPr>
            <w:tcW w:w="2260" w:type="dxa"/>
            <w:noWrap w:val="0"/>
            <w:vAlign w:val="center"/>
          </w:tcPr>
          <w:p w14:paraId="4BCA707F">
            <w:pPr>
              <w:pStyle w:val="23"/>
              <w:jc w:val="center"/>
              <w:rPr>
                <w:rFonts w:ascii="宋体" w:hAnsi="宋体" w:eastAsia="宋体" w:cs="宋体"/>
                <w:color w:val="auto"/>
                <w:szCs w:val="21"/>
              </w:rPr>
            </w:pPr>
            <w:r>
              <w:rPr>
                <w:rFonts w:hint="eastAsia" w:ascii="宋体" w:hAnsi="宋体" w:eastAsia="宋体" w:cs="宋体"/>
                <w:color w:val="auto"/>
                <w:sz w:val="21"/>
              </w:rPr>
              <w:t>无犯罪声明</w:t>
            </w:r>
          </w:p>
        </w:tc>
        <w:tc>
          <w:tcPr>
            <w:tcW w:w="5954" w:type="dxa"/>
            <w:noWrap w:val="0"/>
            <w:vAlign w:val="center"/>
          </w:tcPr>
          <w:p w14:paraId="23F370F5">
            <w:pPr>
              <w:pStyle w:val="14"/>
              <w:spacing w:line="400" w:lineRule="atLeast"/>
              <w:jc w:val="both"/>
              <w:rPr>
                <w:color w:val="auto"/>
                <w:szCs w:val="21"/>
              </w:rPr>
            </w:pPr>
            <w:r>
              <w:rPr>
                <w:rFonts w:hint="eastAsia"/>
                <w:color w:val="auto"/>
                <w:sz w:val="21"/>
                <w:szCs w:val="21"/>
              </w:rPr>
              <w:t>提供</w:t>
            </w:r>
            <w:r>
              <w:rPr>
                <w:rFonts w:hint="eastAsia"/>
                <w:color w:val="auto"/>
                <w:sz w:val="21"/>
                <w:szCs w:val="21"/>
                <w:lang w:val="en-US" w:eastAsia="zh-CN"/>
              </w:rPr>
              <w:t>自2021年1月起</w:t>
            </w:r>
            <w:r>
              <w:rPr>
                <w:rFonts w:hint="eastAsia"/>
                <w:color w:val="auto"/>
                <w:sz w:val="21"/>
                <w:szCs w:val="21"/>
              </w:rPr>
              <w:t>在经营活动中没有重大违法记录</w:t>
            </w:r>
            <w:r>
              <w:rPr>
                <w:rFonts w:hint="eastAsia"/>
                <w:color w:val="auto"/>
                <w:sz w:val="21"/>
                <w:szCs w:val="21"/>
                <w:lang w:val="en-US" w:eastAsia="zh-CN"/>
              </w:rPr>
              <w:t>的</w:t>
            </w:r>
            <w:r>
              <w:rPr>
                <w:rFonts w:hint="eastAsia"/>
                <w:color w:val="auto"/>
                <w:sz w:val="21"/>
                <w:szCs w:val="21"/>
              </w:rPr>
              <w:t>声明；</w:t>
            </w:r>
          </w:p>
        </w:tc>
      </w:tr>
      <w:tr w14:paraId="40952B1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414C099B">
            <w:pPr>
              <w:adjustRightInd w:val="0"/>
              <w:snapToGrid w:val="0"/>
              <w:spacing w:before="156" w:beforeLines="50" w:line="360" w:lineRule="auto"/>
              <w:jc w:val="center"/>
              <w:rPr>
                <w:rFonts w:ascii="宋体" w:hAnsi="宋体" w:cs="宋体"/>
                <w:color w:val="auto"/>
                <w:kern w:val="0"/>
                <w:szCs w:val="21"/>
              </w:rPr>
            </w:pPr>
            <w:r>
              <w:rPr>
                <w:rFonts w:hint="eastAsia" w:ascii="宋体" w:hAnsi="宋体" w:cs="宋体"/>
                <w:color w:val="auto"/>
                <w:kern w:val="0"/>
                <w:szCs w:val="21"/>
              </w:rPr>
              <w:t>7</w:t>
            </w:r>
          </w:p>
        </w:tc>
        <w:tc>
          <w:tcPr>
            <w:tcW w:w="2260" w:type="dxa"/>
            <w:noWrap w:val="0"/>
            <w:vAlign w:val="center"/>
          </w:tcPr>
          <w:p w14:paraId="4DDFCE3E">
            <w:pPr>
              <w:pStyle w:val="23"/>
              <w:jc w:val="center"/>
              <w:rPr>
                <w:rFonts w:ascii="宋体" w:hAnsi="宋体" w:eastAsia="宋体" w:cs="宋体"/>
                <w:color w:val="auto"/>
                <w:sz w:val="21"/>
              </w:rPr>
            </w:pPr>
            <w:r>
              <w:rPr>
                <w:rFonts w:hint="eastAsia" w:ascii="宋体" w:hAnsi="宋体" w:eastAsia="宋体" w:cs="宋体"/>
                <w:color w:val="auto"/>
                <w:sz w:val="21"/>
              </w:rPr>
              <w:t>投标报价</w:t>
            </w:r>
          </w:p>
        </w:tc>
        <w:tc>
          <w:tcPr>
            <w:tcW w:w="5954" w:type="dxa"/>
            <w:noWrap w:val="0"/>
            <w:vAlign w:val="center"/>
          </w:tcPr>
          <w:p w14:paraId="787B3CFF">
            <w:pPr>
              <w:pStyle w:val="23"/>
              <w:rPr>
                <w:rFonts w:ascii="宋体" w:hAnsi="宋体" w:eastAsia="宋体" w:cs="宋体"/>
                <w:color w:val="auto"/>
                <w:sz w:val="21"/>
                <w:szCs w:val="21"/>
              </w:rPr>
            </w:pPr>
            <w:r>
              <w:rPr>
                <w:rFonts w:hint="eastAsia" w:ascii="宋体" w:hAnsi="宋体" w:eastAsia="宋体" w:cs="宋体"/>
                <w:color w:val="auto"/>
                <w:sz w:val="21"/>
              </w:rPr>
              <w:t>报价超过</w:t>
            </w:r>
            <w:r>
              <w:rPr>
                <w:rFonts w:hint="eastAsia" w:ascii="宋体" w:hAnsi="宋体" w:eastAsia="宋体" w:cs="宋体"/>
                <w:color w:val="auto"/>
                <w:sz w:val="21"/>
                <w:lang w:val="en-US" w:eastAsia="zh-CN"/>
              </w:rPr>
              <w:t>采购</w:t>
            </w:r>
            <w:r>
              <w:rPr>
                <w:rFonts w:hint="eastAsia" w:ascii="宋体" w:hAnsi="宋体" w:eastAsia="宋体" w:cs="宋体"/>
                <w:color w:val="auto"/>
                <w:sz w:val="21"/>
              </w:rPr>
              <w:t>文件中规定的预算金额或者最高限价的；</w:t>
            </w:r>
          </w:p>
        </w:tc>
      </w:tr>
      <w:tr w14:paraId="2CF498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10C7F98A">
            <w:pPr>
              <w:adjustRightInd w:val="0"/>
              <w:snapToGrid w:val="0"/>
              <w:spacing w:before="156" w:beforeLines="50" w:line="360" w:lineRule="auto"/>
              <w:jc w:val="center"/>
              <w:rPr>
                <w:rFonts w:ascii="宋体" w:hAnsi="宋体"/>
                <w:color w:val="auto"/>
                <w:kern w:val="0"/>
                <w:szCs w:val="21"/>
              </w:rPr>
            </w:pPr>
            <w:r>
              <w:rPr>
                <w:rFonts w:hint="eastAsia" w:ascii="宋体" w:hAnsi="宋体"/>
                <w:color w:val="auto"/>
                <w:kern w:val="0"/>
                <w:szCs w:val="21"/>
              </w:rPr>
              <w:t>8</w:t>
            </w:r>
          </w:p>
        </w:tc>
        <w:tc>
          <w:tcPr>
            <w:tcW w:w="2260" w:type="dxa"/>
            <w:noWrap w:val="0"/>
            <w:vAlign w:val="center"/>
          </w:tcPr>
          <w:p w14:paraId="60C9F22B">
            <w:pPr>
              <w:pStyle w:val="23"/>
              <w:jc w:val="center"/>
              <w:rPr>
                <w:rFonts w:ascii="宋体" w:hAnsi="宋体" w:eastAsia="宋体" w:cs="宋体"/>
                <w:color w:val="auto"/>
                <w:szCs w:val="21"/>
              </w:rPr>
            </w:pPr>
            <w:r>
              <w:rPr>
                <w:rFonts w:hint="eastAsia" w:ascii="宋体" w:hAnsi="宋体" w:eastAsia="宋体" w:cs="宋体"/>
                <w:color w:val="auto"/>
                <w:sz w:val="21"/>
              </w:rPr>
              <w:t>信用记录查询情况</w:t>
            </w:r>
          </w:p>
        </w:tc>
        <w:tc>
          <w:tcPr>
            <w:tcW w:w="5954" w:type="dxa"/>
            <w:noWrap w:val="0"/>
            <w:vAlign w:val="center"/>
          </w:tcPr>
          <w:p w14:paraId="2F1ED12C">
            <w:pPr>
              <w:pStyle w:val="14"/>
              <w:spacing w:before="0" w:beforeAutospacing="0" w:after="0" w:afterAutospacing="0" w:line="400" w:lineRule="atLeast"/>
              <w:rPr>
                <w:color w:val="auto"/>
                <w:szCs w:val="21"/>
              </w:rPr>
            </w:pPr>
            <w:r>
              <w:rPr>
                <w:rFonts w:hint="eastAsia"/>
                <w:color w:val="auto"/>
                <w:sz w:val="21"/>
                <w:szCs w:val="21"/>
              </w:rPr>
              <w:t>投标人提供公告</w:t>
            </w:r>
            <w:r>
              <w:rPr>
                <w:rFonts w:hint="eastAsia"/>
                <w:color w:val="auto"/>
                <w:sz w:val="21"/>
                <w:szCs w:val="21"/>
                <w:lang w:val="en-US" w:eastAsia="zh-CN"/>
              </w:rPr>
              <w:t>发布</w:t>
            </w:r>
            <w:r>
              <w:rPr>
                <w:rFonts w:hint="eastAsia"/>
                <w:color w:val="auto"/>
                <w:sz w:val="21"/>
                <w:szCs w:val="21"/>
              </w:rPr>
              <w:t>之日起通过“信用中国”网站（www.creditchina.gov.cn）或查询的信用记录网上打印件或</w:t>
            </w:r>
            <w:r>
              <w:rPr>
                <w:color w:val="auto"/>
                <w:sz w:val="21"/>
                <w:szCs w:val="21"/>
              </w:rPr>
              <w:t>截图</w:t>
            </w:r>
            <w:r>
              <w:rPr>
                <w:rFonts w:hint="eastAsia"/>
                <w:color w:val="auto"/>
                <w:sz w:val="21"/>
                <w:szCs w:val="21"/>
              </w:rPr>
              <w:t>，应包括网站网址、查询内容、查询时间；</w:t>
            </w:r>
          </w:p>
        </w:tc>
      </w:tr>
      <w:tr w14:paraId="585192B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83" w:type="dxa"/>
            <w:noWrap w:val="0"/>
            <w:vAlign w:val="center"/>
          </w:tcPr>
          <w:p w14:paraId="72A30CF2">
            <w:pPr>
              <w:adjustRightInd w:val="0"/>
              <w:snapToGrid w:val="0"/>
              <w:spacing w:before="156" w:beforeLines="50" w:line="360" w:lineRule="auto"/>
              <w:jc w:val="center"/>
              <w:rPr>
                <w:rFonts w:hint="eastAsia" w:ascii="宋体" w:hAnsi="宋体"/>
                <w:color w:val="auto"/>
                <w:kern w:val="0"/>
                <w:szCs w:val="21"/>
              </w:rPr>
            </w:pPr>
            <w:r>
              <w:rPr>
                <w:rFonts w:hint="eastAsia" w:ascii="宋体" w:hAnsi="宋体"/>
                <w:color w:val="auto"/>
                <w:kern w:val="0"/>
                <w:szCs w:val="21"/>
              </w:rPr>
              <w:t>9</w:t>
            </w:r>
          </w:p>
        </w:tc>
        <w:tc>
          <w:tcPr>
            <w:tcW w:w="2260" w:type="dxa"/>
            <w:noWrap w:val="0"/>
            <w:vAlign w:val="center"/>
          </w:tcPr>
          <w:p w14:paraId="6B874873">
            <w:pPr>
              <w:pStyle w:val="23"/>
              <w:rPr>
                <w:rFonts w:hint="eastAsia" w:ascii="宋体" w:hAnsi="宋体" w:eastAsia="宋体" w:cs="宋体"/>
                <w:color w:val="auto"/>
                <w:sz w:val="21"/>
              </w:rPr>
            </w:pPr>
            <w:r>
              <w:rPr>
                <w:rFonts w:hint="eastAsia" w:ascii="宋体" w:hAnsi="宋体" w:eastAsia="宋体" w:cs="宋体"/>
                <w:color w:val="auto"/>
                <w:sz w:val="21"/>
              </w:rPr>
              <w:t>投标响应文件</w:t>
            </w:r>
            <w:r>
              <w:rPr>
                <w:rFonts w:ascii="宋体" w:hAnsi="宋体" w:eastAsia="宋体" w:cs="宋体"/>
                <w:color w:val="auto"/>
                <w:sz w:val="21"/>
              </w:rPr>
              <w:t>的签署、盖章</w:t>
            </w:r>
          </w:p>
        </w:tc>
        <w:tc>
          <w:tcPr>
            <w:tcW w:w="5954" w:type="dxa"/>
            <w:noWrap w:val="0"/>
            <w:vAlign w:val="center"/>
          </w:tcPr>
          <w:p w14:paraId="5AB80AE0">
            <w:pPr>
              <w:pStyle w:val="14"/>
              <w:spacing w:before="0" w:beforeAutospacing="0" w:after="0" w:afterAutospacing="0" w:line="400" w:lineRule="atLeast"/>
              <w:rPr>
                <w:rFonts w:hint="eastAsia"/>
                <w:color w:val="auto"/>
                <w:sz w:val="21"/>
                <w:szCs w:val="21"/>
              </w:rPr>
            </w:pPr>
            <w:r>
              <w:rPr>
                <w:rFonts w:hint="eastAsia"/>
                <w:color w:val="auto"/>
                <w:sz w:val="21"/>
                <w:szCs w:val="21"/>
              </w:rPr>
              <w:t>资格</w:t>
            </w:r>
            <w:r>
              <w:rPr>
                <w:color w:val="auto"/>
                <w:sz w:val="21"/>
                <w:szCs w:val="21"/>
              </w:rPr>
              <w:t>审查</w:t>
            </w:r>
            <w:r>
              <w:rPr>
                <w:rFonts w:hint="eastAsia"/>
                <w:color w:val="auto"/>
                <w:sz w:val="21"/>
                <w:szCs w:val="21"/>
              </w:rPr>
              <w:t>响应</w:t>
            </w:r>
            <w:r>
              <w:rPr>
                <w:color w:val="auto"/>
                <w:sz w:val="21"/>
                <w:szCs w:val="21"/>
              </w:rPr>
              <w:t>文件</w:t>
            </w:r>
            <w:r>
              <w:rPr>
                <w:rFonts w:hint="eastAsia"/>
                <w:color w:val="auto"/>
                <w:sz w:val="21"/>
                <w:szCs w:val="21"/>
              </w:rPr>
              <w:t>是否按</w:t>
            </w:r>
            <w:r>
              <w:rPr>
                <w:rFonts w:hint="eastAsia"/>
                <w:color w:val="auto"/>
                <w:sz w:val="21"/>
                <w:szCs w:val="21"/>
                <w:lang w:val="en-US" w:eastAsia="zh-CN"/>
              </w:rPr>
              <w:t>采购文件</w:t>
            </w:r>
            <w:r>
              <w:rPr>
                <w:color w:val="auto"/>
                <w:sz w:val="21"/>
                <w:szCs w:val="21"/>
              </w:rPr>
              <w:t>要求</w:t>
            </w:r>
            <w:r>
              <w:rPr>
                <w:color w:val="auto"/>
                <w:sz w:val="20"/>
                <w:szCs w:val="21"/>
              </w:rPr>
              <w:t>签</w:t>
            </w:r>
            <w:r>
              <w:rPr>
                <w:rFonts w:hint="eastAsia"/>
                <w:color w:val="auto"/>
                <w:sz w:val="20"/>
                <w:szCs w:val="21"/>
              </w:rPr>
              <w:t>字</w:t>
            </w:r>
            <w:r>
              <w:rPr>
                <w:color w:val="auto"/>
                <w:sz w:val="20"/>
                <w:szCs w:val="21"/>
              </w:rPr>
              <w:t>、盖章</w:t>
            </w:r>
          </w:p>
        </w:tc>
      </w:tr>
      <w:tr w14:paraId="4D6FB5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92" w:hRule="atLeast"/>
        </w:trPr>
        <w:tc>
          <w:tcPr>
            <w:tcW w:w="683" w:type="dxa"/>
            <w:noWrap w:val="0"/>
            <w:vAlign w:val="center"/>
          </w:tcPr>
          <w:p w14:paraId="4AE4CB6C">
            <w:pPr>
              <w:adjustRightInd w:val="0"/>
              <w:snapToGrid w:val="0"/>
              <w:spacing w:before="156" w:beforeLines="50" w:line="360" w:lineRule="auto"/>
              <w:jc w:val="center"/>
              <w:rPr>
                <w:rFonts w:ascii="宋体" w:hAnsi="宋体" w:cs="宋体"/>
                <w:color w:val="auto"/>
                <w:kern w:val="0"/>
                <w:sz w:val="20"/>
                <w:szCs w:val="21"/>
              </w:rPr>
            </w:pPr>
            <w:r>
              <w:rPr>
                <w:rFonts w:hint="eastAsia" w:ascii="宋体" w:hAnsi="宋体"/>
                <w:color w:val="auto"/>
                <w:kern w:val="0"/>
                <w:sz w:val="20"/>
                <w:szCs w:val="21"/>
              </w:rPr>
              <w:t>结论</w:t>
            </w:r>
          </w:p>
        </w:tc>
        <w:tc>
          <w:tcPr>
            <w:tcW w:w="8214" w:type="dxa"/>
            <w:gridSpan w:val="2"/>
            <w:noWrap w:val="0"/>
            <w:vAlign w:val="center"/>
          </w:tcPr>
          <w:p w14:paraId="4BCDB8FC">
            <w:pPr>
              <w:adjustRightInd w:val="0"/>
              <w:snapToGrid w:val="0"/>
              <w:spacing w:before="156" w:beforeLines="50" w:line="360" w:lineRule="auto"/>
              <w:jc w:val="center"/>
              <w:rPr>
                <w:rFonts w:ascii="宋体" w:hAnsi="宋体" w:cs="宋体"/>
                <w:color w:val="auto"/>
                <w:kern w:val="0"/>
                <w:szCs w:val="21"/>
              </w:rPr>
            </w:pPr>
          </w:p>
        </w:tc>
      </w:tr>
    </w:tbl>
    <w:p w14:paraId="4B845FFB">
      <w:pPr>
        <w:rPr>
          <w:rStyle w:val="21"/>
          <w:rFonts w:asciiTheme="minorEastAsia" w:hAnsiTheme="minorEastAsia" w:eastAsiaTheme="minorEastAsia" w:cstheme="minorEastAsia"/>
          <w:color w:val="auto"/>
        </w:rPr>
      </w:pPr>
    </w:p>
    <w:p w14:paraId="4D10599A">
      <w:pPr>
        <w:pStyle w:val="24"/>
        <w:rPr>
          <w:rStyle w:val="21"/>
          <w:rFonts w:asciiTheme="minorEastAsia" w:hAnsiTheme="minorEastAsia" w:eastAsiaTheme="minorEastAsia" w:cstheme="minorEastAsia"/>
          <w:b/>
          <w:color w:val="auto"/>
          <w:sz w:val="20"/>
        </w:rPr>
      </w:pPr>
    </w:p>
    <w:p w14:paraId="20570CB3">
      <w:pPr>
        <w:pStyle w:val="24"/>
        <w:spacing w:before="136"/>
        <w:ind w:left="593"/>
        <w:rPr>
          <w:rStyle w:val="21"/>
          <w:rFonts w:asciiTheme="minorEastAsia" w:hAnsiTheme="minorEastAsia" w:eastAsiaTheme="minorEastAsia" w:cstheme="minorEastAsia"/>
          <w:color w:val="auto"/>
        </w:rPr>
      </w:pPr>
      <w:r>
        <w:rPr>
          <w:rStyle w:val="21"/>
          <w:rFonts w:hint="eastAsia" w:asciiTheme="minorEastAsia" w:hAnsiTheme="minorEastAsia" w:eastAsiaTheme="minorEastAsia" w:cstheme="minorEastAsia"/>
          <w:color w:val="auto"/>
        </w:rPr>
        <w:t>注：1、上述内容合格用“√”表示，不合格用“×”表示；</w:t>
      </w:r>
    </w:p>
    <w:p w14:paraId="691FF24E">
      <w:pPr>
        <w:pStyle w:val="24"/>
        <w:spacing w:before="67"/>
        <w:ind w:left="1013"/>
        <w:rPr>
          <w:rStyle w:val="21"/>
          <w:rFonts w:asciiTheme="minorEastAsia" w:hAnsiTheme="minorEastAsia" w:eastAsiaTheme="minorEastAsia" w:cstheme="minorEastAsia"/>
          <w:color w:val="auto"/>
        </w:rPr>
      </w:pPr>
      <w:r>
        <w:rPr>
          <w:rStyle w:val="21"/>
          <w:rFonts w:hint="eastAsia" w:asciiTheme="minorEastAsia" w:hAnsiTheme="minorEastAsia" w:eastAsiaTheme="minorEastAsia" w:cstheme="minorEastAsia"/>
          <w:color w:val="auto"/>
        </w:rPr>
        <w:t>2、以上内容有一项不合格的，则初步评审的综合评定结果为不合格。</w:t>
      </w:r>
    </w:p>
    <w:p w14:paraId="184AD3E6">
      <w:pPr>
        <w:rPr>
          <w:rStyle w:val="21"/>
          <w:rFonts w:asciiTheme="minorEastAsia" w:hAnsiTheme="minorEastAsia" w:eastAsiaTheme="minorEastAsia" w:cstheme="minorEastAsia"/>
          <w:color w:val="auto"/>
        </w:rPr>
        <w:sectPr>
          <w:footerReference r:id="rId3" w:type="default"/>
          <w:pgSz w:w="11850" w:h="16783"/>
          <w:pgMar w:top="1417" w:right="1757" w:bottom="1417" w:left="1757" w:header="874" w:footer="975" w:gutter="0"/>
          <w:pgNumType w:fmt="decimal"/>
          <w:cols w:space="720" w:num="1"/>
        </w:sectPr>
      </w:pPr>
    </w:p>
    <w:p w14:paraId="75E065EB">
      <w:pPr>
        <w:pStyle w:val="25"/>
        <w:spacing w:before="1" w:after="21"/>
        <w:ind w:right="1217" w:firstLine="562" w:firstLineChars="200"/>
        <w:jc w:val="both"/>
        <w:rPr>
          <w:rStyle w:val="21"/>
          <w:rFonts w:hint="eastAsia" w:asciiTheme="minorEastAsia" w:hAnsiTheme="minorEastAsia" w:eastAsiaTheme="minorEastAsia" w:cstheme="minorEastAsia"/>
          <w:b/>
          <w:bCs/>
          <w:color w:val="auto"/>
          <w:spacing w:val="-2"/>
        </w:rPr>
      </w:pPr>
      <w:r>
        <w:rPr>
          <w:rFonts w:hint="eastAsia" w:asciiTheme="minorEastAsia" w:hAnsiTheme="minorEastAsia" w:eastAsiaTheme="minorEastAsia" w:cstheme="minorEastAsia"/>
          <w:b/>
          <w:bCs/>
          <w:color w:val="auto"/>
          <w:sz w:val="28"/>
          <w:szCs w:val="28"/>
          <w:lang w:val="en-US" w:eastAsia="zh-CN"/>
        </w:rPr>
        <w:t>3.</w:t>
      </w:r>
      <w:r>
        <w:rPr>
          <w:rFonts w:hint="eastAsia" w:ascii="黑体" w:hAnsi="黑体"/>
          <w:b/>
          <w:color w:val="auto"/>
          <w:sz w:val="28"/>
          <w:szCs w:val="28"/>
          <w:lang w:val="en-US" w:eastAsia="zh-CN"/>
        </w:rPr>
        <w:t>符合性</w:t>
      </w:r>
      <w:r>
        <w:rPr>
          <w:rFonts w:ascii="黑体" w:hAnsi="黑体" w:eastAsia="黑体"/>
          <w:b/>
          <w:color w:val="auto"/>
          <w:sz w:val="28"/>
          <w:szCs w:val="28"/>
        </w:rPr>
        <w:t>审查表</w:t>
      </w:r>
    </w:p>
    <w:p w14:paraId="72E1ED7D">
      <w:pPr>
        <w:pStyle w:val="25"/>
        <w:spacing w:before="1" w:after="21"/>
        <w:ind w:right="1217" w:firstLine="394" w:firstLineChars="200"/>
        <w:jc w:val="center"/>
        <w:rPr>
          <w:rFonts w:ascii="黑体" w:hAnsi="黑体" w:eastAsia="黑体" w:cstheme="minorBidi"/>
          <w:b/>
          <w:color w:val="auto"/>
          <w:kern w:val="2"/>
          <w:sz w:val="28"/>
          <w:szCs w:val="28"/>
          <w:lang w:val="en-US" w:eastAsia="zh-CN" w:bidi="ar-SA"/>
        </w:rPr>
      </w:pPr>
      <w:r>
        <w:rPr>
          <w:rStyle w:val="21"/>
          <w:rFonts w:hint="eastAsia" w:asciiTheme="minorEastAsia" w:hAnsiTheme="minorEastAsia" w:eastAsiaTheme="minorEastAsia" w:cstheme="minorEastAsia"/>
          <w:b/>
          <w:bCs/>
          <w:color w:val="auto"/>
          <w:spacing w:val="-2"/>
          <w:lang w:val="en-US" w:eastAsia="zh-CN"/>
        </w:rPr>
        <w:t xml:space="preserve">  </w:t>
      </w:r>
      <w:r>
        <w:rPr>
          <w:rFonts w:hint="eastAsia" w:ascii="黑体" w:hAnsi="黑体" w:eastAsia="黑体" w:cstheme="minorBidi"/>
          <w:b/>
          <w:color w:val="auto"/>
          <w:kern w:val="2"/>
          <w:sz w:val="28"/>
          <w:szCs w:val="28"/>
          <w:lang w:val="en-US" w:eastAsia="zh-CN" w:bidi="ar-SA"/>
        </w:rPr>
        <w:t>符合性审查表</w:t>
      </w:r>
    </w:p>
    <w:p w14:paraId="3908354D">
      <w:pPr>
        <w:pStyle w:val="24"/>
        <w:spacing w:before="110"/>
        <w:ind w:left="593"/>
        <w:rPr>
          <w:rStyle w:val="21"/>
          <w:rFonts w:hint="eastAsia" w:asciiTheme="minorEastAsia" w:hAnsiTheme="minorEastAsia" w:eastAsiaTheme="minorEastAsia" w:cstheme="minorEastAsia"/>
          <w:color w:val="auto"/>
        </w:rPr>
      </w:pPr>
    </w:p>
    <w:tbl>
      <w:tblPr>
        <w:tblStyle w:val="15"/>
        <w:tblW w:w="833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5"/>
        <w:gridCol w:w="2268"/>
        <w:gridCol w:w="5387"/>
      </w:tblGrid>
      <w:tr w14:paraId="262F78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Pr>
          <w:p w14:paraId="477AD922">
            <w:pPr>
              <w:jc w:val="center"/>
              <w:rPr>
                <w:rStyle w:val="21"/>
                <w:color w:val="auto"/>
              </w:rPr>
            </w:pPr>
            <w:r>
              <w:rPr>
                <w:rStyle w:val="21"/>
                <w:color w:val="auto"/>
              </w:rPr>
              <w:t>序号</w:t>
            </w:r>
          </w:p>
        </w:tc>
        <w:tc>
          <w:tcPr>
            <w:tcW w:w="2268" w:type="dxa"/>
            <w:tcBorders>
              <w:top w:val="single" w:color="000000" w:sz="4" w:space="0"/>
              <w:left w:val="single" w:color="000000" w:sz="4" w:space="0"/>
              <w:bottom w:val="single" w:color="000000" w:sz="4" w:space="0"/>
              <w:right w:val="single" w:color="000000" w:sz="4" w:space="0"/>
            </w:tcBorders>
          </w:tcPr>
          <w:p w14:paraId="21406AB2">
            <w:pPr>
              <w:jc w:val="center"/>
              <w:rPr>
                <w:rStyle w:val="21"/>
                <w:color w:val="auto"/>
              </w:rPr>
            </w:pPr>
            <w:r>
              <w:rPr>
                <w:rStyle w:val="21"/>
                <w:color w:val="auto"/>
              </w:rPr>
              <w:t>评审项目名称</w:t>
            </w:r>
          </w:p>
        </w:tc>
        <w:tc>
          <w:tcPr>
            <w:tcW w:w="5387" w:type="dxa"/>
            <w:tcBorders>
              <w:top w:val="single" w:color="000000" w:sz="4" w:space="0"/>
              <w:left w:val="single" w:color="000000" w:sz="4" w:space="0"/>
              <w:bottom w:val="single" w:color="000000" w:sz="4" w:space="0"/>
              <w:right w:val="single" w:color="000000" w:sz="4" w:space="0"/>
            </w:tcBorders>
          </w:tcPr>
          <w:p w14:paraId="7DC1B8CD">
            <w:pPr>
              <w:jc w:val="center"/>
              <w:rPr>
                <w:rStyle w:val="21"/>
                <w:color w:val="auto"/>
              </w:rPr>
            </w:pPr>
            <w:r>
              <w:rPr>
                <w:rStyle w:val="21"/>
                <w:color w:val="auto"/>
              </w:rPr>
              <w:t>评审标准</w:t>
            </w:r>
          </w:p>
        </w:tc>
      </w:tr>
      <w:tr w14:paraId="4CE212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Pr>
          <w:p w14:paraId="0F658C4B">
            <w:pPr>
              <w:jc w:val="center"/>
              <w:rPr>
                <w:rStyle w:val="21"/>
                <w:rFonts w:ascii="宋体" w:hAnsi="宋体"/>
                <w:color w:val="auto"/>
              </w:rPr>
            </w:pPr>
            <w:r>
              <w:rPr>
                <w:rStyle w:val="21"/>
                <w:rFonts w:ascii="宋体" w:hAnsi="宋体"/>
                <w:color w:val="auto"/>
              </w:rPr>
              <w:t>1</w:t>
            </w:r>
          </w:p>
        </w:tc>
        <w:tc>
          <w:tcPr>
            <w:tcW w:w="2268" w:type="dxa"/>
            <w:tcBorders>
              <w:top w:val="single" w:color="000000" w:sz="4" w:space="0"/>
              <w:left w:val="single" w:color="000000" w:sz="4" w:space="0"/>
              <w:bottom w:val="single" w:color="000000" w:sz="4" w:space="0"/>
              <w:right w:val="single" w:color="000000" w:sz="4" w:space="0"/>
            </w:tcBorders>
            <w:vAlign w:val="center"/>
          </w:tcPr>
          <w:p w14:paraId="60833E41">
            <w:pPr>
              <w:jc w:val="center"/>
              <w:rPr>
                <w:rStyle w:val="21"/>
                <w:rFonts w:ascii="宋体" w:hAnsi="宋体"/>
                <w:color w:val="auto"/>
              </w:rPr>
            </w:pPr>
            <w:r>
              <w:rPr>
                <w:rStyle w:val="21"/>
                <w:rFonts w:ascii="宋体" w:hAnsi="宋体"/>
                <w:color w:val="auto"/>
              </w:rPr>
              <w:t>响应文件的填写</w:t>
            </w:r>
          </w:p>
        </w:tc>
        <w:tc>
          <w:tcPr>
            <w:tcW w:w="5387" w:type="dxa"/>
            <w:tcBorders>
              <w:top w:val="single" w:color="000000" w:sz="4" w:space="0"/>
              <w:left w:val="single" w:color="000000" w:sz="4" w:space="0"/>
              <w:bottom w:val="single" w:color="000000" w:sz="4" w:space="0"/>
              <w:right w:val="single" w:color="000000" w:sz="4" w:space="0"/>
            </w:tcBorders>
          </w:tcPr>
          <w:p w14:paraId="1DEA316F">
            <w:pPr>
              <w:rPr>
                <w:rStyle w:val="21"/>
                <w:rFonts w:ascii="宋体" w:hAnsi="宋体"/>
                <w:color w:val="auto"/>
              </w:rPr>
            </w:pPr>
            <w:r>
              <w:rPr>
                <w:rStyle w:val="21"/>
                <w:rFonts w:ascii="宋体" w:hAnsi="宋体"/>
                <w:color w:val="auto"/>
              </w:rPr>
              <w:t>响应文件是否存在未按规定填写，内容不全或字迹模糊、无法辨认</w:t>
            </w:r>
          </w:p>
        </w:tc>
      </w:tr>
      <w:tr w14:paraId="7EF51C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Pr>
          <w:p w14:paraId="1BAB58F7">
            <w:pPr>
              <w:jc w:val="center"/>
              <w:rPr>
                <w:rStyle w:val="21"/>
                <w:rFonts w:ascii="宋体" w:hAnsi="宋体"/>
                <w:color w:val="auto"/>
              </w:rPr>
            </w:pPr>
            <w:r>
              <w:rPr>
                <w:rStyle w:val="21"/>
                <w:rFonts w:ascii="宋体" w:hAnsi="宋体"/>
                <w:color w:val="auto"/>
              </w:rPr>
              <w:t>2</w:t>
            </w:r>
          </w:p>
        </w:tc>
        <w:tc>
          <w:tcPr>
            <w:tcW w:w="2268" w:type="dxa"/>
            <w:tcBorders>
              <w:top w:val="single" w:color="000000" w:sz="4" w:space="0"/>
              <w:left w:val="single" w:color="000000" w:sz="4" w:space="0"/>
              <w:bottom w:val="single" w:color="000000" w:sz="4" w:space="0"/>
              <w:right w:val="single" w:color="000000" w:sz="4" w:space="0"/>
            </w:tcBorders>
            <w:vAlign w:val="center"/>
          </w:tcPr>
          <w:p w14:paraId="436789D6">
            <w:pPr>
              <w:jc w:val="center"/>
              <w:rPr>
                <w:rStyle w:val="21"/>
                <w:rFonts w:ascii="宋体" w:hAnsi="宋体"/>
                <w:color w:val="auto"/>
              </w:rPr>
            </w:pPr>
            <w:r>
              <w:rPr>
                <w:rStyle w:val="21"/>
                <w:rFonts w:ascii="宋体" w:hAnsi="宋体"/>
                <w:color w:val="auto"/>
              </w:rPr>
              <w:t>响应文件的签署、盖章</w:t>
            </w:r>
          </w:p>
        </w:tc>
        <w:tc>
          <w:tcPr>
            <w:tcW w:w="5387" w:type="dxa"/>
            <w:tcBorders>
              <w:top w:val="single" w:color="000000" w:sz="4" w:space="0"/>
              <w:left w:val="single" w:color="000000" w:sz="4" w:space="0"/>
              <w:bottom w:val="single" w:color="000000" w:sz="4" w:space="0"/>
              <w:right w:val="single" w:color="000000" w:sz="4" w:space="0"/>
            </w:tcBorders>
          </w:tcPr>
          <w:p w14:paraId="2344EAF1">
            <w:pPr>
              <w:rPr>
                <w:rStyle w:val="21"/>
                <w:rFonts w:ascii="宋体" w:hAnsi="宋体"/>
                <w:color w:val="auto"/>
              </w:rPr>
            </w:pPr>
            <w:r>
              <w:rPr>
                <w:rStyle w:val="21"/>
                <w:rFonts w:ascii="宋体" w:hAnsi="宋体"/>
                <w:color w:val="auto"/>
              </w:rPr>
              <w:t>是否存在</w:t>
            </w:r>
            <w:r>
              <w:rPr>
                <w:rStyle w:val="21"/>
                <w:rFonts w:ascii="宋体" w:hAnsi="宋体"/>
                <w:color w:val="auto"/>
                <w:szCs w:val="21"/>
              </w:rPr>
              <w:t>未按照磋商文件规定要求签署、盖章的</w:t>
            </w:r>
          </w:p>
        </w:tc>
      </w:tr>
      <w:tr w14:paraId="5CF7C1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Pr>
          <w:p w14:paraId="3D305668">
            <w:pPr>
              <w:jc w:val="center"/>
              <w:rPr>
                <w:rStyle w:val="21"/>
                <w:rFonts w:ascii="宋体" w:hAnsi="宋体"/>
                <w:color w:val="auto"/>
              </w:rPr>
            </w:pPr>
            <w:r>
              <w:rPr>
                <w:rStyle w:val="21"/>
                <w:rFonts w:ascii="宋体" w:hAnsi="宋体"/>
                <w:color w:val="auto"/>
              </w:rPr>
              <w:t>3</w:t>
            </w:r>
          </w:p>
        </w:tc>
        <w:tc>
          <w:tcPr>
            <w:tcW w:w="2268" w:type="dxa"/>
            <w:tcBorders>
              <w:top w:val="single" w:color="000000" w:sz="4" w:space="0"/>
              <w:left w:val="single" w:color="000000" w:sz="4" w:space="0"/>
              <w:bottom w:val="single" w:color="000000" w:sz="4" w:space="0"/>
              <w:right w:val="single" w:color="000000" w:sz="4" w:space="0"/>
            </w:tcBorders>
            <w:vAlign w:val="center"/>
          </w:tcPr>
          <w:p w14:paraId="27B88EE0">
            <w:pPr>
              <w:jc w:val="center"/>
              <w:rPr>
                <w:rStyle w:val="21"/>
                <w:rFonts w:ascii="宋体" w:hAnsi="宋体"/>
                <w:color w:val="auto"/>
              </w:rPr>
            </w:pPr>
            <w:r>
              <w:rPr>
                <w:rStyle w:val="21"/>
                <w:rFonts w:ascii="宋体" w:hAnsi="宋体"/>
                <w:color w:val="auto"/>
              </w:rPr>
              <w:t>投标有效期</w:t>
            </w:r>
          </w:p>
        </w:tc>
        <w:tc>
          <w:tcPr>
            <w:tcW w:w="5387" w:type="dxa"/>
            <w:tcBorders>
              <w:top w:val="single" w:color="000000" w:sz="4" w:space="0"/>
              <w:left w:val="single" w:color="000000" w:sz="4" w:space="0"/>
              <w:bottom w:val="single" w:color="000000" w:sz="4" w:space="0"/>
              <w:right w:val="single" w:color="000000" w:sz="4" w:space="0"/>
            </w:tcBorders>
          </w:tcPr>
          <w:p w14:paraId="21538696">
            <w:pPr>
              <w:rPr>
                <w:rStyle w:val="21"/>
                <w:rFonts w:ascii="宋体" w:hAnsi="宋体"/>
                <w:color w:val="auto"/>
              </w:rPr>
            </w:pPr>
            <w:r>
              <w:rPr>
                <w:rStyle w:val="21"/>
                <w:rFonts w:ascii="宋体" w:hAnsi="宋体"/>
                <w:color w:val="auto"/>
              </w:rPr>
              <w:t>是否满足磋商文件的要求</w:t>
            </w:r>
          </w:p>
        </w:tc>
      </w:tr>
      <w:tr w14:paraId="19A37F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Pr>
          <w:p w14:paraId="53EE4687">
            <w:pPr>
              <w:jc w:val="center"/>
              <w:rPr>
                <w:rStyle w:val="21"/>
                <w:rFonts w:ascii="宋体" w:hAnsi="宋体"/>
                <w:color w:val="auto"/>
              </w:rPr>
            </w:pPr>
            <w:r>
              <w:rPr>
                <w:rStyle w:val="21"/>
                <w:rFonts w:ascii="宋体" w:hAnsi="宋体"/>
                <w:color w:val="auto"/>
              </w:rPr>
              <w:t>4</w:t>
            </w:r>
          </w:p>
        </w:tc>
        <w:tc>
          <w:tcPr>
            <w:tcW w:w="2268" w:type="dxa"/>
            <w:tcBorders>
              <w:top w:val="single" w:color="000000" w:sz="4" w:space="0"/>
              <w:left w:val="single" w:color="000000" w:sz="4" w:space="0"/>
              <w:bottom w:val="single" w:color="000000" w:sz="4" w:space="0"/>
              <w:right w:val="single" w:color="000000" w:sz="4" w:space="0"/>
            </w:tcBorders>
            <w:vAlign w:val="center"/>
          </w:tcPr>
          <w:p w14:paraId="604E65FD">
            <w:pPr>
              <w:jc w:val="center"/>
              <w:rPr>
                <w:rStyle w:val="21"/>
                <w:rFonts w:ascii="宋体" w:hAnsi="宋体"/>
                <w:color w:val="auto"/>
              </w:rPr>
            </w:pPr>
            <w:r>
              <w:rPr>
                <w:rStyle w:val="21"/>
                <w:rFonts w:ascii="宋体" w:hAnsi="宋体"/>
                <w:color w:val="auto"/>
              </w:rPr>
              <w:t>投标响应</w:t>
            </w:r>
          </w:p>
        </w:tc>
        <w:tc>
          <w:tcPr>
            <w:tcW w:w="5387" w:type="dxa"/>
            <w:tcBorders>
              <w:top w:val="single" w:color="000000" w:sz="4" w:space="0"/>
              <w:left w:val="single" w:color="000000" w:sz="4" w:space="0"/>
              <w:bottom w:val="single" w:color="000000" w:sz="4" w:space="0"/>
              <w:right w:val="single" w:color="000000" w:sz="4" w:space="0"/>
            </w:tcBorders>
          </w:tcPr>
          <w:p w14:paraId="1AFAD48A">
            <w:pPr>
              <w:rPr>
                <w:rStyle w:val="21"/>
                <w:rFonts w:ascii="宋体" w:hAnsi="宋体"/>
                <w:color w:val="auto"/>
              </w:rPr>
            </w:pPr>
            <w:r>
              <w:rPr>
                <w:rStyle w:val="21"/>
                <w:rFonts w:ascii="宋体" w:hAnsi="宋体"/>
                <w:color w:val="auto"/>
                <w:szCs w:val="21"/>
              </w:rPr>
              <w:t>是否对实质性要求和条件作出响应，或者偏离超出磋商文件规定的偏离范围和幅度</w:t>
            </w:r>
          </w:p>
        </w:tc>
      </w:tr>
      <w:tr w14:paraId="4D7B67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Pr>
          <w:p w14:paraId="4B181688">
            <w:pPr>
              <w:jc w:val="center"/>
              <w:rPr>
                <w:rStyle w:val="21"/>
                <w:rFonts w:ascii="宋体" w:hAnsi="宋体"/>
                <w:color w:val="auto"/>
              </w:rPr>
            </w:pPr>
            <w:r>
              <w:rPr>
                <w:rStyle w:val="21"/>
                <w:rFonts w:ascii="宋体" w:hAnsi="宋体"/>
                <w:color w:val="auto"/>
              </w:rPr>
              <w:t>5</w:t>
            </w:r>
          </w:p>
        </w:tc>
        <w:tc>
          <w:tcPr>
            <w:tcW w:w="2268" w:type="dxa"/>
            <w:tcBorders>
              <w:top w:val="single" w:color="000000" w:sz="4" w:space="0"/>
              <w:left w:val="single" w:color="000000" w:sz="4" w:space="0"/>
              <w:bottom w:val="single" w:color="000000" w:sz="4" w:space="0"/>
              <w:right w:val="single" w:color="000000" w:sz="4" w:space="0"/>
            </w:tcBorders>
            <w:vAlign w:val="center"/>
          </w:tcPr>
          <w:p w14:paraId="7AF1B645">
            <w:pPr>
              <w:jc w:val="center"/>
              <w:rPr>
                <w:rStyle w:val="21"/>
                <w:rFonts w:ascii="宋体" w:hAnsi="宋体"/>
                <w:color w:val="auto"/>
              </w:rPr>
            </w:pPr>
            <w:r>
              <w:rPr>
                <w:rStyle w:val="21"/>
                <w:rFonts w:ascii="宋体" w:hAnsi="宋体"/>
                <w:color w:val="auto"/>
              </w:rPr>
              <w:t>标的范围</w:t>
            </w:r>
          </w:p>
        </w:tc>
        <w:tc>
          <w:tcPr>
            <w:tcW w:w="5387" w:type="dxa"/>
            <w:tcBorders>
              <w:top w:val="single" w:color="000000" w:sz="4" w:space="0"/>
              <w:left w:val="single" w:color="000000" w:sz="4" w:space="0"/>
              <w:bottom w:val="single" w:color="000000" w:sz="4" w:space="0"/>
              <w:right w:val="single" w:color="000000" w:sz="4" w:space="0"/>
            </w:tcBorders>
          </w:tcPr>
          <w:p w14:paraId="777D9F4F">
            <w:pPr>
              <w:rPr>
                <w:rStyle w:val="21"/>
                <w:rFonts w:ascii="宋体" w:hAnsi="宋体"/>
                <w:color w:val="auto"/>
                <w:szCs w:val="21"/>
              </w:rPr>
            </w:pPr>
            <w:r>
              <w:rPr>
                <w:rStyle w:val="21"/>
                <w:rFonts w:ascii="宋体" w:hAnsi="宋体"/>
                <w:color w:val="auto"/>
              </w:rPr>
              <w:t>是否满足采购标的范围</w:t>
            </w:r>
          </w:p>
        </w:tc>
      </w:tr>
      <w:tr w14:paraId="31F904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Pr>
          <w:p w14:paraId="01CABFAD">
            <w:pPr>
              <w:jc w:val="center"/>
              <w:rPr>
                <w:rStyle w:val="21"/>
                <w:rFonts w:ascii="宋体" w:hAnsi="宋体"/>
                <w:color w:val="auto"/>
              </w:rPr>
            </w:pPr>
            <w:r>
              <w:rPr>
                <w:rStyle w:val="21"/>
                <w:rFonts w:ascii="宋体" w:hAnsi="宋体"/>
                <w:color w:val="auto"/>
              </w:rPr>
              <w:t>6</w:t>
            </w:r>
          </w:p>
        </w:tc>
        <w:tc>
          <w:tcPr>
            <w:tcW w:w="2268" w:type="dxa"/>
            <w:tcBorders>
              <w:top w:val="single" w:color="000000" w:sz="4" w:space="0"/>
              <w:left w:val="single" w:color="000000" w:sz="4" w:space="0"/>
              <w:bottom w:val="single" w:color="000000" w:sz="4" w:space="0"/>
              <w:right w:val="single" w:color="000000" w:sz="4" w:space="0"/>
            </w:tcBorders>
            <w:vAlign w:val="center"/>
          </w:tcPr>
          <w:p w14:paraId="32CB6464">
            <w:pPr>
              <w:snapToGrid w:val="0"/>
              <w:spacing w:line="360" w:lineRule="exact"/>
              <w:jc w:val="center"/>
              <w:rPr>
                <w:rStyle w:val="21"/>
                <w:rFonts w:ascii="宋体" w:hAnsi="宋体"/>
                <w:color w:val="auto"/>
                <w:szCs w:val="21"/>
              </w:rPr>
            </w:pPr>
            <w:r>
              <w:rPr>
                <w:rStyle w:val="21"/>
                <w:rFonts w:ascii="宋体" w:hAnsi="宋体"/>
                <w:color w:val="auto"/>
                <w:szCs w:val="21"/>
              </w:rPr>
              <w:t>附加条件</w:t>
            </w:r>
          </w:p>
        </w:tc>
        <w:tc>
          <w:tcPr>
            <w:tcW w:w="5387" w:type="dxa"/>
            <w:tcBorders>
              <w:top w:val="single" w:color="000000" w:sz="4" w:space="0"/>
              <w:left w:val="single" w:color="000000" w:sz="4" w:space="0"/>
              <w:bottom w:val="single" w:color="000000" w:sz="4" w:space="0"/>
              <w:right w:val="single" w:color="000000" w:sz="4" w:space="0"/>
            </w:tcBorders>
            <w:vAlign w:val="center"/>
          </w:tcPr>
          <w:p w14:paraId="1ADBDA62">
            <w:pPr>
              <w:snapToGrid w:val="0"/>
              <w:rPr>
                <w:rStyle w:val="21"/>
                <w:rFonts w:ascii="宋体" w:hAnsi="宋体"/>
                <w:color w:val="auto"/>
                <w:szCs w:val="21"/>
              </w:rPr>
            </w:pPr>
            <w:r>
              <w:rPr>
                <w:rStyle w:val="21"/>
                <w:rFonts w:ascii="宋体" w:hAnsi="宋体"/>
                <w:color w:val="auto"/>
              </w:rPr>
              <w:t>是否含有采购人不能接受的附加条件的</w:t>
            </w:r>
          </w:p>
        </w:tc>
      </w:tr>
      <w:tr w14:paraId="5488A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jc w:val="center"/>
        </w:trPr>
        <w:tc>
          <w:tcPr>
            <w:tcW w:w="675" w:type="dxa"/>
            <w:tcBorders>
              <w:top w:val="single" w:color="000000" w:sz="4" w:space="0"/>
              <w:left w:val="single" w:color="000000" w:sz="4" w:space="0"/>
              <w:bottom w:val="single" w:color="000000" w:sz="4" w:space="0"/>
              <w:right w:val="single" w:color="000000" w:sz="4" w:space="0"/>
            </w:tcBorders>
          </w:tcPr>
          <w:p w14:paraId="10FB32DF">
            <w:pPr>
              <w:jc w:val="center"/>
              <w:rPr>
                <w:rStyle w:val="21"/>
                <w:rFonts w:ascii="宋体" w:hAnsi="宋体"/>
                <w:color w:val="auto"/>
              </w:rPr>
            </w:pPr>
            <w:r>
              <w:rPr>
                <w:rStyle w:val="21"/>
                <w:rFonts w:ascii="宋体" w:hAnsi="宋体"/>
                <w:color w:val="auto"/>
              </w:rPr>
              <w:t>7</w:t>
            </w:r>
          </w:p>
        </w:tc>
        <w:tc>
          <w:tcPr>
            <w:tcW w:w="2268" w:type="dxa"/>
            <w:tcBorders>
              <w:top w:val="single" w:color="000000" w:sz="4" w:space="0"/>
              <w:left w:val="single" w:color="000000" w:sz="4" w:space="0"/>
              <w:bottom w:val="single" w:color="000000" w:sz="4" w:space="0"/>
              <w:right w:val="single" w:color="000000" w:sz="4" w:space="0"/>
            </w:tcBorders>
            <w:vAlign w:val="center"/>
          </w:tcPr>
          <w:p w14:paraId="19F9F40B">
            <w:pPr>
              <w:jc w:val="center"/>
              <w:rPr>
                <w:rStyle w:val="21"/>
                <w:rFonts w:ascii="宋体" w:hAnsi="宋体"/>
                <w:color w:val="auto"/>
              </w:rPr>
            </w:pPr>
            <w:r>
              <w:rPr>
                <w:rStyle w:val="21"/>
                <w:rFonts w:ascii="宋体" w:hAnsi="宋体"/>
                <w:color w:val="auto"/>
              </w:rPr>
              <w:t>其他</w:t>
            </w:r>
          </w:p>
        </w:tc>
        <w:tc>
          <w:tcPr>
            <w:tcW w:w="5387" w:type="dxa"/>
            <w:tcBorders>
              <w:top w:val="single" w:color="000000" w:sz="4" w:space="0"/>
              <w:left w:val="single" w:color="000000" w:sz="4" w:space="0"/>
              <w:bottom w:val="single" w:color="000000" w:sz="4" w:space="0"/>
              <w:right w:val="single" w:color="000000" w:sz="4" w:space="0"/>
            </w:tcBorders>
          </w:tcPr>
          <w:p w14:paraId="7DD4C62A">
            <w:pPr>
              <w:rPr>
                <w:rStyle w:val="21"/>
                <w:rFonts w:ascii="宋体" w:hAnsi="宋体"/>
                <w:color w:val="auto"/>
              </w:rPr>
            </w:pPr>
            <w:r>
              <w:rPr>
                <w:rStyle w:val="21"/>
                <w:rFonts w:ascii="宋体" w:hAnsi="宋体"/>
                <w:color w:val="auto"/>
                <w:szCs w:val="21"/>
              </w:rPr>
              <w:t>是否存在法律、法规和</w:t>
            </w:r>
            <w:r>
              <w:rPr>
                <w:rStyle w:val="21"/>
                <w:rFonts w:hint="eastAsia" w:ascii="宋体" w:hAnsi="宋体"/>
                <w:color w:val="auto"/>
                <w:szCs w:val="21"/>
                <w:lang w:eastAsia="zh-CN"/>
              </w:rPr>
              <w:t>采购</w:t>
            </w:r>
            <w:r>
              <w:rPr>
                <w:rStyle w:val="21"/>
                <w:rFonts w:ascii="宋体" w:hAnsi="宋体"/>
                <w:color w:val="auto"/>
                <w:szCs w:val="21"/>
              </w:rPr>
              <w:t>文件规定的其他投标无效情形</w:t>
            </w:r>
          </w:p>
        </w:tc>
      </w:tr>
    </w:tbl>
    <w:p w14:paraId="36CC6AF6">
      <w:pPr>
        <w:pStyle w:val="24"/>
        <w:spacing w:before="110"/>
        <w:ind w:left="593"/>
        <w:rPr>
          <w:rStyle w:val="21"/>
          <w:rFonts w:hint="eastAsia" w:asciiTheme="minorEastAsia" w:hAnsiTheme="minorEastAsia" w:eastAsiaTheme="minorEastAsia" w:cstheme="minorEastAsia"/>
          <w:color w:val="auto"/>
        </w:rPr>
      </w:pPr>
    </w:p>
    <w:p w14:paraId="3378DF9E">
      <w:pPr>
        <w:pStyle w:val="24"/>
        <w:spacing w:before="110"/>
        <w:ind w:left="593"/>
        <w:rPr>
          <w:rStyle w:val="21"/>
          <w:rFonts w:asciiTheme="minorEastAsia" w:hAnsiTheme="minorEastAsia" w:eastAsiaTheme="minorEastAsia" w:cstheme="minorEastAsia"/>
          <w:color w:val="auto"/>
        </w:rPr>
      </w:pPr>
      <w:r>
        <w:rPr>
          <w:rStyle w:val="21"/>
          <w:rFonts w:hint="eastAsia" w:asciiTheme="minorEastAsia" w:hAnsiTheme="minorEastAsia" w:eastAsiaTheme="minorEastAsia" w:cstheme="minorEastAsia"/>
          <w:color w:val="auto"/>
        </w:rPr>
        <w:t>注：1、上述内容合格用“√”表示，不合格用“×”表示；</w:t>
      </w:r>
    </w:p>
    <w:p w14:paraId="68E9CC69">
      <w:pPr>
        <w:pStyle w:val="24"/>
        <w:spacing w:before="36"/>
        <w:ind w:left="593"/>
        <w:rPr>
          <w:rStyle w:val="21"/>
          <w:rFonts w:asciiTheme="minorEastAsia" w:hAnsiTheme="minorEastAsia" w:eastAsiaTheme="minorEastAsia" w:cstheme="minorEastAsia"/>
          <w:color w:val="auto"/>
        </w:rPr>
        <w:sectPr>
          <w:pgSz w:w="11850" w:h="16783"/>
          <w:pgMar w:top="1417" w:right="1757" w:bottom="1417" w:left="1757" w:header="874" w:footer="975" w:gutter="0"/>
          <w:pgNumType w:fmt="decimal"/>
          <w:cols w:space="720" w:num="1"/>
        </w:sectPr>
      </w:pPr>
      <w:r>
        <w:rPr>
          <w:rStyle w:val="21"/>
          <w:rFonts w:hint="eastAsia" w:asciiTheme="minorEastAsia" w:hAnsiTheme="minorEastAsia" w:eastAsiaTheme="minorEastAsia" w:cstheme="minorEastAsia"/>
          <w:color w:val="auto"/>
        </w:rPr>
        <w:t>2、以上内容有一项不合格的，则初步评审的综合评定结果为不合格</w:t>
      </w:r>
    </w:p>
    <w:p w14:paraId="2BB5CD5D">
      <w:pPr>
        <w:keepNext w:val="0"/>
        <w:keepLines w:val="0"/>
        <w:pageBreakBefore w:val="0"/>
        <w:widowControl w:val="0"/>
        <w:kinsoku/>
        <w:wordWrap/>
        <w:overflowPunct/>
        <w:topLinePunct w:val="0"/>
        <w:autoSpaceDE/>
        <w:autoSpaceDN/>
        <w:bidi w:val="0"/>
        <w:adjustRightInd/>
        <w:snapToGrid/>
        <w:spacing w:line="520" w:lineRule="exact"/>
        <w:ind w:firstLine="562" w:firstLineChars="200"/>
        <w:textAlignment w:val="auto"/>
        <w:rPr>
          <w:rFonts w:hint="eastAsia" w:asciiTheme="minorEastAsia" w:hAnsiTheme="minorEastAsia" w:eastAsiaTheme="minorEastAsia" w:cstheme="minorEastAsia"/>
          <w:b/>
          <w:bCs/>
          <w:color w:val="auto"/>
          <w:sz w:val="28"/>
          <w:szCs w:val="28"/>
          <w:lang w:val="en-US" w:eastAsia="zh-CN"/>
        </w:rPr>
      </w:pPr>
      <w:r>
        <w:rPr>
          <w:rFonts w:hint="eastAsia" w:asciiTheme="minorEastAsia" w:hAnsiTheme="minorEastAsia" w:cstheme="minorEastAsia"/>
          <w:b/>
          <w:bCs/>
          <w:color w:val="auto"/>
          <w:sz w:val="28"/>
          <w:szCs w:val="28"/>
          <w:lang w:val="en-US" w:eastAsia="zh-CN"/>
        </w:rPr>
        <w:t>4.</w:t>
      </w:r>
      <w:r>
        <w:rPr>
          <w:rFonts w:hint="eastAsia" w:asciiTheme="minorEastAsia" w:hAnsiTheme="minorEastAsia" w:eastAsiaTheme="minorEastAsia" w:cstheme="minorEastAsia"/>
          <w:b/>
          <w:bCs/>
          <w:color w:val="auto"/>
          <w:sz w:val="28"/>
          <w:szCs w:val="28"/>
          <w:lang w:val="en-US" w:eastAsia="zh-CN"/>
        </w:rPr>
        <w:t>评审因素及评分标准</w:t>
      </w:r>
    </w:p>
    <w:p w14:paraId="14554C60">
      <w:pPr>
        <w:pStyle w:val="8"/>
        <w:ind w:left="0" w:leftChars="0" w:firstLine="0" w:firstLineChars="0"/>
        <w:jc w:val="center"/>
        <w:rPr>
          <w:rFonts w:hint="eastAsia" w:ascii="黑体" w:hAnsi="黑体" w:eastAsia="黑体" w:cstheme="minorBidi"/>
          <w:b/>
          <w:color w:val="auto"/>
          <w:kern w:val="2"/>
          <w:sz w:val="28"/>
          <w:szCs w:val="28"/>
          <w:lang w:val="en-US" w:eastAsia="zh-CN" w:bidi="ar-SA"/>
        </w:rPr>
      </w:pPr>
      <w:r>
        <w:rPr>
          <w:rFonts w:hint="eastAsia" w:ascii="黑体" w:hAnsi="黑体" w:eastAsia="黑体" w:cstheme="minorBidi"/>
          <w:b/>
          <w:color w:val="auto"/>
          <w:kern w:val="2"/>
          <w:sz w:val="28"/>
          <w:szCs w:val="28"/>
          <w:lang w:val="en-US" w:eastAsia="zh-CN" w:bidi="ar-SA"/>
        </w:rPr>
        <w:t>评审因素和标准</w:t>
      </w:r>
    </w:p>
    <w:tbl>
      <w:tblPr>
        <w:tblStyle w:val="15"/>
        <w:tblW w:w="88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25"/>
        <w:gridCol w:w="952"/>
        <w:gridCol w:w="711"/>
        <w:gridCol w:w="763"/>
        <w:gridCol w:w="5794"/>
      </w:tblGrid>
      <w:tr w14:paraId="3ED99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66" w:hRule="atLeast"/>
        </w:trPr>
        <w:tc>
          <w:tcPr>
            <w:tcW w:w="625" w:type="dxa"/>
            <w:noWrap w:val="0"/>
            <w:vAlign w:val="center"/>
          </w:tcPr>
          <w:p w14:paraId="37B94DFD">
            <w:pPr>
              <w:keepNext w:val="0"/>
              <w:keepLines w:val="0"/>
              <w:pageBreakBefore w:val="0"/>
              <w:widowControl w:val="0"/>
              <w:kinsoku/>
              <w:wordWrap/>
              <w:overflowPunct/>
              <w:topLinePunct w:val="0"/>
              <w:bidi w:val="0"/>
              <w:spacing w:line="360" w:lineRule="exact"/>
              <w:jc w:val="center"/>
              <w:textAlignment w:val="center"/>
              <w:rPr>
                <w:rFonts w:hint="eastAsia" w:ascii="宋体" w:hAnsi="宋体" w:eastAsia="宋体" w:cs="宋体"/>
                <w:b w:val="0"/>
                <w:bCs w:val="0"/>
                <w:color w:val="auto"/>
                <w:sz w:val="21"/>
                <w:szCs w:val="21"/>
              </w:rPr>
            </w:pPr>
            <w:r>
              <w:rPr>
                <w:rFonts w:hint="eastAsia" w:ascii="宋体" w:hAnsi="宋体" w:eastAsia="宋体" w:cs="宋体"/>
                <w:b w:val="0"/>
                <w:bCs w:val="0"/>
                <w:color w:val="auto"/>
                <w:kern w:val="0"/>
                <w:sz w:val="21"/>
                <w:szCs w:val="21"/>
                <w:lang w:bidi="ar"/>
              </w:rPr>
              <w:t>序号</w:t>
            </w:r>
          </w:p>
        </w:tc>
        <w:tc>
          <w:tcPr>
            <w:tcW w:w="952" w:type="dxa"/>
            <w:noWrap w:val="0"/>
            <w:vAlign w:val="center"/>
          </w:tcPr>
          <w:p w14:paraId="43E402F4">
            <w:pPr>
              <w:keepNext w:val="0"/>
              <w:keepLines w:val="0"/>
              <w:pageBreakBefore w:val="0"/>
              <w:widowControl w:val="0"/>
              <w:kinsoku/>
              <w:wordWrap/>
              <w:overflowPunct/>
              <w:topLinePunct w:val="0"/>
              <w:bidi w:val="0"/>
              <w:spacing w:line="360" w:lineRule="exact"/>
              <w:jc w:val="center"/>
              <w:textAlignment w:val="center"/>
              <w:rPr>
                <w:rFonts w:hint="eastAsia" w:ascii="宋体" w:hAnsi="宋体" w:eastAsia="宋体" w:cs="宋体"/>
                <w:b w:val="0"/>
                <w:bCs w:val="0"/>
                <w:color w:val="auto"/>
                <w:kern w:val="0"/>
                <w:sz w:val="21"/>
                <w:szCs w:val="21"/>
                <w:lang w:bidi="ar"/>
              </w:rPr>
            </w:pPr>
            <w:r>
              <w:rPr>
                <w:rFonts w:hint="eastAsia" w:ascii="宋体" w:hAnsi="宋体" w:eastAsia="宋体" w:cs="宋体"/>
                <w:b w:val="0"/>
                <w:bCs w:val="0"/>
                <w:color w:val="auto"/>
                <w:kern w:val="0"/>
                <w:sz w:val="21"/>
                <w:szCs w:val="21"/>
                <w:lang w:bidi="ar"/>
              </w:rPr>
              <w:t>评审因素</w:t>
            </w:r>
          </w:p>
        </w:tc>
        <w:tc>
          <w:tcPr>
            <w:tcW w:w="7268" w:type="dxa"/>
            <w:gridSpan w:val="3"/>
            <w:noWrap w:val="0"/>
            <w:vAlign w:val="center"/>
          </w:tcPr>
          <w:p w14:paraId="231C61C3">
            <w:pPr>
              <w:keepNext w:val="0"/>
              <w:keepLines w:val="0"/>
              <w:pageBreakBefore w:val="0"/>
              <w:widowControl w:val="0"/>
              <w:kinsoku/>
              <w:wordWrap/>
              <w:overflowPunct/>
              <w:topLinePunct w:val="0"/>
              <w:bidi w:val="0"/>
              <w:spacing w:line="360" w:lineRule="exact"/>
              <w:jc w:val="center"/>
              <w:textAlignment w:val="center"/>
              <w:rPr>
                <w:rFonts w:hint="eastAsia" w:ascii="宋体" w:hAnsi="宋体" w:eastAsia="宋体" w:cs="宋体"/>
                <w:b w:val="0"/>
                <w:bCs w:val="0"/>
                <w:color w:val="auto"/>
                <w:kern w:val="0"/>
                <w:sz w:val="21"/>
                <w:szCs w:val="21"/>
                <w:lang w:val="en-US" w:eastAsia="zh-CN" w:bidi="ar"/>
              </w:rPr>
            </w:pPr>
            <w:r>
              <w:rPr>
                <w:rFonts w:hint="eastAsia" w:ascii="宋体" w:hAnsi="宋体" w:eastAsia="宋体" w:cs="宋体"/>
                <w:b w:val="0"/>
                <w:bCs w:val="0"/>
                <w:color w:val="auto"/>
                <w:kern w:val="0"/>
                <w:sz w:val="21"/>
                <w:szCs w:val="21"/>
                <w:lang w:bidi="ar"/>
              </w:rPr>
              <w:t>评</w:t>
            </w:r>
            <w:r>
              <w:rPr>
                <w:rFonts w:hint="eastAsia" w:ascii="宋体" w:hAnsi="宋体" w:eastAsia="宋体" w:cs="宋体"/>
                <w:b w:val="0"/>
                <w:bCs w:val="0"/>
                <w:color w:val="auto"/>
                <w:kern w:val="0"/>
                <w:sz w:val="21"/>
                <w:szCs w:val="21"/>
                <w:lang w:val="en-US" w:eastAsia="zh-CN" w:bidi="ar"/>
              </w:rPr>
              <w:t>分标准</w:t>
            </w:r>
          </w:p>
        </w:tc>
      </w:tr>
      <w:tr w14:paraId="65777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5" w:hRule="atLeast"/>
        </w:trPr>
        <w:tc>
          <w:tcPr>
            <w:tcW w:w="625" w:type="dxa"/>
            <w:vMerge w:val="restart"/>
            <w:noWrap w:val="0"/>
            <w:vAlign w:val="center"/>
          </w:tcPr>
          <w:p w14:paraId="20E8ACCF">
            <w:pPr>
              <w:pStyle w:val="5"/>
              <w:keepNext w:val="0"/>
              <w:keepLines w:val="0"/>
              <w:pageBreakBefore w:val="0"/>
              <w:widowControl w:val="0"/>
              <w:kinsoku/>
              <w:wordWrap/>
              <w:overflowPunct/>
              <w:topLinePunct w:val="0"/>
              <w:bidi w:val="0"/>
              <w:spacing w:line="360" w:lineRule="exact"/>
              <w:ind w:left="0" w:leftChars="0" w:firstLine="210" w:firstLineChars="100"/>
              <w:jc w:val="left"/>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1</w:t>
            </w:r>
          </w:p>
        </w:tc>
        <w:tc>
          <w:tcPr>
            <w:tcW w:w="952" w:type="dxa"/>
            <w:vMerge w:val="restart"/>
            <w:noWrap w:val="0"/>
            <w:vAlign w:val="center"/>
          </w:tcPr>
          <w:p w14:paraId="3CDE3B59">
            <w:pPr>
              <w:pStyle w:val="6"/>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报价</w:t>
            </w:r>
          </w:p>
          <w:p w14:paraId="2F5606D7">
            <w:pPr>
              <w:pStyle w:val="6"/>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40分</w:t>
            </w:r>
          </w:p>
        </w:tc>
        <w:tc>
          <w:tcPr>
            <w:tcW w:w="711" w:type="dxa"/>
            <w:noWrap w:val="0"/>
            <w:vAlign w:val="center"/>
          </w:tcPr>
          <w:p w14:paraId="03DB7600">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法律</w:t>
            </w:r>
          </w:p>
          <w:p w14:paraId="0A28DABD">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顾问</w:t>
            </w:r>
          </w:p>
          <w:p w14:paraId="54D6BFD9">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服务</w:t>
            </w:r>
          </w:p>
          <w:p w14:paraId="72BF1006">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费用</w:t>
            </w:r>
          </w:p>
          <w:p w14:paraId="633B61C9">
            <w:pPr>
              <w:keepNext w:val="0"/>
              <w:keepLines w:val="0"/>
              <w:pageBreakBefore w:val="0"/>
              <w:widowControl w:val="0"/>
              <w:kinsoku/>
              <w:wordWrap/>
              <w:overflowPunct/>
              <w:topLinePunct w:val="0"/>
              <w:bidi w:val="0"/>
              <w:adjustRightInd w:val="0"/>
              <w:snapToGrid w:val="0"/>
              <w:spacing w:line="360" w:lineRule="exact"/>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20分</w:t>
            </w:r>
          </w:p>
        </w:tc>
        <w:tc>
          <w:tcPr>
            <w:tcW w:w="6557" w:type="dxa"/>
            <w:gridSpan w:val="2"/>
            <w:noWrap w:val="0"/>
            <w:vAlign w:val="center"/>
          </w:tcPr>
          <w:p w14:paraId="198AFB9E">
            <w:pPr>
              <w:keepNext w:val="0"/>
              <w:keepLines w:val="0"/>
              <w:pageBreakBefore w:val="0"/>
              <w:widowControl w:val="0"/>
              <w:kinsoku/>
              <w:wordWrap/>
              <w:overflowPunct/>
              <w:topLinePunct w:val="0"/>
              <w:autoSpaceDE/>
              <w:autoSpaceDN/>
              <w:bidi w:val="0"/>
              <w:spacing w:line="360" w:lineRule="exact"/>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满足</w:t>
            </w:r>
            <w:r>
              <w:rPr>
                <w:rFonts w:hint="eastAsia" w:ascii="宋体" w:hAnsi="宋体" w:eastAsia="宋体" w:cs="宋体"/>
                <w:b w:val="0"/>
                <w:bCs w:val="0"/>
                <w:color w:val="auto"/>
                <w:sz w:val="21"/>
                <w:szCs w:val="21"/>
                <w:lang w:eastAsia="zh-CN"/>
              </w:rPr>
              <w:t>采购</w:t>
            </w:r>
            <w:r>
              <w:rPr>
                <w:rFonts w:hint="eastAsia" w:ascii="宋体" w:hAnsi="宋体" w:eastAsia="宋体" w:cs="宋体"/>
                <w:b w:val="0"/>
                <w:bCs w:val="0"/>
                <w:color w:val="auto"/>
                <w:sz w:val="21"/>
                <w:szCs w:val="21"/>
              </w:rPr>
              <w:t>文件要求且经</w:t>
            </w:r>
            <w:r>
              <w:rPr>
                <w:rFonts w:hint="eastAsia" w:ascii="宋体" w:hAnsi="宋体" w:eastAsia="宋体" w:cs="宋体"/>
                <w:b w:val="0"/>
                <w:bCs w:val="0"/>
                <w:color w:val="auto"/>
                <w:sz w:val="21"/>
                <w:szCs w:val="21"/>
                <w:lang w:eastAsia="zh-CN"/>
              </w:rPr>
              <w:t>评审小组</w:t>
            </w:r>
            <w:r>
              <w:rPr>
                <w:rFonts w:hint="eastAsia" w:ascii="宋体" w:hAnsi="宋体" w:eastAsia="宋体" w:cs="宋体"/>
                <w:b w:val="0"/>
                <w:bCs w:val="0"/>
                <w:color w:val="auto"/>
                <w:sz w:val="21"/>
                <w:szCs w:val="21"/>
              </w:rPr>
              <w:t>认定报价</w:t>
            </w:r>
            <w:r>
              <w:rPr>
                <w:rFonts w:hint="eastAsia" w:ascii="宋体" w:hAnsi="宋体" w:eastAsia="宋体" w:cs="宋体"/>
                <w:b/>
                <w:bCs/>
                <w:color w:val="auto"/>
                <w:sz w:val="21"/>
                <w:szCs w:val="21"/>
                <w:lang w:val="en-US" w:eastAsia="zh-CN"/>
              </w:rPr>
              <w:t>价格</w:t>
            </w:r>
            <w:r>
              <w:rPr>
                <w:rFonts w:hint="eastAsia" w:ascii="宋体" w:hAnsi="宋体" w:eastAsia="宋体" w:cs="宋体"/>
                <w:b/>
                <w:bCs/>
                <w:color w:val="auto"/>
                <w:sz w:val="21"/>
                <w:szCs w:val="21"/>
              </w:rPr>
              <w:t>最低的</w:t>
            </w:r>
            <w:r>
              <w:rPr>
                <w:rFonts w:hint="eastAsia" w:ascii="宋体" w:hAnsi="宋体" w:eastAsia="宋体" w:cs="宋体"/>
                <w:b/>
                <w:bCs/>
                <w:color w:val="auto"/>
                <w:sz w:val="21"/>
                <w:szCs w:val="21"/>
                <w:lang w:eastAsia="zh-CN"/>
              </w:rPr>
              <w:t>供应商</w:t>
            </w:r>
            <w:r>
              <w:rPr>
                <w:rFonts w:hint="eastAsia" w:ascii="宋体" w:hAnsi="宋体" w:eastAsia="宋体" w:cs="宋体"/>
                <w:b/>
                <w:bCs/>
                <w:color w:val="auto"/>
                <w:sz w:val="21"/>
                <w:szCs w:val="21"/>
              </w:rPr>
              <w:t>的价格为</w:t>
            </w:r>
            <w:r>
              <w:rPr>
                <w:rFonts w:hint="eastAsia" w:ascii="宋体" w:hAnsi="宋体" w:eastAsia="宋体" w:cs="宋体"/>
                <w:b/>
                <w:bCs/>
                <w:color w:val="auto"/>
                <w:sz w:val="21"/>
                <w:szCs w:val="21"/>
                <w:lang w:eastAsia="zh-CN"/>
              </w:rPr>
              <w:t>评标</w:t>
            </w:r>
            <w:r>
              <w:rPr>
                <w:rFonts w:hint="eastAsia" w:ascii="宋体" w:hAnsi="宋体" w:eastAsia="宋体" w:cs="宋体"/>
                <w:b/>
                <w:bCs/>
                <w:color w:val="auto"/>
                <w:sz w:val="21"/>
                <w:szCs w:val="21"/>
              </w:rPr>
              <w:t>基准价</w:t>
            </w:r>
            <w:r>
              <w:rPr>
                <w:rFonts w:hint="eastAsia" w:ascii="宋体" w:hAnsi="宋体" w:eastAsia="宋体" w:cs="宋体"/>
                <w:b w:val="0"/>
                <w:bCs w:val="0"/>
                <w:color w:val="auto"/>
                <w:sz w:val="21"/>
                <w:szCs w:val="21"/>
              </w:rPr>
              <w:t>，其价格分为满分</w:t>
            </w:r>
            <w:r>
              <w:rPr>
                <w:rFonts w:hint="eastAsia" w:ascii="宋体" w:hAnsi="宋体" w:eastAsia="宋体" w:cs="宋体"/>
                <w:b w:val="0"/>
                <w:bCs w:val="0"/>
                <w:color w:val="auto"/>
                <w:sz w:val="21"/>
                <w:szCs w:val="21"/>
                <w:lang w:val="en-US" w:eastAsia="zh-CN"/>
              </w:rPr>
              <w:t>20分</w:t>
            </w:r>
            <w:r>
              <w:rPr>
                <w:rFonts w:hint="eastAsia" w:ascii="宋体" w:hAnsi="宋体" w:eastAsia="宋体" w:cs="宋体"/>
                <w:b w:val="0"/>
                <w:bCs w:val="0"/>
                <w:color w:val="auto"/>
                <w:sz w:val="21"/>
                <w:szCs w:val="21"/>
              </w:rPr>
              <w:t>；其他</w:t>
            </w:r>
            <w:r>
              <w:rPr>
                <w:rFonts w:hint="eastAsia" w:ascii="宋体" w:hAnsi="宋体" w:eastAsia="宋体" w:cs="宋体"/>
                <w:b w:val="0"/>
                <w:bCs w:val="0"/>
                <w:color w:val="auto"/>
                <w:sz w:val="21"/>
                <w:szCs w:val="21"/>
                <w:lang w:eastAsia="zh-CN"/>
              </w:rPr>
              <w:t>供应商</w:t>
            </w:r>
            <w:r>
              <w:rPr>
                <w:rFonts w:hint="eastAsia" w:ascii="宋体" w:hAnsi="宋体" w:eastAsia="宋体" w:cs="宋体"/>
                <w:b w:val="0"/>
                <w:bCs w:val="0"/>
                <w:color w:val="auto"/>
                <w:sz w:val="21"/>
                <w:szCs w:val="21"/>
              </w:rPr>
              <w:t>的价格分统一按照以下公式计算：</w:t>
            </w:r>
          </w:p>
          <w:p w14:paraId="70AA1012">
            <w:pPr>
              <w:keepNext w:val="0"/>
              <w:keepLines w:val="0"/>
              <w:pageBreakBefore w:val="0"/>
              <w:widowControl w:val="0"/>
              <w:kinsoku/>
              <w:wordWrap/>
              <w:overflowPunct/>
              <w:topLinePunct w:val="0"/>
              <w:autoSpaceDE/>
              <w:autoSpaceDN/>
              <w:bidi w:val="0"/>
              <w:spacing w:line="360" w:lineRule="exact"/>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各</w:t>
            </w:r>
            <w:r>
              <w:rPr>
                <w:rFonts w:hint="eastAsia" w:ascii="宋体" w:hAnsi="宋体" w:eastAsia="宋体" w:cs="宋体"/>
                <w:b/>
                <w:bCs/>
                <w:color w:val="auto"/>
                <w:sz w:val="21"/>
                <w:szCs w:val="21"/>
                <w:highlight w:val="none"/>
                <w:lang w:eastAsia="zh-CN"/>
              </w:rPr>
              <w:t>投标人</w:t>
            </w:r>
            <w:r>
              <w:rPr>
                <w:rFonts w:hint="eastAsia" w:ascii="宋体" w:hAnsi="宋体" w:eastAsia="宋体" w:cs="宋体"/>
                <w:b/>
                <w:bCs/>
                <w:color w:val="auto"/>
                <w:sz w:val="21"/>
                <w:szCs w:val="21"/>
                <w:highlight w:val="none"/>
              </w:rPr>
              <w:t>报价得分=</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评标基准价／各</w:t>
            </w:r>
            <w:r>
              <w:rPr>
                <w:rFonts w:hint="eastAsia" w:ascii="宋体" w:hAnsi="宋体" w:eastAsia="宋体" w:cs="宋体"/>
                <w:b/>
                <w:bCs/>
                <w:color w:val="auto"/>
                <w:sz w:val="21"/>
                <w:szCs w:val="21"/>
                <w:highlight w:val="none"/>
                <w:lang w:eastAsia="zh-CN"/>
              </w:rPr>
              <w:t>投标人</w:t>
            </w:r>
            <w:r>
              <w:rPr>
                <w:rFonts w:hint="eastAsia" w:ascii="宋体" w:hAnsi="宋体" w:eastAsia="宋体" w:cs="宋体"/>
                <w:b/>
                <w:bCs/>
                <w:color w:val="auto"/>
                <w:sz w:val="21"/>
                <w:szCs w:val="21"/>
                <w:highlight w:val="none"/>
              </w:rPr>
              <w:t>报价</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×价格权值×100</w:t>
            </w:r>
          </w:p>
          <w:p w14:paraId="5280E01D">
            <w:pPr>
              <w:keepNext w:val="0"/>
              <w:keepLines w:val="0"/>
              <w:pageBreakBefore w:val="0"/>
              <w:widowControl w:val="0"/>
              <w:kinsoku/>
              <w:wordWrap/>
              <w:overflowPunct/>
              <w:topLinePunct w:val="0"/>
              <w:autoSpaceDE/>
              <w:autoSpaceDN/>
              <w:bidi w:val="0"/>
              <w:spacing w:line="360" w:lineRule="exact"/>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评审过程中，不得去掉报价中的最高报价和最低报价。</w:t>
            </w:r>
          </w:p>
          <w:p w14:paraId="2130B2EA">
            <w:pPr>
              <w:pStyle w:val="13"/>
              <w:keepNext w:val="0"/>
              <w:keepLines w:val="0"/>
              <w:pageBreakBefore w:val="0"/>
              <w:widowControl w:val="0"/>
              <w:numPr>
                <w:ilvl w:val="0"/>
                <w:numId w:val="0"/>
              </w:numPr>
              <w:kinsoku/>
              <w:wordWrap/>
              <w:overflowPunct/>
              <w:topLinePunct w:val="0"/>
              <w:autoSpaceDE/>
              <w:autoSpaceDN/>
              <w:bidi w:val="0"/>
              <w:spacing w:after="0" w:line="360" w:lineRule="exact"/>
              <w:ind w:leftChars="0"/>
              <w:jc w:val="left"/>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sz w:val="21"/>
                <w:szCs w:val="21"/>
                <w:lang w:eastAsia="zh-CN"/>
              </w:rPr>
              <w:t>评审小组</w:t>
            </w:r>
            <w:r>
              <w:rPr>
                <w:rFonts w:hint="eastAsia" w:ascii="宋体" w:hAnsi="宋体" w:eastAsia="宋体" w:cs="宋体"/>
                <w:b w:val="0"/>
                <w:bCs w:val="0"/>
                <w:color w:val="auto"/>
                <w:sz w:val="21"/>
                <w:szCs w:val="21"/>
              </w:rPr>
              <w:t>认为</w:t>
            </w:r>
            <w:r>
              <w:rPr>
                <w:rFonts w:hint="eastAsia" w:ascii="宋体" w:hAnsi="宋体" w:eastAsia="宋体" w:cs="宋体"/>
                <w:b w:val="0"/>
                <w:bCs w:val="0"/>
                <w:color w:val="auto"/>
                <w:sz w:val="21"/>
                <w:szCs w:val="21"/>
                <w:lang w:eastAsia="zh-CN"/>
              </w:rPr>
              <w:t>供应商</w:t>
            </w:r>
            <w:r>
              <w:rPr>
                <w:rFonts w:hint="eastAsia" w:ascii="宋体" w:hAnsi="宋体" w:eastAsia="宋体" w:cs="宋体"/>
                <w:b w:val="0"/>
                <w:bCs w:val="0"/>
                <w:color w:val="auto"/>
                <w:sz w:val="21"/>
                <w:szCs w:val="21"/>
              </w:rPr>
              <w:t>的报价明显低于其他通过符合性审查</w:t>
            </w:r>
            <w:r>
              <w:rPr>
                <w:rFonts w:hint="eastAsia" w:ascii="宋体" w:hAnsi="宋体" w:eastAsia="宋体" w:cs="宋体"/>
                <w:b w:val="0"/>
                <w:bCs w:val="0"/>
                <w:color w:val="auto"/>
                <w:sz w:val="21"/>
                <w:szCs w:val="21"/>
                <w:lang w:eastAsia="zh-CN"/>
              </w:rPr>
              <w:t>供应商</w:t>
            </w:r>
            <w:r>
              <w:rPr>
                <w:rFonts w:hint="eastAsia" w:ascii="宋体" w:hAnsi="宋体" w:eastAsia="宋体" w:cs="宋体"/>
                <w:b w:val="0"/>
                <w:bCs w:val="0"/>
                <w:color w:val="auto"/>
                <w:sz w:val="21"/>
                <w:szCs w:val="21"/>
              </w:rPr>
              <w:t>的报价，</w:t>
            </w:r>
            <w:r>
              <w:rPr>
                <w:rFonts w:hint="eastAsia" w:ascii="宋体" w:hAnsi="宋体" w:eastAsia="宋体" w:cs="宋体"/>
                <w:b w:val="0"/>
                <w:bCs w:val="0"/>
                <w:color w:val="auto"/>
                <w:sz w:val="21"/>
                <w:szCs w:val="21"/>
                <w:lang w:eastAsia="zh-CN"/>
              </w:rPr>
              <w:t>供应商</w:t>
            </w:r>
            <w:r>
              <w:rPr>
                <w:rFonts w:hint="eastAsia" w:ascii="宋体" w:hAnsi="宋体" w:eastAsia="宋体" w:cs="宋体"/>
                <w:b w:val="0"/>
                <w:bCs w:val="0"/>
                <w:color w:val="auto"/>
                <w:sz w:val="21"/>
                <w:szCs w:val="21"/>
              </w:rPr>
              <w:t>不能证明其报价合理性的，</w:t>
            </w:r>
            <w:r>
              <w:rPr>
                <w:rFonts w:hint="eastAsia" w:ascii="宋体" w:hAnsi="宋体" w:eastAsia="宋体" w:cs="宋体"/>
                <w:b w:val="0"/>
                <w:bCs w:val="0"/>
                <w:color w:val="auto"/>
                <w:sz w:val="21"/>
                <w:szCs w:val="21"/>
                <w:lang w:eastAsia="zh-CN"/>
              </w:rPr>
              <w:t>评审小组</w:t>
            </w:r>
            <w:r>
              <w:rPr>
                <w:rFonts w:hint="eastAsia" w:ascii="宋体" w:hAnsi="宋体" w:eastAsia="宋体" w:cs="宋体"/>
                <w:b w:val="0"/>
                <w:bCs w:val="0"/>
                <w:color w:val="auto"/>
                <w:sz w:val="21"/>
                <w:szCs w:val="21"/>
              </w:rPr>
              <w:t>将其作为无效</w:t>
            </w:r>
            <w:r>
              <w:rPr>
                <w:rFonts w:hint="eastAsia" w:ascii="宋体" w:hAnsi="宋体" w:eastAsia="宋体" w:cs="宋体"/>
                <w:b w:val="0"/>
                <w:bCs w:val="0"/>
                <w:color w:val="auto"/>
                <w:sz w:val="21"/>
                <w:szCs w:val="21"/>
                <w:lang w:eastAsia="zh-CN"/>
              </w:rPr>
              <w:t>报价</w:t>
            </w:r>
            <w:r>
              <w:rPr>
                <w:rFonts w:hint="eastAsia" w:ascii="宋体" w:hAnsi="宋体" w:eastAsia="宋体" w:cs="宋体"/>
                <w:b w:val="0"/>
                <w:bCs w:val="0"/>
                <w:color w:val="auto"/>
                <w:sz w:val="21"/>
                <w:szCs w:val="21"/>
              </w:rPr>
              <w:t>处理。</w:t>
            </w:r>
          </w:p>
        </w:tc>
      </w:tr>
      <w:tr w14:paraId="2A914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625" w:type="dxa"/>
            <w:vMerge w:val="continue"/>
            <w:noWrap w:val="0"/>
            <w:vAlign w:val="center"/>
          </w:tcPr>
          <w:p w14:paraId="7C0E5CEF">
            <w:pPr>
              <w:pStyle w:val="5"/>
              <w:keepNext w:val="0"/>
              <w:keepLines w:val="0"/>
              <w:pageBreakBefore w:val="0"/>
              <w:widowControl w:val="0"/>
              <w:kinsoku/>
              <w:wordWrap/>
              <w:overflowPunct/>
              <w:topLinePunct w:val="0"/>
              <w:bidi w:val="0"/>
              <w:spacing w:line="360" w:lineRule="exact"/>
              <w:ind w:left="0" w:leftChars="0" w:firstLine="210" w:firstLineChars="100"/>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6B6C7E8C">
            <w:pPr>
              <w:pStyle w:val="6"/>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highlight w:val="none"/>
                <w:lang w:val="en-US" w:eastAsia="zh-CN"/>
              </w:rPr>
            </w:pPr>
          </w:p>
        </w:tc>
        <w:tc>
          <w:tcPr>
            <w:tcW w:w="711" w:type="dxa"/>
            <w:noWrap w:val="0"/>
            <w:vAlign w:val="center"/>
          </w:tcPr>
          <w:p w14:paraId="0F4EE1E9">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案件</w:t>
            </w:r>
          </w:p>
          <w:p w14:paraId="219985C5">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代理</w:t>
            </w:r>
          </w:p>
          <w:p w14:paraId="492408D4">
            <w:pPr>
              <w:keepNext w:val="0"/>
              <w:keepLines w:val="0"/>
              <w:pageBreakBefore w:val="0"/>
              <w:widowControl w:val="0"/>
              <w:kinsoku/>
              <w:wordWrap/>
              <w:overflowPunct/>
              <w:topLinePunct w:val="0"/>
              <w:bidi w:val="0"/>
              <w:adjustRightInd w:val="0"/>
              <w:snapToGrid w:val="0"/>
              <w:spacing w:line="360" w:lineRule="exact"/>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费用</w:t>
            </w:r>
          </w:p>
          <w:p w14:paraId="2E520F1D">
            <w:pPr>
              <w:keepNext w:val="0"/>
              <w:keepLines w:val="0"/>
              <w:pageBreakBefore w:val="0"/>
              <w:widowControl w:val="0"/>
              <w:kinsoku/>
              <w:wordWrap/>
              <w:overflowPunct/>
              <w:topLinePunct w:val="0"/>
              <w:bidi w:val="0"/>
              <w:adjustRightInd w:val="0"/>
              <w:snapToGrid w:val="0"/>
              <w:spacing w:line="360" w:lineRule="exact"/>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20分</w:t>
            </w:r>
          </w:p>
        </w:tc>
        <w:tc>
          <w:tcPr>
            <w:tcW w:w="6557" w:type="dxa"/>
            <w:gridSpan w:val="2"/>
            <w:noWrap w:val="0"/>
            <w:vAlign w:val="center"/>
          </w:tcPr>
          <w:p w14:paraId="7AAB65B9">
            <w:pPr>
              <w:keepNext w:val="0"/>
              <w:keepLines w:val="0"/>
              <w:pageBreakBefore w:val="0"/>
              <w:widowControl w:val="0"/>
              <w:kinsoku/>
              <w:wordWrap/>
              <w:overflowPunct/>
              <w:topLinePunct w:val="0"/>
              <w:autoSpaceDE/>
              <w:autoSpaceDN/>
              <w:bidi w:val="0"/>
              <w:spacing w:line="360" w:lineRule="exact"/>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满足</w:t>
            </w:r>
            <w:r>
              <w:rPr>
                <w:rFonts w:hint="eastAsia" w:ascii="宋体" w:hAnsi="宋体" w:eastAsia="宋体" w:cs="宋体"/>
                <w:b w:val="0"/>
                <w:bCs w:val="0"/>
                <w:color w:val="auto"/>
                <w:sz w:val="21"/>
                <w:szCs w:val="21"/>
                <w:lang w:eastAsia="zh-CN"/>
              </w:rPr>
              <w:t>采购</w:t>
            </w:r>
            <w:r>
              <w:rPr>
                <w:rFonts w:hint="eastAsia" w:ascii="宋体" w:hAnsi="宋体" w:eastAsia="宋体" w:cs="宋体"/>
                <w:b w:val="0"/>
                <w:bCs w:val="0"/>
                <w:color w:val="auto"/>
                <w:sz w:val="21"/>
                <w:szCs w:val="21"/>
              </w:rPr>
              <w:t>文件要求且经</w:t>
            </w:r>
            <w:r>
              <w:rPr>
                <w:rFonts w:hint="eastAsia" w:ascii="宋体" w:hAnsi="宋体" w:eastAsia="宋体" w:cs="宋体"/>
                <w:b w:val="0"/>
                <w:bCs w:val="0"/>
                <w:color w:val="auto"/>
                <w:sz w:val="21"/>
                <w:szCs w:val="21"/>
                <w:lang w:eastAsia="zh-CN"/>
              </w:rPr>
              <w:t>评审小组</w:t>
            </w:r>
            <w:r>
              <w:rPr>
                <w:rFonts w:hint="eastAsia" w:ascii="宋体" w:hAnsi="宋体" w:eastAsia="宋体" w:cs="宋体"/>
                <w:b w:val="0"/>
                <w:bCs w:val="0"/>
                <w:color w:val="auto"/>
                <w:sz w:val="21"/>
                <w:szCs w:val="21"/>
              </w:rPr>
              <w:t>认定</w:t>
            </w:r>
            <w:r>
              <w:rPr>
                <w:rFonts w:hint="eastAsia" w:ascii="宋体" w:hAnsi="宋体" w:eastAsia="宋体" w:cs="宋体"/>
                <w:b/>
                <w:bCs/>
                <w:color w:val="auto"/>
                <w:sz w:val="21"/>
                <w:szCs w:val="21"/>
                <w:lang w:val="en-US" w:eastAsia="zh-CN"/>
              </w:rPr>
              <w:t>报价最低的</w:t>
            </w:r>
            <w:r>
              <w:rPr>
                <w:rFonts w:hint="eastAsia" w:ascii="宋体" w:hAnsi="宋体" w:eastAsia="宋体" w:cs="宋体"/>
                <w:b/>
                <w:bCs/>
                <w:color w:val="auto"/>
                <w:sz w:val="21"/>
                <w:szCs w:val="21"/>
                <w:highlight w:val="none"/>
                <w:lang w:val="en-US" w:eastAsia="zh-CN"/>
              </w:rPr>
              <w:t>投标折扣率</w:t>
            </w:r>
            <w:r>
              <w:rPr>
                <w:rFonts w:hint="eastAsia" w:ascii="宋体" w:hAnsi="宋体" w:eastAsia="宋体" w:cs="宋体"/>
                <w:b/>
                <w:bCs/>
                <w:color w:val="auto"/>
                <w:sz w:val="21"/>
                <w:szCs w:val="21"/>
              </w:rPr>
              <w:t>为</w:t>
            </w:r>
            <w:r>
              <w:rPr>
                <w:rFonts w:hint="eastAsia" w:ascii="宋体" w:hAnsi="宋体" w:eastAsia="宋体" w:cs="宋体"/>
                <w:b/>
                <w:bCs/>
                <w:color w:val="auto"/>
                <w:sz w:val="21"/>
                <w:szCs w:val="21"/>
                <w:lang w:eastAsia="zh-CN"/>
              </w:rPr>
              <w:t>评标</w:t>
            </w:r>
            <w:r>
              <w:rPr>
                <w:rFonts w:hint="eastAsia" w:ascii="宋体" w:hAnsi="宋体" w:eastAsia="宋体" w:cs="宋体"/>
                <w:b/>
                <w:bCs/>
                <w:color w:val="auto"/>
                <w:sz w:val="21"/>
                <w:szCs w:val="21"/>
              </w:rPr>
              <w:t>基准价</w:t>
            </w:r>
            <w:r>
              <w:rPr>
                <w:rFonts w:hint="eastAsia" w:ascii="宋体" w:hAnsi="宋体" w:eastAsia="宋体" w:cs="宋体"/>
                <w:b w:val="0"/>
                <w:bCs w:val="0"/>
                <w:color w:val="auto"/>
                <w:sz w:val="21"/>
                <w:szCs w:val="21"/>
              </w:rPr>
              <w:t>，其价格分为满分</w:t>
            </w:r>
            <w:r>
              <w:rPr>
                <w:rFonts w:hint="eastAsia" w:ascii="宋体" w:hAnsi="宋体" w:eastAsia="宋体" w:cs="宋体"/>
                <w:b w:val="0"/>
                <w:bCs w:val="0"/>
                <w:color w:val="auto"/>
                <w:sz w:val="21"/>
                <w:szCs w:val="21"/>
                <w:lang w:val="en-US" w:eastAsia="zh-CN"/>
              </w:rPr>
              <w:t>20分</w:t>
            </w:r>
            <w:r>
              <w:rPr>
                <w:rFonts w:hint="eastAsia" w:ascii="宋体" w:hAnsi="宋体" w:eastAsia="宋体" w:cs="宋体"/>
                <w:b w:val="0"/>
                <w:bCs w:val="0"/>
                <w:color w:val="auto"/>
                <w:sz w:val="21"/>
                <w:szCs w:val="21"/>
              </w:rPr>
              <w:t>；其他</w:t>
            </w:r>
            <w:r>
              <w:rPr>
                <w:rFonts w:hint="eastAsia" w:ascii="宋体" w:hAnsi="宋体" w:eastAsia="宋体" w:cs="宋体"/>
                <w:b w:val="0"/>
                <w:bCs w:val="0"/>
                <w:color w:val="auto"/>
                <w:sz w:val="21"/>
                <w:szCs w:val="21"/>
                <w:lang w:eastAsia="zh-CN"/>
              </w:rPr>
              <w:t>供应商</w:t>
            </w:r>
            <w:r>
              <w:rPr>
                <w:rFonts w:hint="eastAsia" w:ascii="宋体" w:hAnsi="宋体" w:eastAsia="宋体" w:cs="宋体"/>
                <w:b w:val="0"/>
                <w:bCs w:val="0"/>
                <w:color w:val="auto"/>
                <w:sz w:val="21"/>
                <w:szCs w:val="21"/>
              </w:rPr>
              <w:t>的价格分统一按照以下公式计算：</w:t>
            </w:r>
          </w:p>
          <w:p w14:paraId="3E47A6D4">
            <w:pPr>
              <w:keepNext w:val="0"/>
              <w:keepLines w:val="0"/>
              <w:pageBreakBefore w:val="0"/>
              <w:widowControl w:val="0"/>
              <w:kinsoku/>
              <w:wordWrap/>
              <w:overflowPunct/>
              <w:topLinePunct w:val="0"/>
              <w:autoSpaceDE/>
              <w:autoSpaceDN/>
              <w:bidi w:val="0"/>
              <w:spacing w:line="360" w:lineRule="exact"/>
              <w:jc w:val="left"/>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各</w:t>
            </w:r>
            <w:r>
              <w:rPr>
                <w:rFonts w:hint="eastAsia" w:ascii="宋体" w:hAnsi="宋体" w:eastAsia="宋体" w:cs="宋体"/>
                <w:b/>
                <w:bCs/>
                <w:color w:val="auto"/>
                <w:sz w:val="21"/>
                <w:szCs w:val="21"/>
                <w:highlight w:val="none"/>
                <w:lang w:eastAsia="zh-CN"/>
              </w:rPr>
              <w:t>投标人</w:t>
            </w:r>
            <w:r>
              <w:rPr>
                <w:rFonts w:hint="eastAsia" w:ascii="宋体" w:hAnsi="宋体" w:eastAsia="宋体" w:cs="宋体"/>
                <w:b/>
                <w:bCs/>
                <w:color w:val="auto"/>
                <w:sz w:val="21"/>
                <w:szCs w:val="21"/>
                <w:highlight w:val="none"/>
                <w:lang w:val="en-US" w:eastAsia="zh-CN"/>
              </w:rPr>
              <w:t>折扣率</w:t>
            </w:r>
            <w:r>
              <w:rPr>
                <w:rFonts w:hint="eastAsia" w:ascii="宋体" w:hAnsi="宋体" w:eastAsia="宋体" w:cs="宋体"/>
                <w:b/>
                <w:bCs/>
                <w:color w:val="auto"/>
                <w:sz w:val="21"/>
                <w:szCs w:val="21"/>
                <w:highlight w:val="none"/>
              </w:rPr>
              <w:t>报价得分=</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lang w:val="en-US" w:eastAsia="zh-CN"/>
              </w:rPr>
              <w:t>评标基准价</w:t>
            </w:r>
            <w:r>
              <w:rPr>
                <w:rFonts w:hint="eastAsia" w:ascii="宋体" w:hAnsi="宋体" w:eastAsia="宋体" w:cs="宋体"/>
                <w:b/>
                <w:bCs/>
                <w:color w:val="auto"/>
                <w:sz w:val="21"/>
                <w:szCs w:val="21"/>
                <w:highlight w:val="none"/>
              </w:rPr>
              <w:t>／各</w:t>
            </w:r>
            <w:r>
              <w:rPr>
                <w:rFonts w:hint="eastAsia" w:ascii="宋体" w:hAnsi="宋体" w:eastAsia="宋体" w:cs="宋体"/>
                <w:b/>
                <w:bCs/>
                <w:color w:val="auto"/>
                <w:sz w:val="21"/>
                <w:szCs w:val="21"/>
                <w:highlight w:val="none"/>
                <w:lang w:eastAsia="zh-CN"/>
              </w:rPr>
              <w:t>投标人</w:t>
            </w:r>
            <w:r>
              <w:rPr>
                <w:rFonts w:hint="eastAsia" w:ascii="宋体" w:hAnsi="宋体" w:eastAsia="宋体" w:cs="宋体"/>
                <w:b/>
                <w:bCs/>
                <w:color w:val="auto"/>
                <w:sz w:val="21"/>
                <w:szCs w:val="21"/>
                <w:highlight w:val="none"/>
                <w:lang w:val="en-US" w:eastAsia="zh-CN"/>
              </w:rPr>
              <w:t>报价折扣率）</w:t>
            </w:r>
            <w:r>
              <w:rPr>
                <w:rFonts w:hint="eastAsia" w:ascii="宋体" w:hAnsi="宋体" w:eastAsia="宋体" w:cs="宋体"/>
                <w:b/>
                <w:bCs/>
                <w:color w:val="auto"/>
                <w:sz w:val="21"/>
                <w:szCs w:val="21"/>
                <w:highlight w:val="none"/>
              </w:rPr>
              <w:t>×价格权值×100</w:t>
            </w:r>
          </w:p>
          <w:p w14:paraId="115E6E62">
            <w:pPr>
              <w:keepNext w:val="0"/>
              <w:keepLines w:val="0"/>
              <w:pageBreakBefore w:val="0"/>
              <w:widowControl w:val="0"/>
              <w:kinsoku/>
              <w:wordWrap/>
              <w:overflowPunct/>
              <w:topLinePunct w:val="0"/>
              <w:autoSpaceDE/>
              <w:autoSpaceDN/>
              <w:bidi w:val="0"/>
              <w:spacing w:line="360" w:lineRule="exact"/>
              <w:jc w:val="left"/>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评审过程中，不得去掉报价中的最高</w:t>
            </w:r>
            <w:r>
              <w:rPr>
                <w:rFonts w:hint="eastAsia" w:ascii="宋体" w:hAnsi="宋体" w:eastAsia="宋体" w:cs="宋体"/>
                <w:b w:val="0"/>
                <w:bCs w:val="0"/>
                <w:color w:val="auto"/>
                <w:sz w:val="21"/>
                <w:szCs w:val="21"/>
                <w:lang w:val="en-US" w:eastAsia="zh-CN"/>
              </w:rPr>
              <w:t>折扣率</w:t>
            </w:r>
            <w:r>
              <w:rPr>
                <w:rFonts w:hint="eastAsia" w:ascii="宋体" w:hAnsi="宋体" w:eastAsia="宋体" w:cs="宋体"/>
                <w:b w:val="0"/>
                <w:bCs w:val="0"/>
                <w:color w:val="auto"/>
                <w:sz w:val="21"/>
                <w:szCs w:val="21"/>
              </w:rPr>
              <w:t>报价和最低</w:t>
            </w:r>
            <w:r>
              <w:rPr>
                <w:rFonts w:hint="eastAsia" w:ascii="宋体" w:hAnsi="宋体" w:eastAsia="宋体" w:cs="宋体"/>
                <w:b w:val="0"/>
                <w:bCs w:val="0"/>
                <w:color w:val="auto"/>
                <w:sz w:val="21"/>
                <w:szCs w:val="21"/>
                <w:lang w:val="en-US" w:eastAsia="zh-CN"/>
              </w:rPr>
              <w:t>折扣率</w:t>
            </w:r>
            <w:r>
              <w:rPr>
                <w:rFonts w:hint="eastAsia" w:ascii="宋体" w:hAnsi="宋体" w:eastAsia="宋体" w:cs="宋体"/>
                <w:b w:val="0"/>
                <w:bCs w:val="0"/>
                <w:color w:val="auto"/>
                <w:sz w:val="21"/>
                <w:szCs w:val="21"/>
              </w:rPr>
              <w:t>报价。</w:t>
            </w:r>
          </w:p>
          <w:p w14:paraId="29AF34A9">
            <w:pPr>
              <w:pStyle w:val="13"/>
              <w:keepNext w:val="0"/>
              <w:keepLines w:val="0"/>
              <w:pageBreakBefore w:val="0"/>
              <w:widowControl w:val="0"/>
              <w:numPr>
                <w:ilvl w:val="0"/>
                <w:numId w:val="0"/>
              </w:numPr>
              <w:kinsoku/>
              <w:wordWrap/>
              <w:overflowPunct/>
              <w:topLinePunct w:val="0"/>
              <w:autoSpaceDE/>
              <w:autoSpaceDN/>
              <w:bidi w:val="0"/>
              <w:spacing w:after="0" w:line="360" w:lineRule="exact"/>
              <w:ind w:leftChars="0"/>
              <w:jc w:val="left"/>
              <w:textAlignment w:val="auto"/>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sz w:val="21"/>
                <w:szCs w:val="21"/>
                <w:lang w:eastAsia="zh-CN"/>
              </w:rPr>
              <w:t>评审小组</w:t>
            </w:r>
            <w:r>
              <w:rPr>
                <w:rFonts w:hint="eastAsia" w:ascii="宋体" w:hAnsi="宋体" w:eastAsia="宋体" w:cs="宋体"/>
                <w:b w:val="0"/>
                <w:bCs w:val="0"/>
                <w:color w:val="auto"/>
                <w:sz w:val="21"/>
                <w:szCs w:val="21"/>
              </w:rPr>
              <w:t>认为</w:t>
            </w:r>
            <w:r>
              <w:rPr>
                <w:rFonts w:hint="eastAsia" w:ascii="宋体" w:hAnsi="宋体" w:eastAsia="宋体" w:cs="宋体"/>
                <w:b w:val="0"/>
                <w:bCs w:val="0"/>
                <w:color w:val="auto"/>
                <w:sz w:val="21"/>
                <w:szCs w:val="21"/>
                <w:lang w:eastAsia="zh-CN"/>
              </w:rPr>
              <w:t>供应商</w:t>
            </w:r>
            <w:r>
              <w:rPr>
                <w:rFonts w:hint="eastAsia" w:ascii="宋体" w:hAnsi="宋体" w:eastAsia="宋体" w:cs="宋体"/>
                <w:b w:val="0"/>
                <w:bCs w:val="0"/>
                <w:color w:val="auto"/>
                <w:sz w:val="21"/>
                <w:szCs w:val="21"/>
              </w:rPr>
              <w:t>的</w:t>
            </w:r>
            <w:r>
              <w:rPr>
                <w:rFonts w:hint="eastAsia" w:ascii="宋体" w:hAnsi="宋体" w:eastAsia="宋体" w:cs="宋体"/>
                <w:b w:val="0"/>
                <w:bCs w:val="0"/>
                <w:color w:val="auto"/>
                <w:sz w:val="21"/>
                <w:szCs w:val="21"/>
                <w:lang w:val="en-US" w:eastAsia="zh-CN"/>
              </w:rPr>
              <w:t>折扣率</w:t>
            </w:r>
            <w:r>
              <w:rPr>
                <w:rFonts w:hint="eastAsia" w:ascii="宋体" w:hAnsi="宋体" w:eastAsia="宋体" w:cs="宋体"/>
                <w:b w:val="0"/>
                <w:bCs w:val="0"/>
                <w:color w:val="auto"/>
                <w:sz w:val="21"/>
                <w:szCs w:val="21"/>
              </w:rPr>
              <w:t>报价明显低于其他通过符合性审查</w:t>
            </w:r>
            <w:r>
              <w:rPr>
                <w:rFonts w:hint="eastAsia" w:ascii="宋体" w:hAnsi="宋体" w:eastAsia="宋体" w:cs="宋体"/>
                <w:b w:val="0"/>
                <w:bCs w:val="0"/>
                <w:color w:val="auto"/>
                <w:sz w:val="21"/>
                <w:szCs w:val="21"/>
                <w:lang w:eastAsia="zh-CN"/>
              </w:rPr>
              <w:t>供应商</w:t>
            </w:r>
            <w:r>
              <w:rPr>
                <w:rFonts w:hint="eastAsia" w:ascii="宋体" w:hAnsi="宋体" w:eastAsia="宋体" w:cs="宋体"/>
                <w:b w:val="0"/>
                <w:bCs w:val="0"/>
                <w:color w:val="auto"/>
                <w:sz w:val="21"/>
                <w:szCs w:val="21"/>
              </w:rPr>
              <w:t>的报价，</w:t>
            </w:r>
            <w:r>
              <w:rPr>
                <w:rFonts w:hint="eastAsia" w:ascii="宋体" w:hAnsi="宋体" w:eastAsia="宋体" w:cs="宋体"/>
                <w:b w:val="0"/>
                <w:bCs w:val="0"/>
                <w:color w:val="auto"/>
                <w:sz w:val="21"/>
                <w:szCs w:val="21"/>
                <w:lang w:eastAsia="zh-CN"/>
              </w:rPr>
              <w:t>供应商</w:t>
            </w:r>
            <w:r>
              <w:rPr>
                <w:rFonts w:hint="eastAsia" w:ascii="宋体" w:hAnsi="宋体" w:eastAsia="宋体" w:cs="宋体"/>
                <w:b w:val="0"/>
                <w:bCs w:val="0"/>
                <w:color w:val="auto"/>
                <w:sz w:val="21"/>
                <w:szCs w:val="21"/>
              </w:rPr>
              <w:t>不能证明其报价合理性的，</w:t>
            </w:r>
            <w:r>
              <w:rPr>
                <w:rFonts w:hint="eastAsia" w:ascii="宋体" w:hAnsi="宋体" w:eastAsia="宋体" w:cs="宋体"/>
                <w:b w:val="0"/>
                <w:bCs w:val="0"/>
                <w:color w:val="auto"/>
                <w:sz w:val="21"/>
                <w:szCs w:val="21"/>
                <w:lang w:eastAsia="zh-CN"/>
              </w:rPr>
              <w:t>评审小组</w:t>
            </w:r>
            <w:r>
              <w:rPr>
                <w:rFonts w:hint="eastAsia" w:ascii="宋体" w:hAnsi="宋体" w:eastAsia="宋体" w:cs="宋体"/>
                <w:b w:val="0"/>
                <w:bCs w:val="0"/>
                <w:color w:val="auto"/>
                <w:sz w:val="21"/>
                <w:szCs w:val="21"/>
              </w:rPr>
              <w:t>将其作为无效</w:t>
            </w:r>
            <w:r>
              <w:rPr>
                <w:rFonts w:hint="eastAsia" w:ascii="宋体" w:hAnsi="宋体" w:eastAsia="宋体" w:cs="宋体"/>
                <w:b w:val="0"/>
                <w:bCs w:val="0"/>
                <w:color w:val="auto"/>
                <w:sz w:val="21"/>
                <w:szCs w:val="21"/>
                <w:lang w:eastAsia="zh-CN"/>
              </w:rPr>
              <w:t>报价</w:t>
            </w:r>
            <w:r>
              <w:rPr>
                <w:rFonts w:hint="eastAsia" w:ascii="宋体" w:hAnsi="宋体" w:eastAsia="宋体" w:cs="宋体"/>
                <w:b w:val="0"/>
                <w:bCs w:val="0"/>
                <w:color w:val="auto"/>
                <w:sz w:val="21"/>
                <w:szCs w:val="21"/>
              </w:rPr>
              <w:t>处理。</w:t>
            </w:r>
          </w:p>
        </w:tc>
      </w:tr>
      <w:tr w14:paraId="1ABA2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0" w:hRule="atLeast"/>
        </w:trPr>
        <w:tc>
          <w:tcPr>
            <w:tcW w:w="625" w:type="dxa"/>
            <w:vMerge w:val="restart"/>
            <w:noWrap w:val="0"/>
            <w:vAlign w:val="center"/>
          </w:tcPr>
          <w:p w14:paraId="65D09DBB">
            <w:pPr>
              <w:rPr>
                <w:rFonts w:hint="eastAsia"/>
                <w:color w:val="auto"/>
                <w:lang w:val="en-US" w:eastAsia="zh-CN"/>
              </w:rPr>
            </w:pPr>
          </w:p>
        </w:tc>
        <w:tc>
          <w:tcPr>
            <w:tcW w:w="952" w:type="dxa"/>
            <w:vMerge w:val="restart"/>
            <w:noWrap w:val="0"/>
            <w:vAlign w:val="center"/>
          </w:tcPr>
          <w:p w14:paraId="588C2D11">
            <w:pPr>
              <w:pStyle w:val="6"/>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技术</w:t>
            </w:r>
          </w:p>
          <w:p w14:paraId="65830592">
            <w:pPr>
              <w:pStyle w:val="6"/>
              <w:keepNext w:val="0"/>
              <w:keepLines w:val="0"/>
              <w:pageBreakBefore w:val="0"/>
              <w:widowControl w:val="0"/>
              <w:kinsoku/>
              <w:wordWrap/>
              <w:overflowPunct/>
              <w:topLinePunct w:val="0"/>
              <w:bidi w:val="0"/>
              <w:spacing w:line="360" w:lineRule="exact"/>
              <w:jc w:val="center"/>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20分</w:t>
            </w:r>
          </w:p>
        </w:tc>
        <w:tc>
          <w:tcPr>
            <w:tcW w:w="711" w:type="dxa"/>
            <w:vMerge w:val="restart"/>
            <w:noWrap w:val="0"/>
            <w:vAlign w:val="center"/>
          </w:tcPr>
          <w:p w14:paraId="2B4EC266">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法律</w:t>
            </w:r>
          </w:p>
          <w:p w14:paraId="26BB5704">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风险</w:t>
            </w:r>
          </w:p>
          <w:p w14:paraId="40199951">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应对</w:t>
            </w:r>
          </w:p>
          <w:p w14:paraId="456F421A">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方案</w:t>
            </w:r>
          </w:p>
          <w:p w14:paraId="0E49C642">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8分</w:t>
            </w:r>
          </w:p>
        </w:tc>
        <w:tc>
          <w:tcPr>
            <w:tcW w:w="763" w:type="dxa"/>
            <w:shd w:val="clear" w:color="auto" w:fill="auto"/>
            <w:noWrap w:val="0"/>
            <w:vAlign w:val="center"/>
          </w:tcPr>
          <w:p w14:paraId="0C7C2B7A">
            <w:pPr>
              <w:keepNext w:val="0"/>
              <w:keepLines w:val="0"/>
              <w:pageBreakBefore w:val="0"/>
              <w:widowControl w:val="0"/>
              <w:kinsoku/>
              <w:wordWrap/>
              <w:overflowPunct/>
              <w:topLinePunct w:val="0"/>
              <w:bidi w:val="0"/>
              <w:spacing w:line="360" w:lineRule="exact"/>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sz w:val="21"/>
                <w:szCs w:val="21"/>
                <w:highlight w:val="none"/>
              </w:rPr>
              <w:t>完整性</w:t>
            </w:r>
            <w:r>
              <w:rPr>
                <w:rFonts w:hint="eastAsia" w:ascii="宋体" w:hAnsi="宋体" w:eastAsia="宋体" w:cs="宋体"/>
                <w:b w:val="0"/>
                <w:bCs w:val="0"/>
                <w:color w:val="auto"/>
                <w:sz w:val="21"/>
                <w:szCs w:val="21"/>
                <w:highlight w:val="none"/>
                <w:lang w:val="en-US" w:eastAsia="zh-CN"/>
              </w:rPr>
              <w:t>2分</w:t>
            </w:r>
          </w:p>
        </w:tc>
        <w:tc>
          <w:tcPr>
            <w:tcW w:w="5794" w:type="dxa"/>
            <w:shd w:val="clear" w:color="auto" w:fill="auto"/>
            <w:noWrap w:val="0"/>
            <w:vAlign w:val="center"/>
          </w:tcPr>
          <w:p w14:paraId="06BF97A2">
            <w:pPr>
              <w:keepNext w:val="0"/>
              <w:keepLines w:val="0"/>
              <w:pageBreakBefore w:val="0"/>
              <w:widowControl w:val="0"/>
              <w:kinsoku/>
              <w:wordWrap/>
              <w:overflowPunct/>
              <w:topLinePunct w:val="0"/>
              <w:bidi w:val="0"/>
              <w:spacing w:line="360" w:lineRule="exact"/>
              <w:jc w:val="left"/>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方案应包含但不限于以下部分：</w:t>
            </w:r>
          </w:p>
          <w:p w14:paraId="6A033F9B">
            <w:pPr>
              <w:pStyle w:val="19"/>
              <w:widowControl/>
              <w:numPr>
                <w:ilvl w:val="0"/>
                <w:numId w:val="0"/>
              </w:numPr>
              <w:adjustRightInd w:val="0"/>
              <w:snapToGrid w:val="0"/>
              <w:spacing w:line="400" w:lineRule="atLeast"/>
              <w:ind w:left="0" w:leftChars="0" w:firstLine="0" w:firstLineChars="0"/>
              <w:jc w:val="both"/>
              <w:textAlignment w:val="baseline"/>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0"/>
                <w:sz w:val="21"/>
                <w:szCs w:val="21"/>
                <w:lang w:val="en-US" w:eastAsia="zh-CN" w:bidi="ar-SA"/>
              </w:rPr>
              <w:t>（1）采购人的法律风险分析：</w:t>
            </w:r>
            <w:r>
              <w:rPr>
                <w:rFonts w:hint="eastAsia" w:ascii="宋体" w:hAnsi="宋体" w:eastAsia="宋体" w:cs="宋体"/>
                <w:b w:val="0"/>
                <w:bCs w:val="0"/>
                <w:color w:val="auto"/>
                <w:sz w:val="21"/>
                <w:szCs w:val="21"/>
                <w:highlight w:val="none"/>
                <w:lang w:val="en-US" w:eastAsia="zh-CN"/>
              </w:rPr>
              <w:t>从业务方面和非业务方面整体分析采购人存在的法律风险，给出防范建议和整体法治建设提升措施。</w:t>
            </w:r>
          </w:p>
          <w:p w14:paraId="36AB8A14">
            <w:pPr>
              <w:pStyle w:val="19"/>
              <w:widowControl/>
              <w:numPr>
                <w:ilvl w:val="0"/>
                <w:numId w:val="0"/>
              </w:numPr>
              <w:adjustRightInd w:val="0"/>
              <w:snapToGrid w:val="0"/>
              <w:spacing w:line="400" w:lineRule="atLeast"/>
              <w:ind w:left="0" w:leftChars="0" w:firstLine="0" w:firstLineChars="0"/>
              <w:jc w:val="both"/>
              <w:textAlignment w:val="baseline"/>
              <w:rPr>
                <w:rFonts w:hint="eastAsia" w:ascii="宋体" w:hAnsi="宋体" w:eastAsia="宋体" w:cs="宋体"/>
                <w:b w:val="0"/>
                <w:bCs w:val="0"/>
                <w:color w:val="auto"/>
                <w:kern w:val="2"/>
                <w:sz w:val="21"/>
                <w:szCs w:val="21"/>
                <w:highlight w:val="none"/>
                <w:lang w:val="en-US" w:eastAsia="zh-CN" w:bidi="ar-SA"/>
              </w:rPr>
            </w:pPr>
            <w:r>
              <w:rPr>
                <w:rFonts w:hint="default" w:ascii="宋体" w:hAnsi="宋体" w:eastAsia="宋体" w:cs="宋体"/>
                <w:b w:val="0"/>
                <w:bCs w:val="0"/>
                <w:color w:val="auto"/>
                <w:kern w:val="0"/>
                <w:sz w:val="21"/>
                <w:szCs w:val="21"/>
                <w:lang w:val="en-US" w:eastAsia="zh-CN" w:bidi="ar-SA"/>
              </w:rPr>
              <w:t>（</w:t>
            </w:r>
            <w:r>
              <w:rPr>
                <w:rFonts w:hint="eastAsia" w:ascii="宋体" w:hAnsi="宋体" w:eastAsia="宋体" w:cs="宋体"/>
                <w:b w:val="0"/>
                <w:bCs w:val="0"/>
                <w:color w:val="auto"/>
                <w:kern w:val="0"/>
                <w:sz w:val="21"/>
                <w:szCs w:val="21"/>
                <w:lang w:val="en-US" w:eastAsia="zh-CN" w:bidi="ar-SA"/>
              </w:rPr>
              <w:t>2</w:t>
            </w:r>
            <w:r>
              <w:rPr>
                <w:rFonts w:hint="default" w:ascii="宋体" w:hAnsi="宋体" w:eastAsia="宋体" w:cs="宋体"/>
                <w:b w:val="0"/>
                <w:bCs w:val="0"/>
                <w:color w:val="auto"/>
                <w:kern w:val="0"/>
                <w:sz w:val="21"/>
                <w:szCs w:val="21"/>
                <w:lang w:val="en-US" w:eastAsia="zh-CN" w:bidi="ar-SA"/>
              </w:rPr>
              <w:t>）</w:t>
            </w:r>
            <w:r>
              <w:rPr>
                <w:rFonts w:hint="eastAsia" w:ascii="宋体" w:hAnsi="宋体" w:eastAsia="宋体" w:cs="宋体"/>
                <w:b w:val="0"/>
                <w:bCs w:val="0"/>
                <w:color w:val="auto"/>
                <w:kern w:val="0"/>
                <w:sz w:val="21"/>
                <w:szCs w:val="21"/>
                <w:lang w:val="en-US" w:eastAsia="zh-CN" w:bidi="ar-SA"/>
              </w:rPr>
              <w:t>具体法律风险应对处置：</w:t>
            </w:r>
            <w:r>
              <w:rPr>
                <w:rFonts w:hint="eastAsia" w:ascii="宋体" w:hAnsi="宋体" w:eastAsia="宋体" w:cs="宋体"/>
                <w:b w:val="0"/>
                <w:bCs w:val="0"/>
                <w:color w:val="auto"/>
                <w:sz w:val="21"/>
                <w:szCs w:val="21"/>
                <w:highlight w:val="none"/>
                <w:lang w:val="en-US" w:eastAsia="zh-CN"/>
              </w:rPr>
              <w:t>从医患纠纷、负面舆情、采购投诉质疑、政府监管等具体领域分析法律风险，并对采购人应对处置提出建议。</w:t>
            </w:r>
            <w:r>
              <w:rPr>
                <w:rFonts w:hint="eastAsia" w:ascii="宋体" w:hAnsi="宋体" w:eastAsia="宋体" w:cs="宋体"/>
                <w:b w:val="0"/>
                <w:bCs w:val="0"/>
                <w:color w:val="auto"/>
                <w:sz w:val="21"/>
                <w:szCs w:val="21"/>
                <w:highlight w:val="none"/>
                <w:lang w:val="en-US" w:eastAsia="zh-CN"/>
              </w:rPr>
              <w:br w:type="textWrapping"/>
            </w:r>
            <w:r>
              <w:rPr>
                <w:rFonts w:hint="eastAsia" w:ascii="宋体" w:hAnsi="宋体" w:eastAsia="宋体" w:cs="宋体"/>
                <w:b w:val="0"/>
                <w:bCs w:val="0"/>
                <w:color w:val="auto"/>
                <w:sz w:val="21"/>
                <w:szCs w:val="21"/>
                <w:highlight w:val="none"/>
                <w:lang w:val="en-US" w:eastAsia="zh-CN"/>
              </w:rPr>
              <w:t>方案应</w:t>
            </w:r>
            <w:r>
              <w:rPr>
                <w:rFonts w:hint="eastAsia" w:ascii="宋体" w:hAnsi="宋体" w:eastAsia="宋体" w:cs="宋体"/>
                <w:b w:val="0"/>
                <w:bCs w:val="0"/>
                <w:color w:val="auto"/>
                <w:sz w:val="21"/>
                <w:szCs w:val="21"/>
                <w:highlight w:val="none"/>
                <w:lang w:eastAsia="zh-CN"/>
              </w:rPr>
              <w:t>充分体现服务</w:t>
            </w:r>
            <w:r>
              <w:rPr>
                <w:rFonts w:hint="eastAsia" w:ascii="宋体" w:hAnsi="宋体" w:eastAsia="宋体" w:cs="宋体"/>
                <w:b w:val="0"/>
                <w:bCs w:val="0"/>
                <w:color w:val="auto"/>
                <w:sz w:val="21"/>
                <w:szCs w:val="21"/>
                <w:highlight w:val="none"/>
                <w:lang w:val="en-US" w:eastAsia="zh-CN"/>
              </w:rPr>
              <w:t>团队</w:t>
            </w:r>
            <w:r>
              <w:rPr>
                <w:rFonts w:hint="eastAsia" w:ascii="宋体" w:hAnsi="宋体" w:eastAsia="宋体" w:cs="宋体"/>
                <w:b w:val="0"/>
                <w:bCs w:val="0"/>
                <w:color w:val="auto"/>
                <w:sz w:val="21"/>
                <w:szCs w:val="21"/>
                <w:highlight w:val="none"/>
                <w:lang w:eastAsia="zh-CN"/>
              </w:rPr>
              <w:t>的能力和经验，内容全面、</w:t>
            </w:r>
            <w:r>
              <w:rPr>
                <w:rFonts w:hint="eastAsia" w:ascii="宋体" w:hAnsi="宋体" w:eastAsia="宋体" w:cs="宋体"/>
                <w:b w:val="0"/>
                <w:bCs w:val="0"/>
                <w:color w:val="auto"/>
                <w:sz w:val="21"/>
                <w:szCs w:val="21"/>
                <w:highlight w:val="none"/>
                <w:lang w:val="en-US" w:eastAsia="zh-CN"/>
              </w:rPr>
              <w:t>完全符合本项要求的</w:t>
            </w:r>
            <w:r>
              <w:rPr>
                <w:rFonts w:hint="eastAsia" w:ascii="宋体" w:hAnsi="宋体" w:eastAsia="宋体" w:cs="宋体"/>
                <w:b w:val="0"/>
                <w:bCs w:val="0"/>
                <w:color w:val="auto"/>
                <w:sz w:val="21"/>
                <w:szCs w:val="21"/>
                <w:highlight w:val="none"/>
                <w:lang w:eastAsia="zh-CN"/>
              </w:rPr>
              <w:t>计</w:t>
            </w:r>
            <w:r>
              <w:rPr>
                <w:rFonts w:hint="eastAsia" w:ascii="宋体" w:hAnsi="宋体" w:eastAsia="宋体" w:cs="宋体"/>
                <w:b w:val="0"/>
                <w:bCs w:val="0"/>
                <w:color w:val="auto"/>
                <w:sz w:val="21"/>
                <w:szCs w:val="21"/>
                <w:highlight w:val="none"/>
                <w:lang w:val="en-US" w:eastAsia="zh-CN"/>
              </w:rPr>
              <w:t>2分，不存在缺漏项但内容比较简单的计1分，存在1项缺漏项的计0.5分，存在2项以上（含2项）缺漏项的计0分。</w:t>
            </w:r>
          </w:p>
        </w:tc>
      </w:tr>
      <w:tr w14:paraId="2EEB2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36" w:hRule="atLeast"/>
        </w:trPr>
        <w:tc>
          <w:tcPr>
            <w:tcW w:w="625" w:type="dxa"/>
            <w:vMerge w:val="continue"/>
            <w:noWrap w:val="0"/>
            <w:vAlign w:val="center"/>
          </w:tcPr>
          <w:p w14:paraId="68F014D2">
            <w:pPr>
              <w:rPr>
                <w:rFonts w:hint="eastAsia"/>
                <w:color w:val="auto"/>
                <w:lang w:val="en-US" w:eastAsia="zh-CN"/>
              </w:rPr>
            </w:pPr>
          </w:p>
        </w:tc>
        <w:tc>
          <w:tcPr>
            <w:tcW w:w="952" w:type="dxa"/>
            <w:vMerge w:val="continue"/>
            <w:noWrap w:val="0"/>
            <w:vAlign w:val="center"/>
          </w:tcPr>
          <w:p w14:paraId="7D068A5E">
            <w:pPr>
              <w:pStyle w:val="6"/>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lang w:val="en-US" w:eastAsia="zh-CN"/>
              </w:rPr>
            </w:pPr>
          </w:p>
        </w:tc>
        <w:tc>
          <w:tcPr>
            <w:tcW w:w="711" w:type="dxa"/>
            <w:vMerge w:val="continue"/>
            <w:noWrap w:val="0"/>
            <w:vAlign w:val="center"/>
          </w:tcPr>
          <w:p w14:paraId="66BDD7DA">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highlight w:val="yellow"/>
                <w:lang w:val="en-US" w:eastAsia="zh-CN"/>
              </w:rPr>
            </w:pPr>
          </w:p>
        </w:tc>
        <w:tc>
          <w:tcPr>
            <w:tcW w:w="763" w:type="dxa"/>
            <w:noWrap w:val="0"/>
            <w:vAlign w:val="center"/>
          </w:tcPr>
          <w:p w14:paraId="17FA635D">
            <w:pPr>
              <w:keepNext w:val="0"/>
              <w:keepLines w:val="0"/>
              <w:pageBreakBefore w:val="0"/>
              <w:widowControl w:val="0"/>
              <w:kinsoku/>
              <w:wordWrap/>
              <w:overflowPunct/>
              <w:topLinePunct w:val="0"/>
              <w:bidi w:val="0"/>
              <w:spacing w:line="360" w:lineRule="exact"/>
              <w:jc w:val="left"/>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针对性2分</w:t>
            </w:r>
          </w:p>
        </w:tc>
        <w:tc>
          <w:tcPr>
            <w:tcW w:w="5794" w:type="dxa"/>
            <w:noWrap w:val="0"/>
            <w:vAlign w:val="center"/>
          </w:tcPr>
          <w:p w14:paraId="1E59EC41">
            <w:pPr>
              <w:keepNext w:val="0"/>
              <w:keepLines w:val="0"/>
              <w:pageBreakBefore w:val="0"/>
              <w:widowControl w:val="0"/>
              <w:kinsoku/>
              <w:wordWrap/>
              <w:overflowPunct/>
              <w:topLinePunct w:val="0"/>
              <w:bidi w:val="0"/>
              <w:spacing w:line="360" w:lineRule="exact"/>
              <w:jc w:val="left"/>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能体现采购人行业特点，</w:t>
            </w:r>
            <w:r>
              <w:rPr>
                <w:rFonts w:hint="eastAsia" w:ascii="宋体" w:hAnsi="宋体" w:eastAsia="宋体" w:cs="宋体"/>
                <w:b w:val="0"/>
                <w:bCs w:val="0"/>
                <w:color w:val="auto"/>
                <w:sz w:val="21"/>
                <w:szCs w:val="21"/>
                <w:highlight w:val="none"/>
                <w:lang w:eastAsia="zh-CN"/>
              </w:rPr>
              <w:t>思路清晰、风险点全面、应对措施佳</w:t>
            </w:r>
            <w:r>
              <w:rPr>
                <w:rFonts w:hint="eastAsia" w:ascii="宋体" w:hAnsi="宋体" w:eastAsia="宋体" w:cs="宋体"/>
                <w:b w:val="0"/>
                <w:bCs w:val="0"/>
                <w:color w:val="auto"/>
                <w:sz w:val="21"/>
                <w:szCs w:val="21"/>
                <w:highlight w:val="none"/>
                <w:lang w:val="en-US" w:eastAsia="zh-CN"/>
              </w:rPr>
              <w:t>的</w:t>
            </w:r>
            <w:r>
              <w:rPr>
                <w:rFonts w:hint="eastAsia" w:ascii="宋体" w:hAnsi="宋体" w:eastAsia="宋体" w:cs="宋体"/>
                <w:b w:val="0"/>
                <w:bCs w:val="0"/>
                <w:color w:val="auto"/>
                <w:sz w:val="21"/>
                <w:szCs w:val="21"/>
                <w:highlight w:val="none"/>
                <w:lang w:eastAsia="zh-CN"/>
              </w:rPr>
              <w:t>计</w:t>
            </w:r>
            <w:r>
              <w:rPr>
                <w:rFonts w:hint="eastAsia" w:ascii="宋体" w:hAnsi="宋体" w:eastAsia="宋体" w:cs="宋体"/>
                <w:b w:val="0"/>
                <w:bCs w:val="0"/>
                <w:color w:val="auto"/>
                <w:sz w:val="21"/>
                <w:szCs w:val="21"/>
                <w:highlight w:val="none"/>
                <w:lang w:val="en-US" w:eastAsia="zh-CN"/>
              </w:rPr>
              <w:t>2分，</w:t>
            </w:r>
            <w:r>
              <w:rPr>
                <w:rFonts w:hint="eastAsia" w:ascii="宋体" w:hAnsi="宋体" w:eastAsia="宋体" w:cs="宋体"/>
                <w:b w:val="0"/>
                <w:bCs w:val="0"/>
                <w:color w:val="auto"/>
                <w:sz w:val="21"/>
                <w:szCs w:val="21"/>
                <w:highlight w:val="none"/>
                <w:lang w:eastAsia="zh-CN"/>
              </w:rPr>
              <w:t>风险点全面</w:t>
            </w:r>
            <w:r>
              <w:rPr>
                <w:rFonts w:hint="eastAsia" w:ascii="宋体" w:hAnsi="宋体" w:eastAsia="宋体" w:cs="宋体"/>
                <w:b w:val="0"/>
                <w:bCs w:val="0"/>
                <w:color w:val="auto"/>
                <w:sz w:val="21"/>
                <w:szCs w:val="21"/>
                <w:highlight w:val="none"/>
                <w:lang w:val="en-US" w:eastAsia="zh-CN"/>
              </w:rPr>
              <w:t>但</w:t>
            </w:r>
            <w:r>
              <w:rPr>
                <w:rFonts w:hint="eastAsia" w:ascii="宋体" w:hAnsi="宋体" w:eastAsia="宋体" w:cs="宋体"/>
                <w:b w:val="0"/>
                <w:bCs w:val="0"/>
                <w:color w:val="auto"/>
                <w:sz w:val="21"/>
                <w:szCs w:val="21"/>
                <w:highlight w:val="none"/>
                <w:lang w:eastAsia="zh-CN"/>
              </w:rPr>
              <w:t>应对措施</w:t>
            </w:r>
            <w:r>
              <w:rPr>
                <w:rFonts w:hint="eastAsia" w:ascii="宋体" w:hAnsi="宋体" w:eastAsia="宋体" w:cs="宋体"/>
                <w:b w:val="0"/>
                <w:bCs w:val="0"/>
                <w:color w:val="auto"/>
                <w:sz w:val="21"/>
                <w:szCs w:val="21"/>
                <w:highlight w:val="none"/>
                <w:lang w:val="en-US" w:eastAsia="zh-CN"/>
              </w:rPr>
              <w:t>简单的计1分，风险点不全、行业针对性不足的计0.5分，完全没有行业针对性的计0分。</w:t>
            </w:r>
          </w:p>
        </w:tc>
      </w:tr>
      <w:tr w14:paraId="69F32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21" w:hRule="atLeast"/>
        </w:trPr>
        <w:tc>
          <w:tcPr>
            <w:tcW w:w="625" w:type="dxa"/>
            <w:vMerge w:val="continue"/>
            <w:noWrap w:val="0"/>
            <w:vAlign w:val="center"/>
          </w:tcPr>
          <w:p w14:paraId="3816D231">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7588A544">
            <w:pPr>
              <w:pStyle w:val="6"/>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lang w:val="en-US" w:eastAsia="zh-CN"/>
              </w:rPr>
            </w:pPr>
          </w:p>
        </w:tc>
        <w:tc>
          <w:tcPr>
            <w:tcW w:w="711" w:type="dxa"/>
            <w:vMerge w:val="continue"/>
            <w:noWrap w:val="0"/>
            <w:vAlign w:val="center"/>
          </w:tcPr>
          <w:p w14:paraId="0DE69CBE">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highlight w:val="yellow"/>
                <w:lang w:val="en-US" w:eastAsia="zh-CN"/>
              </w:rPr>
            </w:pPr>
          </w:p>
        </w:tc>
        <w:tc>
          <w:tcPr>
            <w:tcW w:w="763" w:type="dxa"/>
            <w:noWrap w:val="0"/>
            <w:vAlign w:val="center"/>
          </w:tcPr>
          <w:p w14:paraId="4B5C331B">
            <w:pPr>
              <w:keepNext w:val="0"/>
              <w:keepLines w:val="0"/>
              <w:pageBreakBefore w:val="0"/>
              <w:widowControl w:val="0"/>
              <w:kinsoku/>
              <w:wordWrap/>
              <w:overflowPunct/>
              <w:topLinePunct w:val="0"/>
              <w:bidi w:val="0"/>
              <w:spacing w:line="360" w:lineRule="exact"/>
              <w:jc w:val="left"/>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合理性2分</w:t>
            </w:r>
          </w:p>
        </w:tc>
        <w:tc>
          <w:tcPr>
            <w:tcW w:w="5794" w:type="dxa"/>
            <w:noWrap w:val="0"/>
            <w:vAlign w:val="center"/>
          </w:tcPr>
          <w:p w14:paraId="2E7F3E6B">
            <w:pPr>
              <w:keepNext w:val="0"/>
              <w:keepLines w:val="0"/>
              <w:pageBreakBefore w:val="0"/>
              <w:widowControl w:val="0"/>
              <w:kinsoku/>
              <w:wordWrap/>
              <w:overflowPunct/>
              <w:topLinePunct w:val="0"/>
              <w:bidi w:val="0"/>
              <w:spacing w:line="360" w:lineRule="exact"/>
              <w:jc w:val="left"/>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eastAsia="zh-CN"/>
              </w:rPr>
              <w:t>逻辑清晰，无前后矛盾，运用法律法规、政策准确，完全符合计</w:t>
            </w:r>
            <w:r>
              <w:rPr>
                <w:rFonts w:hint="eastAsia" w:ascii="宋体" w:hAnsi="宋体" w:eastAsia="宋体" w:cs="宋体"/>
                <w:b w:val="0"/>
                <w:bCs w:val="0"/>
                <w:color w:val="auto"/>
                <w:sz w:val="21"/>
                <w:szCs w:val="21"/>
                <w:highlight w:val="none"/>
                <w:lang w:val="en-US" w:eastAsia="zh-CN"/>
              </w:rPr>
              <w:t>的2分，存在不足的计1分，对法律风险定性不够准确的计0.5分，不符合本项要求的计0分。</w:t>
            </w:r>
          </w:p>
        </w:tc>
      </w:tr>
      <w:tr w14:paraId="34F2C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4" w:hRule="atLeast"/>
        </w:trPr>
        <w:tc>
          <w:tcPr>
            <w:tcW w:w="625" w:type="dxa"/>
            <w:vMerge w:val="continue"/>
            <w:noWrap w:val="0"/>
            <w:vAlign w:val="center"/>
          </w:tcPr>
          <w:p w14:paraId="03A7A052">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2B480F41">
            <w:pPr>
              <w:pStyle w:val="6"/>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lang w:val="en-US" w:eastAsia="zh-CN"/>
              </w:rPr>
            </w:pPr>
          </w:p>
        </w:tc>
        <w:tc>
          <w:tcPr>
            <w:tcW w:w="711" w:type="dxa"/>
            <w:vMerge w:val="continue"/>
            <w:noWrap w:val="0"/>
            <w:vAlign w:val="center"/>
          </w:tcPr>
          <w:p w14:paraId="5996DD06">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highlight w:val="yellow"/>
                <w:lang w:val="en-US" w:eastAsia="zh-CN"/>
              </w:rPr>
            </w:pPr>
          </w:p>
        </w:tc>
        <w:tc>
          <w:tcPr>
            <w:tcW w:w="763" w:type="dxa"/>
            <w:noWrap w:val="0"/>
            <w:vAlign w:val="center"/>
          </w:tcPr>
          <w:p w14:paraId="5E29A4C9">
            <w:pPr>
              <w:keepNext w:val="0"/>
              <w:keepLines w:val="0"/>
              <w:pageBreakBefore w:val="0"/>
              <w:widowControl w:val="0"/>
              <w:kinsoku/>
              <w:wordWrap/>
              <w:overflowPunct/>
              <w:topLinePunct w:val="0"/>
              <w:bidi w:val="0"/>
              <w:spacing w:line="360" w:lineRule="exact"/>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rPr>
              <w:t>可行性</w:t>
            </w:r>
            <w:r>
              <w:rPr>
                <w:rFonts w:hint="eastAsia" w:ascii="宋体" w:hAnsi="宋体" w:eastAsia="宋体" w:cs="宋体"/>
                <w:b w:val="0"/>
                <w:bCs w:val="0"/>
                <w:color w:val="auto"/>
                <w:sz w:val="21"/>
                <w:szCs w:val="21"/>
                <w:highlight w:val="none"/>
                <w:lang w:val="en-US" w:eastAsia="zh-CN"/>
              </w:rPr>
              <w:t>2分</w:t>
            </w:r>
          </w:p>
        </w:tc>
        <w:tc>
          <w:tcPr>
            <w:tcW w:w="5794" w:type="dxa"/>
            <w:noWrap w:val="0"/>
            <w:vAlign w:val="center"/>
          </w:tcPr>
          <w:p w14:paraId="0529A350">
            <w:pPr>
              <w:keepNext w:val="0"/>
              <w:keepLines w:val="0"/>
              <w:pageBreakBefore w:val="0"/>
              <w:widowControl w:val="0"/>
              <w:kinsoku/>
              <w:wordWrap/>
              <w:overflowPunct/>
              <w:topLinePunct w:val="0"/>
              <w:bidi w:val="0"/>
              <w:spacing w:line="360" w:lineRule="exact"/>
              <w:jc w:val="left"/>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eastAsia="zh-CN"/>
              </w:rPr>
              <w:t>贴合政策、环境实际，具备可操作性，与采购人和服务单位能力水平相适应。符合实际、</w:t>
            </w:r>
            <w:r>
              <w:rPr>
                <w:rFonts w:hint="eastAsia" w:ascii="宋体" w:hAnsi="宋体" w:eastAsia="宋体" w:cs="宋体"/>
                <w:b w:val="0"/>
                <w:bCs w:val="0"/>
                <w:color w:val="auto"/>
                <w:sz w:val="21"/>
                <w:szCs w:val="21"/>
                <w:highlight w:val="none"/>
                <w:lang w:val="en-US" w:eastAsia="zh-CN"/>
              </w:rPr>
              <w:t>便于实施的</w:t>
            </w:r>
            <w:r>
              <w:rPr>
                <w:rFonts w:hint="eastAsia" w:ascii="宋体" w:hAnsi="宋体" w:eastAsia="宋体" w:cs="宋体"/>
                <w:b w:val="0"/>
                <w:bCs w:val="0"/>
                <w:color w:val="auto"/>
                <w:sz w:val="21"/>
                <w:szCs w:val="21"/>
                <w:highlight w:val="none"/>
                <w:lang w:eastAsia="zh-CN"/>
              </w:rPr>
              <w:t>计</w:t>
            </w:r>
            <w:r>
              <w:rPr>
                <w:rFonts w:hint="eastAsia" w:ascii="宋体" w:hAnsi="宋体" w:eastAsia="宋体" w:cs="宋体"/>
                <w:b w:val="0"/>
                <w:bCs w:val="0"/>
                <w:color w:val="auto"/>
                <w:sz w:val="21"/>
                <w:szCs w:val="21"/>
                <w:highlight w:val="none"/>
                <w:lang w:val="en-US" w:eastAsia="zh-CN"/>
              </w:rPr>
              <w:t>2分，实施时需要调整的计1分，明显存在实施困难的计0.5分，完全脱离实际的计0分。</w:t>
            </w:r>
          </w:p>
        </w:tc>
      </w:tr>
      <w:tr w14:paraId="555EF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4" w:hRule="atLeast"/>
        </w:trPr>
        <w:tc>
          <w:tcPr>
            <w:tcW w:w="625" w:type="dxa"/>
            <w:vMerge w:val="continue"/>
            <w:noWrap w:val="0"/>
            <w:vAlign w:val="center"/>
          </w:tcPr>
          <w:p w14:paraId="19CADF86">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24E1B0FD">
            <w:pPr>
              <w:pStyle w:val="6"/>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lang w:val="en-US" w:eastAsia="zh-CN"/>
              </w:rPr>
            </w:pPr>
          </w:p>
        </w:tc>
        <w:tc>
          <w:tcPr>
            <w:tcW w:w="711" w:type="dxa"/>
            <w:vMerge w:val="restart"/>
            <w:noWrap w:val="0"/>
            <w:vAlign w:val="center"/>
          </w:tcPr>
          <w:p w14:paraId="40609544">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法律</w:t>
            </w:r>
          </w:p>
          <w:p w14:paraId="6F398387">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顾问</w:t>
            </w:r>
          </w:p>
          <w:p w14:paraId="51C7DA34">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团队</w:t>
            </w:r>
          </w:p>
          <w:p w14:paraId="0575EA7F">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服务</w:t>
            </w:r>
          </w:p>
          <w:p w14:paraId="172AF9FA">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方案</w:t>
            </w:r>
          </w:p>
          <w:p w14:paraId="12AB0B56">
            <w:pPr>
              <w:pStyle w:val="19"/>
              <w:ind w:left="0" w:leftChars="0" w:firstLine="0" w:firstLineChars="0"/>
              <w:jc w:val="center"/>
              <w:rPr>
                <w:rFonts w:hint="default"/>
                <w:color w:val="auto"/>
                <w:lang w:val="en-US" w:eastAsia="zh-CN"/>
              </w:rPr>
            </w:pPr>
            <w:r>
              <w:rPr>
                <w:rFonts w:hint="eastAsia" w:ascii="宋体" w:hAnsi="宋体" w:eastAsia="宋体" w:cs="宋体"/>
                <w:b w:val="0"/>
                <w:bCs w:val="0"/>
                <w:color w:val="auto"/>
                <w:sz w:val="21"/>
                <w:szCs w:val="21"/>
                <w:highlight w:val="none"/>
                <w:lang w:val="en-US" w:eastAsia="zh-CN"/>
              </w:rPr>
              <w:t>5分</w:t>
            </w:r>
          </w:p>
        </w:tc>
        <w:tc>
          <w:tcPr>
            <w:tcW w:w="763" w:type="dxa"/>
            <w:noWrap w:val="0"/>
            <w:vAlign w:val="center"/>
          </w:tcPr>
          <w:p w14:paraId="610B2ACA">
            <w:pPr>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方案</w:t>
            </w:r>
          </w:p>
          <w:p w14:paraId="55B41893">
            <w:pPr>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要点</w:t>
            </w:r>
          </w:p>
          <w:p w14:paraId="50BACA33">
            <w:pPr>
              <w:keepNext w:val="0"/>
              <w:keepLines w:val="0"/>
              <w:pageBreakBefore w:val="0"/>
              <w:widowControl w:val="0"/>
              <w:kinsoku/>
              <w:wordWrap/>
              <w:overflowPunct/>
              <w:topLinePunct w:val="0"/>
              <w:bidi w:val="0"/>
              <w:spacing w:line="360" w:lineRule="exact"/>
              <w:jc w:val="center"/>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4分</w:t>
            </w:r>
          </w:p>
        </w:tc>
        <w:tc>
          <w:tcPr>
            <w:tcW w:w="5794" w:type="dxa"/>
            <w:noWrap w:val="0"/>
            <w:vAlign w:val="center"/>
          </w:tcPr>
          <w:p w14:paraId="28A45615">
            <w:pPr>
              <w:keepNext w:val="0"/>
              <w:keepLines w:val="0"/>
              <w:pageBreakBefore w:val="0"/>
              <w:widowControl w:val="0"/>
              <w:numPr>
                <w:ilvl w:val="0"/>
                <w:numId w:val="0"/>
              </w:numPr>
              <w:kinsoku/>
              <w:wordWrap/>
              <w:overflowPunct/>
              <w:topLinePunct w:val="0"/>
              <w:bidi w:val="0"/>
              <w:spacing w:line="360" w:lineRule="exact"/>
              <w:jc w:val="both"/>
              <w:rPr>
                <w:rFonts w:hint="default" w:ascii="宋体" w:hAnsi="宋体" w:eastAsia="宋体" w:cs="宋体"/>
                <w:b w:val="0"/>
                <w:bCs w:val="0"/>
                <w:color w:val="auto"/>
                <w:kern w:val="0"/>
                <w:sz w:val="21"/>
                <w:szCs w:val="21"/>
                <w:lang w:val="en-US" w:eastAsia="zh-CN" w:bidi="ar-SA"/>
              </w:rPr>
            </w:pPr>
            <w:r>
              <w:rPr>
                <w:rFonts w:hint="eastAsia" w:ascii="宋体" w:hAnsi="宋体" w:eastAsia="宋体" w:cs="宋体"/>
                <w:b w:val="0"/>
                <w:bCs w:val="0"/>
                <w:color w:val="auto"/>
                <w:kern w:val="0"/>
                <w:sz w:val="21"/>
                <w:szCs w:val="21"/>
                <w:lang w:val="en-US" w:eastAsia="zh-CN" w:bidi="ar-SA"/>
              </w:rPr>
              <w:t>方案应包含但不限于以下部分：</w:t>
            </w:r>
          </w:p>
          <w:p w14:paraId="3539518A">
            <w:pPr>
              <w:keepNext w:val="0"/>
              <w:keepLines w:val="0"/>
              <w:pageBreakBefore w:val="0"/>
              <w:widowControl w:val="0"/>
              <w:numPr>
                <w:ilvl w:val="0"/>
                <w:numId w:val="0"/>
              </w:numPr>
              <w:kinsoku/>
              <w:wordWrap/>
              <w:overflowPunct/>
              <w:topLinePunct w:val="0"/>
              <w:bidi w:val="0"/>
              <w:spacing w:line="360" w:lineRule="exact"/>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eastAsia="zh-CN"/>
              </w:rPr>
              <w:t>（</w:t>
            </w:r>
            <w:r>
              <w:rPr>
                <w:rFonts w:hint="eastAsia" w:ascii="宋体" w:hAnsi="宋体" w:eastAsia="宋体" w:cs="宋体"/>
                <w:b w:val="0"/>
                <w:bCs w:val="0"/>
                <w:color w:val="auto"/>
                <w:sz w:val="21"/>
                <w:szCs w:val="21"/>
                <w:highlight w:val="none"/>
                <w:lang w:val="en-US" w:eastAsia="zh-CN"/>
              </w:rPr>
              <w:t>1）团队配置分工：</w:t>
            </w:r>
            <w:r>
              <w:rPr>
                <w:rFonts w:hint="eastAsia" w:ascii="宋体" w:hAnsi="宋体" w:eastAsia="宋体" w:cs="宋体"/>
                <w:b w:val="0"/>
                <w:bCs w:val="0"/>
                <w:color w:val="auto"/>
                <w:sz w:val="21"/>
                <w:szCs w:val="21"/>
                <w:highlight w:val="none"/>
                <w:lang w:eastAsia="zh-CN"/>
              </w:rPr>
              <w:t>律师事务所情况、拟派</w:t>
            </w:r>
            <w:r>
              <w:rPr>
                <w:rFonts w:hint="eastAsia" w:ascii="宋体" w:hAnsi="宋体" w:eastAsia="宋体" w:cs="宋体"/>
                <w:b w:val="0"/>
                <w:bCs w:val="0"/>
                <w:color w:val="auto"/>
                <w:kern w:val="0"/>
                <w:sz w:val="21"/>
                <w:szCs w:val="21"/>
                <w:lang w:val="en-US" w:eastAsia="zh-CN" w:bidi="ar-SA"/>
              </w:rPr>
              <w:t>法律顾问团队</w:t>
            </w:r>
            <w:r>
              <w:rPr>
                <w:rFonts w:hint="eastAsia" w:ascii="宋体" w:hAnsi="宋体" w:eastAsia="宋体" w:cs="宋体"/>
                <w:b w:val="0"/>
                <w:bCs w:val="0"/>
                <w:color w:val="auto"/>
                <w:sz w:val="21"/>
                <w:szCs w:val="21"/>
                <w:highlight w:val="none"/>
                <w:lang w:val="en-US" w:eastAsia="zh-CN"/>
              </w:rPr>
              <w:t>成员具体</w:t>
            </w:r>
            <w:r>
              <w:rPr>
                <w:rFonts w:hint="eastAsia" w:ascii="宋体" w:hAnsi="宋体" w:eastAsia="宋体" w:cs="宋体"/>
                <w:b w:val="0"/>
                <w:bCs w:val="0"/>
                <w:color w:val="auto"/>
                <w:sz w:val="21"/>
                <w:szCs w:val="21"/>
                <w:highlight w:val="none"/>
                <w:lang w:eastAsia="zh-CN"/>
              </w:rPr>
              <w:t>情况</w:t>
            </w:r>
            <w:r>
              <w:rPr>
                <w:rFonts w:hint="eastAsia" w:ascii="宋体" w:hAnsi="宋体" w:eastAsia="宋体" w:cs="宋体"/>
                <w:b w:val="0"/>
                <w:bCs w:val="0"/>
                <w:color w:val="auto"/>
                <w:sz w:val="21"/>
                <w:szCs w:val="21"/>
                <w:highlight w:val="none"/>
                <w:lang w:val="en-US" w:eastAsia="zh-CN"/>
              </w:rPr>
              <w:t>及其擅长领域、团队成员分工（包括团队负责人、非诉业务主要承办人、诉讼业务主要承办人、坐班律师等）。</w:t>
            </w:r>
          </w:p>
          <w:p w14:paraId="4977B6B1">
            <w:pPr>
              <w:pStyle w:val="19"/>
              <w:ind w:left="0" w:leftChars="0" w:firstLine="0" w:firstLineChars="0"/>
              <w:jc w:val="both"/>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（2）团队服务方案及服务承诺：结合采购人情况和行业特点，提出法律顾问团队具体服务方案，包含非诉、诉讼方面</w:t>
            </w:r>
            <w:r>
              <w:rPr>
                <w:rFonts w:hint="eastAsia" w:ascii="宋体" w:hAnsi="宋体" w:eastAsia="宋体" w:cs="宋体"/>
                <w:b w:val="0"/>
                <w:bCs w:val="0"/>
                <w:color w:val="auto"/>
                <w:sz w:val="21"/>
                <w:szCs w:val="21"/>
                <w:highlight w:val="none"/>
                <w:lang w:eastAsia="zh-CN"/>
              </w:rPr>
              <w:t>服务</w:t>
            </w:r>
            <w:r>
              <w:rPr>
                <w:rFonts w:hint="eastAsia" w:ascii="宋体" w:hAnsi="宋体" w:eastAsia="宋体" w:cs="宋体"/>
                <w:b w:val="0"/>
                <w:bCs w:val="0"/>
                <w:color w:val="auto"/>
                <w:sz w:val="21"/>
                <w:szCs w:val="21"/>
                <w:highlight w:val="none"/>
                <w:lang w:val="en-US" w:eastAsia="zh-CN"/>
              </w:rPr>
              <w:t>的</w:t>
            </w:r>
            <w:r>
              <w:rPr>
                <w:rFonts w:hint="eastAsia" w:ascii="宋体" w:hAnsi="宋体" w:eastAsia="宋体" w:cs="宋体"/>
                <w:b w:val="0"/>
                <w:bCs w:val="0"/>
                <w:color w:val="auto"/>
                <w:sz w:val="21"/>
                <w:szCs w:val="21"/>
                <w:highlight w:val="none"/>
                <w:lang w:eastAsia="zh-CN"/>
              </w:rPr>
              <w:t>内容、方式、</w:t>
            </w:r>
            <w:r>
              <w:rPr>
                <w:rFonts w:hint="eastAsia" w:ascii="宋体" w:hAnsi="宋体" w:eastAsia="宋体" w:cs="宋体"/>
                <w:b w:val="0"/>
                <w:bCs w:val="0"/>
                <w:color w:val="auto"/>
                <w:sz w:val="21"/>
                <w:szCs w:val="21"/>
                <w:highlight w:val="none"/>
                <w:lang w:val="en-US" w:eastAsia="zh-CN"/>
              </w:rPr>
              <w:t>响应时间</w:t>
            </w:r>
            <w:r>
              <w:rPr>
                <w:rFonts w:hint="eastAsia" w:ascii="宋体" w:hAnsi="宋体" w:eastAsia="宋体" w:cs="宋体"/>
                <w:b w:val="0"/>
                <w:bCs w:val="0"/>
                <w:color w:val="auto"/>
                <w:sz w:val="21"/>
                <w:szCs w:val="21"/>
                <w:highlight w:val="none"/>
                <w:lang w:eastAsia="zh-CN"/>
              </w:rPr>
              <w:t>和</w:t>
            </w:r>
            <w:r>
              <w:rPr>
                <w:rFonts w:hint="eastAsia" w:ascii="宋体" w:hAnsi="宋体" w:eastAsia="宋体" w:cs="宋体"/>
                <w:b w:val="0"/>
                <w:bCs w:val="0"/>
                <w:color w:val="auto"/>
                <w:sz w:val="21"/>
                <w:szCs w:val="21"/>
                <w:highlight w:val="none"/>
                <w:lang w:val="en-US" w:eastAsia="zh-CN"/>
              </w:rPr>
              <w:t>具体</w:t>
            </w:r>
            <w:r>
              <w:rPr>
                <w:rFonts w:hint="eastAsia" w:ascii="宋体" w:hAnsi="宋体" w:eastAsia="宋体" w:cs="宋体"/>
                <w:b w:val="0"/>
                <w:bCs w:val="0"/>
                <w:color w:val="auto"/>
                <w:sz w:val="21"/>
                <w:szCs w:val="21"/>
                <w:highlight w:val="none"/>
                <w:lang w:eastAsia="zh-CN"/>
              </w:rPr>
              <w:t>措施</w:t>
            </w:r>
            <w:r>
              <w:rPr>
                <w:rFonts w:hint="eastAsia" w:ascii="宋体" w:hAnsi="宋体" w:eastAsia="宋体" w:cs="宋体"/>
                <w:b w:val="0"/>
                <w:bCs w:val="0"/>
                <w:color w:val="auto"/>
                <w:sz w:val="21"/>
                <w:szCs w:val="21"/>
                <w:highlight w:val="none"/>
                <w:lang w:val="en-US" w:eastAsia="zh-CN"/>
              </w:rPr>
              <w:t>等</w:t>
            </w:r>
            <w:r>
              <w:rPr>
                <w:rFonts w:hint="eastAsia" w:ascii="宋体" w:hAnsi="宋体" w:eastAsia="宋体" w:cs="宋体"/>
                <w:b w:val="0"/>
                <w:bCs w:val="0"/>
                <w:color w:val="auto"/>
                <w:sz w:val="21"/>
                <w:szCs w:val="21"/>
                <w:highlight w:val="none"/>
                <w:lang w:eastAsia="zh-CN"/>
              </w:rPr>
              <w:t>。</w:t>
            </w:r>
          </w:p>
          <w:p w14:paraId="7EB2E699">
            <w:pPr>
              <w:keepNext w:val="0"/>
              <w:keepLines w:val="0"/>
              <w:pageBreakBefore w:val="0"/>
              <w:widowControl w:val="0"/>
              <w:kinsoku/>
              <w:wordWrap/>
              <w:overflowPunct/>
              <w:topLinePunct w:val="0"/>
              <w:bidi w:val="0"/>
              <w:spacing w:line="360" w:lineRule="exact"/>
              <w:jc w:val="left"/>
              <w:rPr>
                <w:rFonts w:hint="eastAsia" w:ascii="宋体" w:hAnsi="宋体" w:eastAsia="宋体" w:cs="宋体"/>
                <w:b w:val="0"/>
                <w:bCs w:val="0"/>
                <w:color w:val="auto"/>
                <w:sz w:val="21"/>
                <w:szCs w:val="21"/>
                <w:highlight w:val="none"/>
                <w:lang w:eastAsia="zh-CN"/>
              </w:rPr>
            </w:pPr>
            <w:r>
              <w:rPr>
                <w:rFonts w:hint="eastAsia" w:ascii="宋体" w:hAnsi="宋体" w:eastAsia="宋体" w:cs="宋体"/>
                <w:b w:val="0"/>
                <w:bCs w:val="0"/>
                <w:color w:val="auto"/>
                <w:sz w:val="21"/>
                <w:szCs w:val="21"/>
                <w:highlight w:val="none"/>
                <w:lang w:val="en-US" w:eastAsia="zh-CN"/>
              </w:rPr>
              <w:t>要求服务方案思路清晰、内容全面、符合行业特点、具备可操作性，完全符合的计4分，大致符合、略有不足计3分，基本符合、有待完善计2分，完全不符合以上四点要求的计0分。</w:t>
            </w:r>
          </w:p>
        </w:tc>
      </w:tr>
      <w:tr w14:paraId="5CD09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4" w:hRule="atLeast"/>
        </w:trPr>
        <w:tc>
          <w:tcPr>
            <w:tcW w:w="625" w:type="dxa"/>
            <w:vMerge w:val="continue"/>
            <w:noWrap w:val="0"/>
            <w:vAlign w:val="center"/>
          </w:tcPr>
          <w:p w14:paraId="6AD71255">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1E78D926">
            <w:pPr>
              <w:pStyle w:val="6"/>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lang w:val="en-US" w:eastAsia="zh-CN"/>
              </w:rPr>
            </w:pPr>
          </w:p>
        </w:tc>
        <w:tc>
          <w:tcPr>
            <w:tcW w:w="711" w:type="dxa"/>
            <w:vMerge w:val="continue"/>
            <w:noWrap w:val="0"/>
            <w:vAlign w:val="center"/>
          </w:tcPr>
          <w:p w14:paraId="749E5D7E">
            <w:pPr>
              <w:pStyle w:val="19"/>
              <w:ind w:left="0" w:leftChars="0" w:firstLine="0" w:firstLineChars="0"/>
              <w:jc w:val="center"/>
              <w:rPr>
                <w:rFonts w:hint="eastAsia" w:ascii="宋体" w:hAnsi="宋体" w:eastAsia="宋体" w:cs="宋体"/>
                <w:b w:val="0"/>
                <w:bCs w:val="0"/>
                <w:color w:val="auto"/>
                <w:sz w:val="21"/>
                <w:szCs w:val="21"/>
                <w:highlight w:val="none"/>
                <w:lang w:val="en-US" w:eastAsia="zh-CN"/>
              </w:rPr>
            </w:pPr>
          </w:p>
        </w:tc>
        <w:tc>
          <w:tcPr>
            <w:tcW w:w="763" w:type="dxa"/>
            <w:noWrap w:val="0"/>
            <w:vAlign w:val="center"/>
          </w:tcPr>
          <w:p w14:paraId="02635021">
            <w:pPr>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创新性</w:t>
            </w:r>
          </w:p>
          <w:p w14:paraId="04C3EF32">
            <w:pPr>
              <w:pStyle w:val="19"/>
              <w:ind w:left="0" w:leftChars="0" w:firstLine="0" w:firstLineChars="0"/>
              <w:jc w:val="center"/>
              <w:rPr>
                <w:rFonts w:hint="default"/>
                <w:color w:val="auto"/>
                <w:lang w:val="en-US" w:eastAsia="zh-CN"/>
              </w:rPr>
            </w:pPr>
            <w:r>
              <w:rPr>
                <w:rFonts w:hint="eastAsia" w:ascii="宋体" w:hAnsi="宋体" w:eastAsia="宋体" w:cs="宋体"/>
                <w:b w:val="0"/>
                <w:bCs w:val="0"/>
                <w:color w:val="auto"/>
                <w:sz w:val="21"/>
                <w:szCs w:val="21"/>
                <w:highlight w:val="none"/>
                <w:lang w:val="en-US" w:eastAsia="zh-CN"/>
              </w:rPr>
              <w:t>1分</w:t>
            </w:r>
          </w:p>
        </w:tc>
        <w:tc>
          <w:tcPr>
            <w:tcW w:w="5794" w:type="dxa"/>
            <w:noWrap w:val="0"/>
            <w:vAlign w:val="center"/>
          </w:tcPr>
          <w:p w14:paraId="1962A353">
            <w:pPr>
              <w:keepNext w:val="0"/>
              <w:keepLines w:val="0"/>
              <w:pageBreakBefore w:val="0"/>
              <w:widowControl w:val="0"/>
              <w:kinsoku/>
              <w:wordWrap/>
              <w:overflowPunct/>
              <w:topLinePunct w:val="0"/>
              <w:bidi w:val="0"/>
              <w:spacing w:line="360" w:lineRule="exact"/>
              <w:jc w:val="left"/>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法律顾问团队服务方案有创新性且具备可操作性，计1分。</w:t>
            </w:r>
          </w:p>
        </w:tc>
      </w:tr>
      <w:tr w14:paraId="5E41C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94" w:hRule="atLeast"/>
        </w:trPr>
        <w:tc>
          <w:tcPr>
            <w:tcW w:w="625" w:type="dxa"/>
            <w:vMerge w:val="continue"/>
            <w:noWrap w:val="0"/>
            <w:vAlign w:val="center"/>
          </w:tcPr>
          <w:p w14:paraId="0C787D3D">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044BD0C0">
            <w:pPr>
              <w:pStyle w:val="6"/>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lang w:val="en-US" w:eastAsia="zh-CN"/>
              </w:rPr>
            </w:pPr>
          </w:p>
        </w:tc>
        <w:tc>
          <w:tcPr>
            <w:tcW w:w="711" w:type="dxa"/>
            <w:noWrap w:val="0"/>
            <w:vAlign w:val="center"/>
          </w:tcPr>
          <w:p w14:paraId="019C1E65">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坐班</w:t>
            </w:r>
          </w:p>
          <w:p w14:paraId="7E48C018">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服务</w:t>
            </w:r>
          </w:p>
          <w:p w14:paraId="3A6FED87">
            <w:pPr>
              <w:keepNext w:val="0"/>
              <w:keepLines w:val="0"/>
              <w:pageBreakBefore w:val="0"/>
              <w:widowControl w:val="0"/>
              <w:kinsoku/>
              <w:wordWrap/>
              <w:overflowPunct/>
              <w:topLinePunct w:val="0"/>
              <w:bidi w:val="0"/>
              <w:adjustRightInd w:val="0"/>
              <w:snapToGrid w:val="0"/>
              <w:spacing w:line="360" w:lineRule="exact"/>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7分</w:t>
            </w:r>
          </w:p>
        </w:tc>
        <w:tc>
          <w:tcPr>
            <w:tcW w:w="6557" w:type="dxa"/>
            <w:gridSpan w:val="2"/>
            <w:noWrap w:val="0"/>
            <w:vAlign w:val="center"/>
          </w:tcPr>
          <w:p w14:paraId="7C8FDF1E">
            <w:pPr>
              <w:keepNext w:val="0"/>
              <w:keepLines w:val="0"/>
              <w:pageBreakBefore w:val="0"/>
              <w:widowControl w:val="0"/>
              <w:kinsoku/>
              <w:wordWrap/>
              <w:overflowPunct/>
              <w:topLinePunct w:val="0"/>
              <w:bidi w:val="0"/>
              <w:spacing w:line="360" w:lineRule="exact"/>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拟派执业年限在3年及以上的专职律师坐班，每月坐班时间为4个工作日，在此基础上每月坐班时间每增加1个工作日加0.5分，本项累计最高不超过7分。</w:t>
            </w:r>
            <w:r>
              <w:rPr>
                <w:rFonts w:hint="eastAsia" w:ascii="宋体" w:hAnsi="宋体" w:eastAsia="宋体" w:cs="宋体"/>
                <w:b/>
                <w:bCs/>
                <w:color w:val="auto"/>
                <w:kern w:val="2"/>
                <w:sz w:val="21"/>
                <w:szCs w:val="21"/>
                <w:lang w:val="en-US" w:eastAsia="zh-CN" w:bidi="ar-SA"/>
              </w:rPr>
              <w:t>执业年限不符合要求不记分。</w:t>
            </w:r>
          </w:p>
          <w:p w14:paraId="1E52C8A5">
            <w:pPr>
              <w:pStyle w:val="19"/>
              <w:ind w:left="0" w:leftChars="0" w:firstLine="0" w:firstLineChars="0"/>
              <w:rPr>
                <w:rFonts w:hint="default"/>
                <w:color w:val="auto"/>
                <w:lang w:val="en-US" w:eastAsia="zh-CN"/>
              </w:rPr>
            </w:pPr>
            <w:r>
              <w:rPr>
                <w:rFonts w:hint="default" w:ascii="宋体" w:hAnsi="宋体" w:eastAsia="宋体" w:cs="宋体"/>
                <w:b/>
                <w:bCs/>
                <w:color w:val="auto"/>
                <w:kern w:val="2"/>
                <w:sz w:val="21"/>
                <w:szCs w:val="21"/>
                <w:lang w:val="en-US" w:eastAsia="zh-CN" w:bidi="ar-SA"/>
              </w:rPr>
              <w:t>（提供律师诚信信息公示平台首次批准执业日期截图并加盖供应商公章）</w:t>
            </w:r>
          </w:p>
        </w:tc>
      </w:tr>
      <w:tr w14:paraId="11DDE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0" w:hRule="atLeast"/>
        </w:trPr>
        <w:tc>
          <w:tcPr>
            <w:tcW w:w="625" w:type="dxa"/>
            <w:vMerge w:val="restart"/>
            <w:noWrap w:val="0"/>
            <w:vAlign w:val="center"/>
          </w:tcPr>
          <w:p w14:paraId="61703364">
            <w:pPr>
              <w:pStyle w:val="5"/>
              <w:keepNext w:val="0"/>
              <w:keepLines w:val="0"/>
              <w:pageBreakBefore w:val="0"/>
              <w:widowControl w:val="0"/>
              <w:kinsoku/>
              <w:wordWrap/>
              <w:overflowPunct/>
              <w:topLinePunct w:val="0"/>
              <w:bidi w:val="0"/>
              <w:spacing w:line="360" w:lineRule="exact"/>
              <w:ind w:left="0" w:leftChars="0" w:firstLine="210" w:firstLineChars="100"/>
              <w:jc w:val="left"/>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3</w:t>
            </w:r>
          </w:p>
        </w:tc>
        <w:tc>
          <w:tcPr>
            <w:tcW w:w="952" w:type="dxa"/>
            <w:vMerge w:val="restart"/>
            <w:noWrap w:val="0"/>
            <w:vAlign w:val="center"/>
          </w:tcPr>
          <w:p w14:paraId="3B2A9D87">
            <w:pPr>
              <w:pStyle w:val="5"/>
              <w:keepNext w:val="0"/>
              <w:keepLines w:val="0"/>
              <w:pageBreakBefore w:val="0"/>
              <w:widowControl w:val="0"/>
              <w:kinsoku/>
              <w:wordWrap/>
              <w:overflowPunct/>
              <w:topLinePunct w:val="0"/>
              <w:bidi w:val="0"/>
              <w:spacing w:line="360" w:lineRule="exact"/>
              <w:ind w:left="0" w:leftChars="0" w:firstLine="0" w:firstLineChars="0"/>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商务</w:t>
            </w:r>
          </w:p>
          <w:p w14:paraId="6AA9908B">
            <w:pPr>
              <w:pStyle w:val="6"/>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highlight w:val="none"/>
                <w:lang w:val="en-US" w:eastAsia="zh-CN"/>
              </w:rPr>
              <w:t>40分</w:t>
            </w:r>
          </w:p>
        </w:tc>
        <w:tc>
          <w:tcPr>
            <w:tcW w:w="711" w:type="dxa"/>
            <w:vMerge w:val="restart"/>
            <w:noWrap w:val="0"/>
            <w:vAlign w:val="center"/>
          </w:tcPr>
          <w:p w14:paraId="38D981DD">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综合</w:t>
            </w:r>
          </w:p>
          <w:p w14:paraId="11C17627">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实力</w:t>
            </w:r>
          </w:p>
          <w:p w14:paraId="24C2D7F5">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highlight w:val="none"/>
                <w:lang w:val="en-US" w:eastAsia="zh-CN"/>
              </w:rPr>
              <w:t>9分</w:t>
            </w:r>
          </w:p>
        </w:tc>
        <w:tc>
          <w:tcPr>
            <w:tcW w:w="763" w:type="dxa"/>
            <w:shd w:val="clear" w:color="auto" w:fill="auto"/>
            <w:noWrap w:val="0"/>
            <w:vAlign w:val="center"/>
          </w:tcPr>
          <w:p w14:paraId="1E83F793">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sz w:val="21"/>
                <w:szCs w:val="21"/>
                <w:lang w:val="en-US" w:eastAsia="zh-CN"/>
              </w:rPr>
              <w:t>2分</w:t>
            </w:r>
          </w:p>
        </w:tc>
        <w:tc>
          <w:tcPr>
            <w:tcW w:w="5794" w:type="dxa"/>
            <w:shd w:val="clear" w:color="auto" w:fill="auto"/>
            <w:noWrap w:val="0"/>
            <w:vAlign w:val="center"/>
          </w:tcPr>
          <w:p w14:paraId="38B71CE8">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专职注册执业律师人数在5人以下不计分，5-9人计0.5分，10-14人计1分，15-19人计1.5分，20人及以上计2分。</w:t>
            </w:r>
          </w:p>
          <w:p w14:paraId="6C4AF913">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bCs/>
                <w:color w:val="auto"/>
                <w:sz w:val="21"/>
                <w:szCs w:val="21"/>
                <w:lang w:val="en-US" w:eastAsia="zh-CN"/>
              </w:rPr>
              <w:t>（提供名册复印件</w:t>
            </w:r>
            <w:r>
              <w:rPr>
                <w:rFonts w:hint="eastAsia" w:ascii="宋体" w:hAnsi="宋体" w:eastAsia="宋体" w:cs="宋体"/>
                <w:b/>
                <w:bCs/>
                <w:color w:val="auto"/>
                <w:kern w:val="2"/>
                <w:sz w:val="21"/>
                <w:szCs w:val="21"/>
                <w:lang w:val="en-US" w:eastAsia="zh-CN" w:bidi="ar-SA"/>
              </w:rPr>
              <w:t>并加盖供应商公章</w:t>
            </w:r>
            <w:r>
              <w:rPr>
                <w:rFonts w:hint="eastAsia" w:ascii="宋体" w:hAnsi="宋体" w:eastAsia="宋体" w:cs="宋体"/>
                <w:b/>
                <w:bCs/>
                <w:color w:val="auto"/>
                <w:sz w:val="21"/>
                <w:szCs w:val="21"/>
                <w:lang w:val="en-US" w:eastAsia="zh-CN"/>
              </w:rPr>
              <w:t>）</w:t>
            </w:r>
          </w:p>
        </w:tc>
      </w:tr>
      <w:tr w14:paraId="20AD74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0" w:hRule="atLeast"/>
        </w:trPr>
        <w:tc>
          <w:tcPr>
            <w:tcW w:w="625" w:type="dxa"/>
            <w:vMerge w:val="continue"/>
            <w:noWrap w:val="0"/>
            <w:vAlign w:val="center"/>
          </w:tcPr>
          <w:p w14:paraId="2D357F47">
            <w:pPr>
              <w:pStyle w:val="5"/>
              <w:keepNext w:val="0"/>
              <w:keepLines w:val="0"/>
              <w:pageBreakBefore w:val="0"/>
              <w:widowControl w:val="0"/>
              <w:kinsoku/>
              <w:wordWrap/>
              <w:overflowPunct/>
              <w:topLinePunct w:val="0"/>
              <w:bidi w:val="0"/>
              <w:spacing w:line="360" w:lineRule="exact"/>
              <w:ind w:left="0" w:leftChars="0" w:firstLine="210" w:firstLineChars="100"/>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3D735AB1">
            <w:pPr>
              <w:pStyle w:val="6"/>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highlight w:val="none"/>
                <w:lang w:val="en-US" w:eastAsia="zh-CN"/>
              </w:rPr>
            </w:pPr>
          </w:p>
        </w:tc>
        <w:tc>
          <w:tcPr>
            <w:tcW w:w="711" w:type="dxa"/>
            <w:vMerge w:val="continue"/>
            <w:noWrap w:val="0"/>
            <w:vAlign w:val="center"/>
          </w:tcPr>
          <w:p w14:paraId="69E89396">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p>
        </w:tc>
        <w:tc>
          <w:tcPr>
            <w:tcW w:w="763" w:type="dxa"/>
            <w:shd w:val="clear" w:color="auto" w:fill="auto"/>
            <w:noWrap w:val="0"/>
            <w:vAlign w:val="center"/>
          </w:tcPr>
          <w:p w14:paraId="589D5D6C">
            <w:pPr>
              <w:keepNext w:val="0"/>
              <w:keepLines w:val="0"/>
              <w:pageBreakBefore w:val="0"/>
              <w:widowControl w:val="0"/>
              <w:kinsoku/>
              <w:wordWrap/>
              <w:overflowPunct/>
              <w:topLinePunct w:val="0"/>
              <w:bidi w:val="0"/>
              <w:adjustRightInd w:val="0"/>
              <w:snapToGrid w:val="0"/>
              <w:spacing w:line="360" w:lineRule="exact"/>
              <w:jc w:val="left"/>
              <w:rPr>
                <w:rFonts w:hint="default"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2分</w:t>
            </w:r>
          </w:p>
        </w:tc>
        <w:tc>
          <w:tcPr>
            <w:tcW w:w="5794" w:type="dxa"/>
            <w:shd w:val="clear" w:color="auto" w:fill="auto"/>
            <w:noWrap w:val="0"/>
            <w:vAlign w:val="center"/>
          </w:tcPr>
          <w:p w14:paraId="6AC2B98C">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both"/>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律师事务所及本所律师自2021年1月起未受过司法行政机关行政处罚或律师协会行业处分计1分（提供司法行政主管部门、律师协会公章书面证明）；律师事务所2021年、2022年、2023年的年度考核均为合格计1分（提供年度考核记录复印件）；不满足条件的不计分。</w:t>
            </w:r>
          </w:p>
          <w:p w14:paraId="4176A513">
            <w:pPr>
              <w:pStyle w:val="19"/>
              <w:ind w:left="0" w:leftChars="0" w:firstLine="0" w:firstLineChars="0"/>
              <w:rPr>
                <w:rFonts w:hint="default"/>
                <w:color w:val="auto"/>
                <w:lang w:val="en-US" w:eastAsia="zh-CN"/>
              </w:rPr>
            </w:pPr>
            <w:r>
              <w:rPr>
                <w:rFonts w:hint="eastAsia" w:ascii="宋体" w:hAnsi="宋体" w:eastAsia="宋体" w:cs="宋体"/>
                <w:b/>
                <w:bCs/>
                <w:color w:val="auto"/>
                <w:kern w:val="2"/>
                <w:sz w:val="21"/>
                <w:szCs w:val="21"/>
                <w:lang w:val="en-US" w:eastAsia="zh-CN" w:bidi="ar-SA"/>
              </w:rPr>
              <w:t>（所有提供资料均须加盖供应商公章）</w:t>
            </w:r>
          </w:p>
        </w:tc>
      </w:tr>
      <w:tr w14:paraId="3B5DE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10" w:hRule="atLeast"/>
        </w:trPr>
        <w:tc>
          <w:tcPr>
            <w:tcW w:w="625" w:type="dxa"/>
            <w:vMerge w:val="continue"/>
            <w:noWrap w:val="0"/>
            <w:vAlign w:val="center"/>
          </w:tcPr>
          <w:p w14:paraId="6212B55A">
            <w:pPr>
              <w:pStyle w:val="5"/>
              <w:keepNext w:val="0"/>
              <w:keepLines w:val="0"/>
              <w:pageBreakBefore w:val="0"/>
              <w:widowControl w:val="0"/>
              <w:kinsoku/>
              <w:wordWrap/>
              <w:overflowPunct/>
              <w:topLinePunct w:val="0"/>
              <w:bidi w:val="0"/>
              <w:spacing w:line="360" w:lineRule="exact"/>
              <w:ind w:left="0" w:leftChars="0" w:firstLine="210" w:firstLineChars="100"/>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3CA74261">
            <w:pPr>
              <w:pStyle w:val="6"/>
              <w:keepNext w:val="0"/>
              <w:keepLines w:val="0"/>
              <w:pageBreakBefore w:val="0"/>
              <w:widowControl w:val="0"/>
              <w:kinsoku/>
              <w:wordWrap/>
              <w:overflowPunct/>
              <w:topLinePunct w:val="0"/>
              <w:bidi w:val="0"/>
              <w:spacing w:line="360" w:lineRule="exact"/>
              <w:jc w:val="center"/>
              <w:rPr>
                <w:rFonts w:hint="eastAsia" w:ascii="宋体" w:hAnsi="宋体" w:eastAsia="宋体" w:cs="宋体"/>
                <w:b w:val="0"/>
                <w:bCs w:val="0"/>
                <w:color w:val="auto"/>
                <w:sz w:val="21"/>
                <w:szCs w:val="21"/>
                <w:highlight w:val="none"/>
                <w:lang w:val="en-US" w:eastAsia="zh-CN"/>
              </w:rPr>
            </w:pPr>
          </w:p>
        </w:tc>
        <w:tc>
          <w:tcPr>
            <w:tcW w:w="711" w:type="dxa"/>
            <w:vMerge w:val="continue"/>
            <w:noWrap w:val="0"/>
            <w:vAlign w:val="center"/>
          </w:tcPr>
          <w:p w14:paraId="2AD9CE0A">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p>
        </w:tc>
        <w:tc>
          <w:tcPr>
            <w:tcW w:w="763" w:type="dxa"/>
            <w:shd w:val="clear" w:color="auto" w:fill="auto"/>
            <w:noWrap w:val="0"/>
            <w:vAlign w:val="center"/>
          </w:tcPr>
          <w:p w14:paraId="5D10F069">
            <w:pPr>
              <w:keepNext w:val="0"/>
              <w:keepLines w:val="0"/>
              <w:pageBreakBefore w:val="0"/>
              <w:widowControl w:val="0"/>
              <w:kinsoku/>
              <w:wordWrap/>
              <w:overflowPunct/>
              <w:topLinePunct w:val="0"/>
              <w:bidi w:val="0"/>
              <w:adjustRightInd w:val="0"/>
              <w:snapToGrid w:val="0"/>
              <w:spacing w:line="360" w:lineRule="exact"/>
              <w:jc w:val="left"/>
              <w:rPr>
                <w:rFonts w:hint="default"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2分</w:t>
            </w:r>
          </w:p>
        </w:tc>
        <w:tc>
          <w:tcPr>
            <w:tcW w:w="5794" w:type="dxa"/>
            <w:shd w:val="clear" w:color="auto" w:fill="auto"/>
            <w:noWrap w:val="0"/>
            <w:vAlign w:val="center"/>
          </w:tcPr>
          <w:p w14:paraId="18871591">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both"/>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成功创建为市级律师事务所规范化建设合格所的（或被其他市的同类评比评定为相同级别的），计1分；成功创建为市级律师事务所规范化建设示范所的（或被其他市的同类评比评定为相同级别的），计1.5分；成功创建为省级律师事务所规范化建设合格所的（或被其他省的同类评比评定为相同级别的），计1.5分；成功创建为省级律师事务所规范化建设示范所的（或被其他省的同类评比评定为相同级别的），计2分；</w:t>
            </w:r>
            <w:r>
              <w:rPr>
                <w:rFonts w:hint="eastAsia" w:ascii="宋体" w:hAnsi="宋体" w:eastAsia="宋体" w:cs="宋体"/>
                <w:b/>
                <w:bCs/>
                <w:color w:val="auto"/>
                <w:kern w:val="2"/>
                <w:sz w:val="21"/>
                <w:szCs w:val="21"/>
                <w:highlight w:val="none"/>
                <w:lang w:val="en-US" w:eastAsia="zh-CN" w:bidi="ar-SA"/>
              </w:rPr>
              <w:t>规范化建设创建中未经验收合格的不计分。被市级及以上多个层级评定的，按最高层级评定的荣誉计分，不重复计分。</w:t>
            </w:r>
            <w:r>
              <w:rPr>
                <w:rFonts w:hint="eastAsia" w:ascii="宋体" w:hAnsi="宋体" w:eastAsia="宋体" w:cs="宋体"/>
                <w:b w:val="0"/>
                <w:bCs w:val="0"/>
                <w:color w:val="auto"/>
                <w:kern w:val="2"/>
                <w:sz w:val="21"/>
                <w:szCs w:val="21"/>
                <w:highlight w:val="none"/>
                <w:lang w:val="en-US" w:eastAsia="zh-CN" w:bidi="ar-SA"/>
              </w:rPr>
              <w:t>创建结果以司法行政主管部门和律师协会发布的最新考评结果为准。</w:t>
            </w:r>
          </w:p>
          <w:p w14:paraId="315096AB">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both"/>
              <w:rPr>
                <w:rFonts w:hint="default" w:ascii="宋体" w:hAnsi="宋体" w:eastAsia="宋体" w:cs="宋体"/>
                <w:b w:val="0"/>
                <w:bCs w:val="0"/>
                <w:color w:val="auto"/>
                <w:kern w:val="2"/>
                <w:sz w:val="21"/>
                <w:szCs w:val="21"/>
                <w:lang w:val="en-US" w:eastAsia="zh-CN" w:bidi="ar-SA"/>
              </w:rPr>
            </w:pPr>
            <w:r>
              <w:rPr>
                <w:rFonts w:hint="eastAsia" w:ascii="宋体" w:hAnsi="宋体" w:eastAsia="宋体" w:cs="宋体"/>
                <w:b/>
                <w:bCs/>
                <w:color w:val="auto"/>
                <w:kern w:val="2"/>
                <w:sz w:val="21"/>
                <w:szCs w:val="21"/>
                <w:highlight w:val="none"/>
                <w:lang w:val="en-US" w:eastAsia="zh-CN" w:bidi="ar-SA"/>
              </w:rPr>
              <w:t>（提供文件等证明资料复印件并加盖供应商公章）</w:t>
            </w:r>
          </w:p>
        </w:tc>
      </w:tr>
      <w:tr w14:paraId="05650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964" w:hRule="atLeast"/>
        </w:trPr>
        <w:tc>
          <w:tcPr>
            <w:tcW w:w="625" w:type="dxa"/>
            <w:vMerge w:val="continue"/>
            <w:noWrap w:val="0"/>
            <w:vAlign w:val="center"/>
          </w:tcPr>
          <w:p w14:paraId="64628D44">
            <w:pPr>
              <w:pStyle w:val="5"/>
              <w:keepNext w:val="0"/>
              <w:keepLines w:val="0"/>
              <w:pageBreakBefore w:val="0"/>
              <w:widowControl w:val="0"/>
              <w:kinsoku/>
              <w:wordWrap/>
              <w:overflowPunct/>
              <w:topLinePunct w:val="0"/>
              <w:bidi w:val="0"/>
              <w:spacing w:line="360" w:lineRule="exact"/>
              <w:ind w:left="0" w:leftChars="0" w:firstLine="210" w:firstLineChars="100"/>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54B6DF61">
            <w:pPr>
              <w:pStyle w:val="6"/>
              <w:keepNext w:val="0"/>
              <w:keepLines w:val="0"/>
              <w:pageBreakBefore w:val="0"/>
              <w:widowControl w:val="0"/>
              <w:kinsoku/>
              <w:wordWrap/>
              <w:overflowPunct/>
              <w:topLinePunct w:val="0"/>
              <w:bidi w:val="0"/>
              <w:spacing w:line="360" w:lineRule="exact"/>
              <w:jc w:val="left"/>
              <w:rPr>
                <w:rFonts w:hint="eastAsia" w:ascii="宋体" w:hAnsi="宋体" w:eastAsia="宋体" w:cs="宋体"/>
                <w:b w:val="0"/>
                <w:bCs w:val="0"/>
                <w:color w:val="auto"/>
                <w:sz w:val="21"/>
                <w:szCs w:val="21"/>
                <w:lang w:val="en-US" w:eastAsia="zh-CN"/>
              </w:rPr>
            </w:pPr>
          </w:p>
        </w:tc>
        <w:tc>
          <w:tcPr>
            <w:tcW w:w="711" w:type="dxa"/>
            <w:vMerge w:val="continue"/>
            <w:noWrap w:val="0"/>
            <w:vAlign w:val="center"/>
          </w:tcPr>
          <w:p w14:paraId="6B788337">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763" w:type="dxa"/>
            <w:shd w:val="clear" w:color="auto" w:fill="auto"/>
            <w:noWrap w:val="0"/>
            <w:vAlign w:val="center"/>
          </w:tcPr>
          <w:p w14:paraId="7B0B7B8E">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sz w:val="21"/>
                <w:szCs w:val="21"/>
                <w:lang w:val="en-US" w:eastAsia="zh-CN"/>
              </w:rPr>
              <w:t>3分</w:t>
            </w:r>
          </w:p>
        </w:tc>
        <w:tc>
          <w:tcPr>
            <w:tcW w:w="5794" w:type="dxa"/>
            <w:shd w:val="clear" w:color="auto" w:fill="auto"/>
            <w:noWrap w:val="0"/>
            <w:vAlign w:val="center"/>
          </w:tcPr>
          <w:p w14:paraId="229B5F9C">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律师事务所获得司法行政主管部门、律协市级及以上“优秀律师事务所”荣誉，获每项市级计0.5分、省级计1.5分、国家级计3分；最高不超过3分。</w:t>
            </w:r>
            <w:r>
              <w:rPr>
                <w:rFonts w:hint="eastAsia" w:ascii="宋体" w:hAnsi="宋体" w:eastAsia="宋体" w:cs="宋体"/>
                <w:b/>
                <w:bCs/>
                <w:color w:val="auto"/>
                <w:sz w:val="21"/>
                <w:szCs w:val="21"/>
                <w:highlight w:val="none"/>
                <w:lang w:val="en-US" w:eastAsia="zh-CN"/>
              </w:rPr>
              <w:t>未获过荣誉不计分。同一年度</w:t>
            </w:r>
            <w:r>
              <w:rPr>
                <w:rFonts w:hint="eastAsia" w:ascii="宋体" w:hAnsi="宋体" w:eastAsia="宋体" w:cs="宋体"/>
                <w:b/>
                <w:bCs/>
                <w:color w:val="auto"/>
                <w:kern w:val="2"/>
                <w:sz w:val="21"/>
                <w:szCs w:val="21"/>
                <w:highlight w:val="none"/>
                <w:lang w:val="en-US" w:eastAsia="zh-CN" w:bidi="ar-SA"/>
              </w:rPr>
              <w:t>被市级及以上多个层级评定的，按最高层级评定的荣誉计分，不重复计分。</w:t>
            </w:r>
          </w:p>
          <w:p w14:paraId="092736A9">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bCs/>
                <w:color w:val="auto"/>
                <w:sz w:val="21"/>
                <w:szCs w:val="21"/>
                <w:lang w:val="en-US" w:eastAsia="zh-CN"/>
              </w:rPr>
              <w:t>（提供荣誉证书、文件等复印件并加盖供应商公章）</w:t>
            </w:r>
          </w:p>
        </w:tc>
      </w:tr>
      <w:tr w14:paraId="6638D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1" w:hRule="atLeast"/>
        </w:trPr>
        <w:tc>
          <w:tcPr>
            <w:tcW w:w="625" w:type="dxa"/>
            <w:vMerge w:val="continue"/>
            <w:noWrap w:val="0"/>
            <w:vAlign w:val="center"/>
          </w:tcPr>
          <w:p w14:paraId="71448EE0">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36B46429">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711" w:type="dxa"/>
            <w:vMerge w:val="restart"/>
            <w:noWrap w:val="0"/>
            <w:vAlign w:val="center"/>
          </w:tcPr>
          <w:p w14:paraId="4BA456DB">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拟派</w:t>
            </w:r>
          </w:p>
          <w:p w14:paraId="059D90D1">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法律</w:t>
            </w:r>
          </w:p>
          <w:p w14:paraId="0E3DD046">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顾问</w:t>
            </w:r>
          </w:p>
          <w:p w14:paraId="5F6FFA16">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服务</w:t>
            </w:r>
          </w:p>
          <w:p w14:paraId="2F9BBB33">
            <w:pPr>
              <w:keepNext w:val="0"/>
              <w:keepLines w:val="0"/>
              <w:pageBreakBefore w:val="0"/>
              <w:widowControl w:val="0"/>
              <w:kinsoku/>
              <w:wordWrap/>
              <w:overflowPunct/>
              <w:topLinePunct w:val="0"/>
              <w:bidi w:val="0"/>
              <w:adjustRightInd w:val="0"/>
              <w:snapToGrid w:val="0"/>
              <w:spacing w:line="360" w:lineRule="exact"/>
              <w:jc w:val="center"/>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团队</w:t>
            </w:r>
          </w:p>
          <w:p w14:paraId="5BBBB72A">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实力</w:t>
            </w:r>
          </w:p>
          <w:p w14:paraId="16925452">
            <w:pPr>
              <w:keepNext w:val="0"/>
              <w:keepLines w:val="0"/>
              <w:pageBreakBefore w:val="0"/>
              <w:widowControl w:val="0"/>
              <w:kinsoku/>
              <w:wordWrap/>
              <w:overflowPunct/>
              <w:topLinePunct w:val="0"/>
              <w:bidi w:val="0"/>
              <w:adjustRightInd w:val="0"/>
              <w:snapToGrid w:val="0"/>
              <w:spacing w:line="360" w:lineRule="exact"/>
              <w:jc w:val="center"/>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31分</w:t>
            </w:r>
          </w:p>
          <w:p w14:paraId="61F7A367">
            <w:pPr>
              <w:pStyle w:val="8"/>
              <w:keepNext w:val="0"/>
              <w:keepLines w:val="0"/>
              <w:pageBreakBefore w:val="0"/>
              <w:widowControl w:val="0"/>
              <w:kinsoku/>
              <w:wordWrap/>
              <w:overflowPunct/>
              <w:topLinePunct w:val="0"/>
              <w:bidi w:val="0"/>
              <w:spacing w:after="0" w:line="360" w:lineRule="exact"/>
              <w:ind w:left="0" w:leftChars="0" w:firstLine="420" w:firstLineChars="200"/>
              <w:jc w:val="left"/>
              <w:rPr>
                <w:rFonts w:hint="eastAsia" w:ascii="宋体" w:hAnsi="宋体" w:eastAsia="宋体" w:cs="宋体"/>
                <w:b w:val="0"/>
                <w:bCs w:val="0"/>
                <w:color w:val="auto"/>
                <w:sz w:val="21"/>
                <w:szCs w:val="21"/>
                <w:lang w:val="en-US" w:eastAsia="zh-CN"/>
              </w:rPr>
            </w:pPr>
          </w:p>
        </w:tc>
        <w:tc>
          <w:tcPr>
            <w:tcW w:w="763" w:type="dxa"/>
            <w:shd w:val="clear" w:color="auto" w:fill="auto"/>
            <w:noWrap w:val="0"/>
            <w:vAlign w:val="center"/>
          </w:tcPr>
          <w:p w14:paraId="684D0DF1">
            <w:pPr>
              <w:keepNext w:val="0"/>
              <w:keepLines w:val="0"/>
              <w:pageBreakBefore w:val="0"/>
              <w:widowControl w:val="0"/>
              <w:kinsoku/>
              <w:wordWrap/>
              <w:overflowPunct/>
              <w:topLinePunct w:val="0"/>
              <w:bidi w:val="0"/>
              <w:adjustRightInd w:val="0"/>
              <w:snapToGrid w:val="0"/>
              <w:spacing w:line="360" w:lineRule="exact"/>
              <w:jc w:val="left"/>
              <w:rPr>
                <w:rFonts w:hint="default"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3分</w:t>
            </w:r>
          </w:p>
        </w:tc>
        <w:tc>
          <w:tcPr>
            <w:tcW w:w="5794" w:type="dxa"/>
            <w:shd w:val="clear" w:color="auto" w:fill="auto"/>
            <w:noWrap w:val="0"/>
            <w:vAlign w:val="center"/>
          </w:tcPr>
          <w:p w14:paraId="1787A31E">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eastAsia" w:ascii="宋体" w:hAnsi="宋体" w:eastAsia="宋体" w:cs="宋体"/>
                <w:b w:val="0"/>
                <w:bCs w:val="0"/>
                <w:color w:val="auto"/>
                <w:sz w:val="21"/>
                <w:szCs w:val="21"/>
                <w:lang w:val="en-US" w:eastAsia="zh-CN"/>
              </w:rPr>
            </w:pPr>
            <w:r>
              <w:rPr>
                <w:rFonts w:hint="default" w:ascii="宋体" w:hAnsi="宋体" w:eastAsia="宋体" w:cs="宋体"/>
                <w:b w:val="0"/>
                <w:bCs w:val="0"/>
                <w:color w:val="auto"/>
                <w:kern w:val="2"/>
                <w:sz w:val="21"/>
                <w:szCs w:val="21"/>
                <w:lang w:val="en-US" w:eastAsia="zh-CN" w:bidi="ar-SA"/>
              </w:rPr>
              <w:t>拟派的法律顾问服务</w:t>
            </w:r>
            <w:r>
              <w:rPr>
                <w:rFonts w:hint="eastAsia" w:ascii="宋体" w:hAnsi="宋体" w:eastAsia="宋体" w:cs="宋体"/>
                <w:b w:val="0"/>
                <w:bCs w:val="0"/>
                <w:color w:val="auto"/>
                <w:kern w:val="2"/>
                <w:sz w:val="21"/>
                <w:szCs w:val="21"/>
                <w:lang w:val="en-US" w:eastAsia="zh-CN" w:bidi="ar-SA"/>
              </w:rPr>
              <w:t>团队成员执业年限在5年及以下的不计分，5年以上的按每人次执业年限每增加1年计0.1分；</w:t>
            </w:r>
            <w:r>
              <w:rPr>
                <w:rFonts w:hint="eastAsia" w:ascii="宋体" w:hAnsi="宋体" w:eastAsia="宋体" w:cs="宋体"/>
                <w:b w:val="0"/>
                <w:bCs w:val="0"/>
                <w:color w:val="auto"/>
                <w:sz w:val="21"/>
                <w:szCs w:val="21"/>
                <w:lang w:val="en-US" w:eastAsia="zh-CN"/>
              </w:rPr>
              <w:t>最高不超过3分。</w:t>
            </w:r>
          </w:p>
          <w:p w14:paraId="58BD5A5D">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default" w:ascii="宋体" w:hAnsi="宋体" w:eastAsia="宋体" w:cs="宋体"/>
                <w:b w:val="0"/>
                <w:bCs w:val="0"/>
                <w:color w:val="auto"/>
                <w:sz w:val="21"/>
                <w:szCs w:val="21"/>
                <w:lang w:val="en-US" w:eastAsia="zh-CN"/>
              </w:rPr>
            </w:pPr>
            <w:r>
              <w:rPr>
                <w:rFonts w:hint="eastAsia" w:ascii="宋体" w:hAnsi="宋体" w:eastAsia="宋体" w:cs="宋体"/>
                <w:b/>
                <w:bCs/>
                <w:color w:val="auto"/>
                <w:sz w:val="21"/>
                <w:szCs w:val="21"/>
                <w:lang w:val="en-US" w:eastAsia="zh-CN"/>
              </w:rPr>
              <w:t>（提供律师诚信信息公示平台首次批准执业日期截图并加盖供应商公章）</w:t>
            </w:r>
          </w:p>
        </w:tc>
      </w:tr>
      <w:tr w14:paraId="194DF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1" w:hRule="atLeast"/>
        </w:trPr>
        <w:tc>
          <w:tcPr>
            <w:tcW w:w="625" w:type="dxa"/>
            <w:vMerge w:val="continue"/>
            <w:noWrap w:val="0"/>
            <w:vAlign w:val="center"/>
          </w:tcPr>
          <w:p w14:paraId="42BF1954">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583F635A">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711" w:type="dxa"/>
            <w:vMerge w:val="continue"/>
            <w:noWrap w:val="0"/>
            <w:vAlign w:val="center"/>
          </w:tcPr>
          <w:p w14:paraId="04D9288B">
            <w:pPr>
              <w:pStyle w:val="8"/>
              <w:keepNext w:val="0"/>
              <w:keepLines w:val="0"/>
              <w:pageBreakBefore w:val="0"/>
              <w:widowControl w:val="0"/>
              <w:kinsoku/>
              <w:wordWrap/>
              <w:overflowPunct/>
              <w:topLinePunct w:val="0"/>
              <w:bidi w:val="0"/>
              <w:spacing w:after="0" w:line="360" w:lineRule="exact"/>
              <w:ind w:left="0" w:leftChars="0" w:firstLine="420" w:firstLineChars="200"/>
              <w:jc w:val="left"/>
              <w:rPr>
                <w:rFonts w:hint="eastAsia" w:ascii="宋体" w:hAnsi="宋体" w:eastAsia="宋体" w:cs="宋体"/>
                <w:b w:val="0"/>
                <w:bCs w:val="0"/>
                <w:color w:val="auto"/>
                <w:sz w:val="21"/>
                <w:szCs w:val="21"/>
                <w:lang w:val="en-US" w:eastAsia="zh-CN"/>
              </w:rPr>
            </w:pPr>
          </w:p>
        </w:tc>
        <w:tc>
          <w:tcPr>
            <w:tcW w:w="763" w:type="dxa"/>
            <w:shd w:val="clear" w:color="auto" w:fill="auto"/>
            <w:noWrap w:val="0"/>
            <w:vAlign w:val="center"/>
          </w:tcPr>
          <w:p w14:paraId="28B9C560">
            <w:pPr>
              <w:keepNext w:val="0"/>
              <w:keepLines w:val="0"/>
              <w:pageBreakBefore w:val="0"/>
              <w:widowControl w:val="0"/>
              <w:kinsoku/>
              <w:wordWrap/>
              <w:overflowPunct/>
              <w:topLinePunct w:val="0"/>
              <w:bidi w:val="0"/>
              <w:adjustRightInd w:val="0"/>
              <w:snapToGrid w:val="0"/>
              <w:spacing w:line="360" w:lineRule="exact"/>
              <w:jc w:val="left"/>
              <w:rPr>
                <w:rFonts w:hint="default"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4分</w:t>
            </w:r>
          </w:p>
        </w:tc>
        <w:tc>
          <w:tcPr>
            <w:tcW w:w="5794" w:type="dxa"/>
            <w:shd w:val="clear" w:color="auto" w:fill="auto"/>
            <w:noWrap w:val="0"/>
            <w:vAlign w:val="center"/>
          </w:tcPr>
          <w:p w14:paraId="7A787C08">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both"/>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提供拟派的法律顾问服务团队自2021年1月起担任</w:t>
            </w:r>
            <w:r>
              <w:rPr>
                <w:rFonts w:hint="eastAsia" w:ascii="宋体" w:hAnsi="宋体" w:eastAsia="宋体" w:cs="宋体"/>
                <w:b/>
                <w:bCs/>
                <w:color w:val="auto"/>
                <w:sz w:val="21"/>
                <w:szCs w:val="21"/>
                <w:highlight w:val="none"/>
                <w:lang w:val="en-US" w:eastAsia="zh-CN"/>
              </w:rPr>
              <w:t>机关单位、事业单位、国企单位</w:t>
            </w:r>
            <w:r>
              <w:rPr>
                <w:rFonts w:hint="eastAsia" w:ascii="宋体" w:hAnsi="宋体" w:eastAsia="宋体" w:cs="宋体"/>
                <w:b w:val="0"/>
                <w:bCs w:val="0"/>
                <w:color w:val="auto"/>
                <w:sz w:val="21"/>
                <w:szCs w:val="21"/>
                <w:highlight w:val="none"/>
                <w:lang w:val="en-US" w:eastAsia="zh-CN"/>
              </w:rPr>
              <w:t>常年法律顾问（以顾问合同签订日期为准）的业绩，每担任一家法律顾问的计0.5分，最高不超过4分，不同年度、担任同一家单位法律顾问的不重复计分。</w:t>
            </w:r>
            <w:r>
              <w:rPr>
                <w:rFonts w:hint="eastAsia" w:ascii="宋体" w:hAnsi="宋体" w:eastAsia="宋体" w:cs="宋体"/>
                <w:b/>
                <w:bCs/>
                <w:color w:val="auto"/>
                <w:sz w:val="21"/>
                <w:szCs w:val="21"/>
                <w:highlight w:val="none"/>
                <w:lang w:val="en-US" w:eastAsia="zh-CN"/>
              </w:rPr>
              <w:t>合同中未载明拟派法律顾问服务团队成员为常年法律顾问的不计分。</w:t>
            </w:r>
          </w:p>
          <w:p w14:paraId="4FA976E4">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highlight w:val="none"/>
                <w:lang w:val="en-US" w:eastAsia="zh-CN"/>
              </w:rPr>
              <w:t>（提供合同复印件并加盖供应商公章）</w:t>
            </w:r>
          </w:p>
        </w:tc>
      </w:tr>
      <w:tr w14:paraId="304B8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1" w:hRule="atLeast"/>
        </w:trPr>
        <w:tc>
          <w:tcPr>
            <w:tcW w:w="625" w:type="dxa"/>
            <w:vMerge w:val="continue"/>
            <w:noWrap w:val="0"/>
            <w:vAlign w:val="center"/>
          </w:tcPr>
          <w:p w14:paraId="13945783">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01636510">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711" w:type="dxa"/>
            <w:vMerge w:val="continue"/>
            <w:noWrap w:val="0"/>
            <w:vAlign w:val="center"/>
          </w:tcPr>
          <w:p w14:paraId="7B09EAAC">
            <w:pPr>
              <w:pStyle w:val="8"/>
              <w:keepNext w:val="0"/>
              <w:keepLines w:val="0"/>
              <w:pageBreakBefore w:val="0"/>
              <w:widowControl w:val="0"/>
              <w:kinsoku/>
              <w:wordWrap/>
              <w:overflowPunct/>
              <w:topLinePunct w:val="0"/>
              <w:bidi w:val="0"/>
              <w:spacing w:after="0" w:line="360" w:lineRule="exact"/>
              <w:ind w:left="0" w:leftChars="0" w:firstLine="420" w:firstLineChars="200"/>
              <w:jc w:val="left"/>
              <w:rPr>
                <w:rFonts w:hint="eastAsia" w:ascii="宋体" w:hAnsi="宋体" w:eastAsia="宋体" w:cs="宋体"/>
                <w:b w:val="0"/>
                <w:bCs w:val="0"/>
                <w:color w:val="auto"/>
                <w:sz w:val="21"/>
                <w:szCs w:val="21"/>
                <w:lang w:val="en-US" w:eastAsia="zh-CN"/>
              </w:rPr>
            </w:pPr>
          </w:p>
        </w:tc>
        <w:tc>
          <w:tcPr>
            <w:tcW w:w="763" w:type="dxa"/>
            <w:shd w:val="clear" w:color="auto" w:fill="auto"/>
            <w:noWrap w:val="0"/>
            <w:vAlign w:val="center"/>
          </w:tcPr>
          <w:p w14:paraId="3AA042F9">
            <w:pPr>
              <w:keepNext w:val="0"/>
              <w:keepLines w:val="0"/>
              <w:pageBreakBefore w:val="0"/>
              <w:widowControl w:val="0"/>
              <w:kinsoku/>
              <w:wordWrap/>
              <w:overflowPunct/>
              <w:topLinePunct w:val="0"/>
              <w:bidi w:val="0"/>
              <w:adjustRightInd w:val="0"/>
              <w:snapToGrid w:val="0"/>
              <w:spacing w:line="360" w:lineRule="exact"/>
              <w:jc w:val="left"/>
              <w:rPr>
                <w:rFonts w:hint="default"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4分</w:t>
            </w:r>
          </w:p>
        </w:tc>
        <w:tc>
          <w:tcPr>
            <w:tcW w:w="5794" w:type="dxa"/>
            <w:shd w:val="clear" w:color="auto" w:fill="auto"/>
            <w:noWrap w:val="0"/>
            <w:vAlign w:val="center"/>
          </w:tcPr>
          <w:p w14:paraId="0C28FF1C">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提供拟派法律顾问服务团队自2021年1月（以判决书、调解书的下达时间为准）起代理的以下案件，</w:t>
            </w:r>
            <w:r>
              <w:rPr>
                <w:rFonts w:hint="eastAsia" w:ascii="宋体" w:hAnsi="宋体" w:eastAsia="宋体" w:cs="宋体"/>
                <w:b/>
                <w:bCs/>
                <w:color w:val="auto"/>
                <w:sz w:val="21"/>
                <w:szCs w:val="21"/>
                <w:highlight w:val="none"/>
                <w:lang w:val="en-US" w:eastAsia="zh-CN"/>
              </w:rPr>
              <w:t>每个类别案件至少提供1件，</w:t>
            </w:r>
            <w:r>
              <w:rPr>
                <w:rFonts w:hint="eastAsia" w:ascii="宋体" w:hAnsi="宋体" w:eastAsia="宋体" w:cs="宋体"/>
                <w:b w:val="0"/>
                <w:bCs w:val="0"/>
                <w:color w:val="auto"/>
                <w:sz w:val="21"/>
                <w:szCs w:val="21"/>
                <w:highlight w:val="none"/>
                <w:lang w:val="en-US" w:eastAsia="zh-CN"/>
              </w:rPr>
              <w:t>提供案件数量总计在20件及以上计1分；每增加以下任一类别案件代理加0.1分，本项总分不超过4分。</w:t>
            </w:r>
            <w:r>
              <w:rPr>
                <w:rFonts w:hint="eastAsia" w:ascii="宋体" w:hAnsi="宋体" w:eastAsia="宋体" w:cs="宋体"/>
                <w:b/>
                <w:bCs/>
                <w:color w:val="auto"/>
                <w:sz w:val="21"/>
                <w:szCs w:val="21"/>
                <w:highlight w:val="none"/>
                <w:lang w:val="en-US" w:eastAsia="zh-CN"/>
              </w:rPr>
              <w:t>如缺少以下类别中任一类别案件，则本项整体计0分。</w:t>
            </w:r>
          </w:p>
          <w:p w14:paraId="72F84E75">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kern w:val="2"/>
                <w:sz w:val="21"/>
                <w:szCs w:val="21"/>
                <w:highlight w:val="none"/>
                <w:lang w:val="en-US" w:eastAsia="zh-CN" w:bidi="ar-SA"/>
              </w:rPr>
              <w:t>（1）</w:t>
            </w:r>
            <w:r>
              <w:rPr>
                <w:rFonts w:hint="eastAsia" w:ascii="宋体" w:hAnsi="宋体" w:eastAsia="宋体" w:cs="宋体"/>
                <w:b w:val="0"/>
                <w:bCs w:val="0"/>
                <w:color w:val="auto"/>
                <w:sz w:val="21"/>
                <w:szCs w:val="21"/>
                <w:highlight w:val="none"/>
                <w:lang w:val="en-US" w:eastAsia="zh-CN"/>
              </w:rPr>
              <w:t>医疗损害责任纠纷案件；</w:t>
            </w:r>
          </w:p>
          <w:p w14:paraId="5EC262E8">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（2）买卖合同纠纷案件；</w:t>
            </w:r>
          </w:p>
          <w:p w14:paraId="0892E77C">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（3）建筑工程施工合同纠纷案件；</w:t>
            </w:r>
          </w:p>
          <w:p w14:paraId="50C49DAD">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（4）劳动争议纠纷案件、劳动合同纠纷案件；</w:t>
            </w:r>
          </w:p>
          <w:p w14:paraId="572F0D5B">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（5）行政诉讼案件。</w:t>
            </w:r>
          </w:p>
          <w:p w14:paraId="51B67B67">
            <w:pPr>
              <w:pStyle w:val="19"/>
              <w:ind w:left="0" w:leftChars="0" w:firstLine="0" w:firstLineChars="0"/>
              <w:rPr>
                <w:rFonts w:hint="eastAsia" w:ascii="Calibri" w:hAnsi="Calibri" w:eastAsiaTheme="minorEastAsia" w:cstheme="minorBidi"/>
                <w:color w:val="auto"/>
                <w:kern w:val="0"/>
                <w:sz w:val="24"/>
                <w:szCs w:val="24"/>
                <w:lang w:val="en-US" w:eastAsia="zh-CN" w:bidi="ar-SA"/>
              </w:rPr>
            </w:pPr>
            <w:r>
              <w:rPr>
                <w:rFonts w:hint="eastAsia" w:ascii="宋体" w:hAnsi="宋体" w:eastAsia="宋体" w:cs="宋体"/>
                <w:b/>
                <w:bCs/>
                <w:color w:val="auto"/>
                <w:sz w:val="21"/>
                <w:szCs w:val="21"/>
                <w:highlight w:val="none"/>
                <w:lang w:val="en-US" w:eastAsia="zh-CN"/>
              </w:rPr>
              <w:t>（提供判决文书、调解文书等文书首页及显示代理信息的页面复印件并加盖供应商公章）</w:t>
            </w:r>
          </w:p>
        </w:tc>
      </w:tr>
      <w:tr w14:paraId="0E65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1" w:hRule="atLeast"/>
        </w:trPr>
        <w:tc>
          <w:tcPr>
            <w:tcW w:w="625" w:type="dxa"/>
            <w:vMerge w:val="continue"/>
            <w:noWrap w:val="0"/>
            <w:vAlign w:val="center"/>
          </w:tcPr>
          <w:p w14:paraId="55A97E6F">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51D3F67B">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711" w:type="dxa"/>
            <w:vMerge w:val="continue"/>
            <w:noWrap w:val="0"/>
            <w:vAlign w:val="center"/>
          </w:tcPr>
          <w:p w14:paraId="0C04695E">
            <w:pPr>
              <w:pStyle w:val="8"/>
              <w:keepNext w:val="0"/>
              <w:keepLines w:val="0"/>
              <w:pageBreakBefore w:val="0"/>
              <w:widowControl w:val="0"/>
              <w:kinsoku/>
              <w:wordWrap/>
              <w:overflowPunct/>
              <w:topLinePunct w:val="0"/>
              <w:bidi w:val="0"/>
              <w:spacing w:after="0" w:line="360" w:lineRule="exact"/>
              <w:ind w:left="0" w:leftChars="0" w:firstLine="420" w:firstLineChars="200"/>
              <w:jc w:val="left"/>
              <w:rPr>
                <w:rFonts w:hint="eastAsia" w:ascii="宋体" w:hAnsi="宋体" w:eastAsia="宋体" w:cs="宋体"/>
                <w:b w:val="0"/>
                <w:bCs w:val="0"/>
                <w:color w:val="auto"/>
                <w:sz w:val="21"/>
                <w:szCs w:val="21"/>
                <w:lang w:val="en-US" w:eastAsia="zh-CN"/>
              </w:rPr>
            </w:pPr>
          </w:p>
        </w:tc>
        <w:tc>
          <w:tcPr>
            <w:tcW w:w="763" w:type="dxa"/>
            <w:shd w:val="clear" w:color="auto" w:fill="auto"/>
            <w:noWrap w:val="0"/>
            <w:vAlign w:val="center"/>
          </w:tcPr>
          <w:p w14:paraId="760FE9CF">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kern w:val="2"/>
                <w:sz w:val="21"/>
                <w:szCs w:val="21"/>
                <w:lang w:val="en-US" w:eastAsia="zh-CN" w:bidi="ar-SA"/>
              </w:rPr>
            </w:pPr>
            <w:r>
              <w:rPr>
                <w:rFonts w:hint="eastAsia" w:ascii="宋体" w:hAnsi="宋体" w:eastAsia="宋体" w:cs="宋体"/>
                <w:b w:val="0"/>
                <w:bCs w:val="0"/>
                <w:color w:val="auto"/>
                <w:sz w:val="21"/>
                <w:szCs w:val="21"/>
                <w:highlight w:val="none"/>
                <w:lang w:val="en-US" w:eastAsia="zh-CN"/>
              </w:rPr>
              <w:t>10分</w:t>
            </w:r>
          </w:p>
        </w:tc>
        <w:tc>
          <w:tcPr>
            <w:tcW w:w="5794" w:type="dxa"/>
            <w:shd w:val="clear" w:color="auto" w:fill="auto"/>
            <w:noWrap w:val="0"/>
            <w:vAlign w:val="center"/>
          </w:tcPr>
          <w:p w14:paraId="4BBEEC72">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提供拟派法律顾问服务团队成员代理的具体诉讼案件，要求医疗损害责任纠纷、买卖合同纠纷、建筑施工纠纷、劳资纠纷、行政诉讼案件5个类别每类别</w:t>
            </w:r>
            <w:r>
              <w:rPr>
                <w:rFonts w:hint="eastAsia" w:ascii="宋体" w:hAnsi="宋体" w:eastAsia="宋体" w:cs="宋体"/>
                <w:b w:val="0"/>
                <w:bCs w:val="0"/>
                <w:color w:val="FF0000"/>
                <w:sz w:val="21"/>
                <w:szCs w:val="21"/>
                <w:highlight w:val="none"/>
                <w:lang w:val="en-US" w:eastAsia="zh-CN"/>
              </w:rPr>
              <w:t>案件2件（共10件）；</w:t>
            </w:r>
            <w:r>
              <w:rPr>
                <w:rFonts w:hint="eastAsia" w:ascii="宋体" w:hAnsi="宋体" w:eastAsia="宋体" w:cs="宋体"/>
                <w:b w:val="0"/>
                <w:bCs w:val="0"/>
                <w:color w:val="auto"/>
                <w:sz w:val="21"/>
                <w:szCs w:val="21"/>
                <w:highlight w:val="none"/>
                <w:lang w:val="en-US" w:eastAsia="zh-CN"/>
              </w:rPr>
              <w:t>如提供的案件存在医疗损害责任纠纷、买卖合同纠纷、建筑施工纠纷、劳资纠纷、行政诉讼案件5个类别的任一类别缺失，本项整体计0分。</w:t>
            </w:r>
          </w:p>
          <w:p w14:paraId="3F4F1D2C">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420" w:firstLineChars="200"/>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由评委组对提供的案件进行代理人代理、辩护能力水平综合评价，即案件代理的逻辑是否严谨、层次是否清晰、观点是否全面、说理是否精准、是否最大程度维护当事人利益，案件代理存在明显缺陷的不计分，水平一般的计0.5分/件，水平优秀的计1分/件。</w:t>
            </w:r>
          </w:p>
          <w:p w14:paraId="13C9E1BC">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sz w:val="21"/>
                <w:szCs w:val="21"/>
                <w:highlight w:val="none"/>
                <w:lang w:val="en-US" w:eastAsia="zh-CN"/>
              </w:rPr>
              <w:t>（提供完整裁判文书、代理意见等复印件并加盖供应商公章）</w:t>
            </w:r>
          </w:p>
        </w:tc>
      </w:tr>
      <w:tr w14:paraId="68454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1" w:hRule="atLeast"/>
        </w:trPr>
        <w:tc>
          <w:tcPr>
            <w:tcW w:w="625" w:type="dxa"/>
            <w:vMerge w:val="continue"/>
            <w:noWrap w:val="0"/>
            <w:vAlign w:val="center"/>
          </w:tcPr>
          <w:p w14:paraId="7298B794">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711F3991">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711" w:type="dxa"/>
            <w:vMerge w:val="continue"/>
            <w:noWrap w:val="0"/>
            <w:vAlign w:val="center"/>
          </w:tcPr>
          <w:p w14:paraId="3A9E015F">
            <w:pPr>
              <w:pStyle w:val="8"/>
              <w:keepNext w:val="0"/>
              <w:keepLines w:val="0"/>
              <w:pageBreakBefore w:val="0"/>
              <w:widowControl w:val="0"/>
              <w:kinsoku/>
              <w:wordWrap/>
              <w:overflowPunct/>
              <w:topLinePunct w:val="0"/>
              <w:bidi w:val="0"/>
              <w:spacing w:after="0" w:line="360" w:lineRule="exact"/>
              <w:ind w:left="0" w:leftChars="0" w:firstLine="420" w:firstLineChars="200"/>
              <w:jc w:val="left"/>
              <w:rPr>
                <w:rFonts w:hint="eastAsia" w:ascii="宋体" w:hAnsi="宋体" w:eastAsia="宋体" w:cs="宋体"/>
                <w:b w:val="0"/>
                <w:bCs w:val="0"/>
                <w:color w:val="auto"/>
                <w:sz w:val="21"/>
                <w:szCs w:val="21"/>
                <w:lang w:val="en-US" w:eastAsia="zh-CN"/>
              </w:rPr>
            </w:pPr>
          </w:p>
        </w:tc>
        <w:tc>
          <w:tcPr>
            <w:tcW w:w="763" w:type="dxa"/>
            <w:shd w:val="clear" w:color="auto" w:fill="auto"/>
            <w:noWrap w:val="0"/>
            <w:vAlign w:val="center"/>
          </w:tcPr>
          <w:p w14:paraId="7A9736F4">
            <w:pPr>
              <w:keepNext w:val="0"/>
              <w:keepLines w:val="0"/>
              <w:pageBreakBefore w:val="0"/>
              <w:widowControl w:val="0"/>
              <w:kinsoku/>
              <w:wordWrap/>
              <w:overflowPunct/>
              <w:topLinePunct w:val="0"/>
              <w:bidi w:val="0"/>
              <w:adjustRightInd w:val="0"/>
              <w:snapToGrid w:val="0"/>
              <w:spacing w:line="360" w:lineRule="exact"/>
              <w:jc w:val="left"/>
              <w:rPr>
                <w:rFonts w:hint="default"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4分</w:t>
            </w:r>
          </w:p>
        </w:tc>
        <w:tc>
          <w:tcPr>
            <w:tcW w:w="5794" w:type="dxa"/>
            <w:shd w:val="clear" w:color="auto" w:fill="auto"/>
            <w:noWrap w:val="0"/>
            <w:vAlign w:val="center"/>
          </w:tcPr>
          <w:p w14:paraId="74F9E6D5">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拟派法律顾问服务团队成员自2021年1月起在机关、事业、企业单位的普法宣讲经验，每场次计0.5分，最高不超过4分，同一内容不重复计分。</w:t>
            </w:r>
          </w:p>
          <w:p w14:paraId="43C2D895">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default" w:ascii="宋体" w:hAnsi="宋体" w:eastAsia="宋体" w:cs="宋体"/>
                <w:bCs/>
                <w:color w:val="auto"/>
                <w:kern w:val="0"/>
                <w:szCs w:val="21"/>
                <w:highlight w:val="none"/>
                <w:lang w:val="en-US" w:eastAsia="zh-CN"/>
              </w:rPr>
            </w:pPr>
            <w:r>
              <w:rPr>
                <w:rFonts w:hint="eastAsia" w:ascii="宋体" w:hAnsi="宋体" w:eastAsia="宋体" w:cs="宋体"/>
                <w:b/>
                <w:bCs w:val="0"/>
                <w:color w:val="auto"/>
                <w:kern w:val="0"/>
                <w:szCs w:val="21"/>
                <w:highlight w:val="none"/>
                <w:lang w:val="en-US" w:eastAsia="zh-CN"/>
              </w:rPr>
              <w:t>（提供媒体发布资料、现场照片及宣讲内容资料并</w:t>
            </w:r>
            <w:r>
              <w:rPr>
                <w:rFonts w:hint="eastAsia" w:ascii="宋体" w:hAnsi="宋体" w:eastAsia="宋体" w:cs="宋体"/>
                <w:b/>
                <w:bCs w:val="0"/>
                <w:color w:val="auto"/>
                <w:kern w:val="0"/>
                <w:szCs w:val="21"/>
                <w:highlight w:val="none"/>
              </w:rPr>
              <w:t>加盖</w:t>
            </w:r>
            <w:r>
              <w:rPr>
                <w:rFonts w:hint="eastAsia" w:ascii="宋体" w:hAnsi="宋体" w:eastAsia="宋体" w:cs="宋体"/>
                <w:b/>
                <w:bCs w:val="0"/>
                <w:color w:val="auto"/>
                <w:kern w:val="0"/>
                <w:szCs w:val="21"/>
                <w:highlight w:val="none"/>
                <w:lang w:val="en-US" w:eastAsia="zh-CN"/>
              </w:rPr>
              <w:t>供应商</w:t>
            </w:r>
            <w:r>
              <w:rPr>
                <w:rFonts w:hint="eastAsia" w:ascii="宋体" w:hAnsi="宋体" w:eastAsia="宋体" w:cs="宋体"/>
                <w:b/>
                <w:bCs w:val="0"/>
                <w:color w:val="auto"/>
                <w:kern w:val="0"/>
                <w:szCs w:val="21"/>
                <w:highlight w:val="none"/>
              </w:rPr>
              <w:t>公章</w:t>
            </w:r>
            <w:r>
              <w:rPr>
                <w:rFonts w:hint="eastAsia" w:ascii="宋体" w:hAnsi="宋体" w:eastAsia="宋体" w:cs="宋体"/>
                <w:b/>
                <w:bCs w:val="0"/>
                <w:color w:val="auto"/>
                <w:kern w:val="0"/>
                <w:szCs w:val="21"/>
                <w:highlight w:val="none"/>
                <w:lang w:val="en-US" w:eastAsia="zh-CN"/>
              </w:rPr>
              <w:t>）</w:t>
            </w:r>
          </w:p>
        </w:tc>
      </w:tr>
      <w:tr w14:paraId="49939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361" w:hRule="atLeast"/>
        </w:trPr>
        <w:tc>
          <w:tcPr>
            <w:tcW w:w="625" w:type="dxa"/>
            <w:vMerge w:val="continue"/>
            <w:noWrap w:val="0"/>
            <w:vAlign w:val="center"/>
          </w:tcPr>
          <w:p w14:paraId="7CE487F3">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63A48F07">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711" w:type="dxa"/>
            <w:vMerge w:val="continue"/>
            <w:noWrap w:val="0"/>
            <w:vAlign w:val="center"/>
          </w:tcPr>
          <w:p w14:paraId="6AD28A3E">
            <w:pPr>
              <w:pStyle w:val="8"/>
              <w:keepNext w:val="0"/>
              <w:keepLines w:val="0"/>
              <w:pageBreakBefore w:val="0"/>
              <w:widowControl w:val="0"/>
              <w:kinsoku/>
              <w:wordWrap/>
              <w:overflowPunct/>
              <w:topLinePunct w:val="0"/>
              <w:bidi w:val="0"/>
              <w:spacing w:after="0" w:line="360" w:lineRule="exact"/>
              <w:ind w:left="0" w:leftChars="0" w:firstLine="420" w:firstLineChars="200"/>
              <w:jc w:val="left"/>
              <w:rPr>
                <w:rFonts w:hint="eastAsia" w:ascii="宋体" w:hAnsi="宋体" w:eastAsia="宋体" w:cs="宋体"/>
                <w:b w:val="0"/>
                <w:bCs w:val="0"/>
                <w:color w:val="auto"/>
                <w:sz w:val="21"/>
                <w:szCs w:val="21"/>
                <w:lang w:val="en-US" w:eastAsia="zh-CN"/>
              </w:rPr>
            </w:pPr>
          </w:p>
        </w:tc>
        <w:tc>
          <w:tcPr>
            <w:tcW w:w="763" w:type="dxa"/>
            <w:shd w:val="clear" w:color="auto" w:fill="auto"/>
            <w:noWrap w:val="0"/>
            <w:vAlign w:val="center"/>
          </w:tcPr>
          <w:p w14:paraId="35C83B0C">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3分</w:t>
            </w:r>
          </w:p>
        </w:tc>
        <w:tc>
          <w:tcPr>
            <w:tcW w:w="5794" w:type="dxa"/>
            <w:shd w:val="clear" w:color="auto" w:fill="auto"/>
            <w:noWrap w:val="0"/>
            <w:vAlign w:val="center"/>
          </w:tcPr>
          <w:p w14:paraId="3AB9B5DF">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拟派法律顾问服务团队成员代理有影响力案件（案例）或具有影响力的法治活动经验展示，要求经市级以上媒体报道或经市级及以上司法行政部门、律师协会认可（如评定为优秀案例、典型案例、纳入案例库等），每件市级计0.5分、省级计1分、国家级计2分，最高不超过3分。</w:t>
            </w:r>
          </w:p>
          <w:p w14:paraId="7F573629">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w:t>
            </w:r>
            <w:r>
              <w:rPr>
                <w:rFonts w:hint="eastAsia" w:ascii="宋体" w:hAnsi="宋体" w:eastAsia="宋体" w:cs="宋体"/>
                <w:b/>
                <w:bCs/>
                <w:color w:val="auto"/>
                <w:kern w:val="0"/>
                <w:szCs w:val="21"/>
                <w:highlight w:val="none"/>
                <w:lang w:val="en-US" w:eastAsia="zh-CN"/>
              </w:rPr>
              <w:t>提供官方媒体报道、可证明媒体机构为事业单位或国企的相关证明、</w:t>
            </w:r>
            <w:r>
              <w:rPr>
                <w:rFonts w:hint="eastAsia" w:ascii="宋体" w:hAnsi="宋体" w:eastAsia="宋体" w:cs="宋体"/>
                <w:b/>
                <w:bCs/>
                <w:color w:val="auto"/>
                <w:sz w:val="21"/>
                <w:szCs w:val="21"/>
                <w:highlight w:val="none"/>
                <w:lang w:val="en-US" w:eastAsia="zh-CN"/>
              </w:rPr>
              <w:t>司法行政部门、律师协会文件</w:t>
            </w:r>
            <w:r>
              <w:rPr>
                <w:rFonts w:hint="eastAsia" w:ascii="宋体" w:hAnsi="宋体" w:eastAsia="宋体" w:cs="宋体"/>
                <w:b/>
                <w:bCs/>
                <w:color w:val="auto"/>
                <w:kern w:val="0"/>
                <w:szCs w:val="21"/>
                <w:highlight w:val="none"/>
                <w:lang w:val="en-US" w:eastAsia="zh-CN"/>
              </w:rPr>
              <w:t>材料并</w:t>
            </w:r>
            <w:r>
              <w:rPr>
                <w:rFonts w:hint="eastAsia" w:ascii="宋体" w:hAnsi="宋体" w:eastAsia="宋体" w:cs="宋体"/>
                <w:b/>
                <w:bCs/>
                <w:color w:val="auto"/>
                <w:kern w:val="0"/>
                <w:szCs w:val="21"/>
                <w:highlight w:val="none"/>
              </w:rPr>
              <w:t>加盖</w:t>
            </w:r>
            <w:r>
              <w:rPr>
                <w:rFonts w:hint="eastAsia" w:ascii="宋体" w:hAnsi="宋体" w:eastAsia="宋体" w:cs="宋体"/>
                <w:b/>
                <w:bCs/>
                <w:color w:val="auto"/>
                <w:kern w:val="0"/>
                <w:szCs w:val="21"/>
                <w:highlight w:val="none"/>
                <w:lang w:val="en-US" w:eastAsia="zh-CN"/>
              </w:rPr>
              <w:t>供应商</w:t>
            </w:r>
            <w:r>
              <w:rPr>
                <w:rFonts w:hint="eastAsia" w:ascii="宋体" w:hAnsi="宋体" w:eastAsia="宋体" w:cs="宋体"/>
                <w:b/>
                <w:bCs/>
                <w:color w:val="auto"/>
                <w:kern w:val="0"/>
                <w:szCs w:val="21"/>
                <w:highlight w:val="none"/>
              </w:rPr>
              <w:t>公章</w:t>
            </w:r>
            <w:r>
              <w:rPr>
                <w:rFonts w:hint="eastAsia" w:ascii="宋体" w:hAnsi="宋体" w:eastAsia="宋体" w:cs="宋体"/>
                <w:b/>
                <w:bCs/>
                <w:color w:val="auto"/>
                <w:sz w:val="21"/>
                <w:szCs w:val="21"/>
                <w:highlight w:val="none"/>
                <w:lang w:val="en-US" w:eastAsia="zh-CN"/>
              </w:rPr>
              <w:t>）</w:t>
            </w:r>
          </w:p>
        </w:tc>
      </w:tr>
      <w:tr w14:paraId="1EF47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1" w:hRule="atLeast"/>
        </w:trPr>
        <w:tc>
          <w:tcPr>
            <w:tcW w:w="625" w:type="dxa"/>
            <w:vMerge w:val="continue"/>
            <w:noWrap w:val="0"/>
            <w:vAlign w:val="center"/>
          </w:tcPr>
          <w:p w14:paraId="33D3D123">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952" w:type="dxa"/>
            <w:vMerge w:val="continue"/>
            <w:noWrap w:val="0"/>
            <w:vAlign w:val="center"/>
          </w:tcPr>
          <w:p w14:paraId="00E2FE8E">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sz w:val="21"/>
                <w:szCs w:val="21"/>
                <w:lang w:val="en-US" w:eastAsia="zh-CN"/>
              </w:rPr>
            </w:pPr>
          </w:p>
        </w:tc>
        <w:tc>
          <w:tcPr>
            <w:tcW w:w="711" w:type="dxa"/>
            <w:vMerge w:val="continue"/>
            <w:noWrap w:val="0"/>
            <w:vAlign w:val="center"/>
          </w:tcPr>
          <w:p w14:paraId="2A7EEA65">
            <w:pPr>
              <w:pStyle w:val="8"/>
              <w:keepNext w:val="0"/>
              <w:keepLines w:val="0"/>
              <w:pageBreakBefore w:val="0"/>
              <w:widowControl w:val="0"/>
              <w:kinsoku/>
              <w:wordWrap/>
              <w:overflowPunct/>
              <w:topLinePunct w:val="0"/>
              <w:bidi w:val="0"/>
              <w:spacing w:after="0" w:line="360" w:lineRule="exact"/>
              <w:ind w:left="0" w:leftChars="0" w:firstLine="420" w:firstLineChars="200"/>
              <w:jc w:val="left"/>
              <w:rPr>
                <w:rFonts w:hint="eastAsia" w:ascii="宋体" w:hAnsi="宋体" w:eastAsia="宋体" w:cs="宋体"/>
                <w:b w:val="0"/>
                <w:bCs w:val="0"/>
                <w:color w:val="auto"/>
                <w:sz w:val="21"/>
                <w:szCs w:val="21"/>
                <w:lang w:val="en-US" w:eastAsia="zh-CN"/>
              </w:rPr>
            </w:pPr>
          </w:p>
        </w:tc>
        <w:tc>
          <w:tcPr>
            <w:tcW w:w="763" w:type="dxa"/>
            <w:shd w:val="clear" w:color="auto" w:fill="auto"/>
            <w:noWrap w:val="0"/>
            <w:vAlign w:val="center"/>
          </w:tcPr>
          <w:p w14:paraId="490E97E3">
            <w:pPr>
              <w:keepNext w:val="0"/>
              <w:keepLines w:val="0"/>
              <w:pageBreakBefore w:val="0"/>
              <w:widowControl w:val="0"/>
              <w:kinsoku/>
              <w:wordWrap/>
              <w:overflowPunct/>
              <w:topLinePunct w:val="0"/>
              <w:bidi w:val="0"/>
              <w:adjustRightInd w:val="0"/>
              <w:snapToGrid w:val="0"/>
              <w:spacing w:line="360" w:lineRule="exact"/>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sz w:val="21"/>
                <w:szCs w:val="21"/>
                <w:highlight w:val="none"/>
                <w:lang w:val="en-US" w:eastAsia="zh-CN"/>
              </w:rPr>
              <w:t>3分</w:t>
            </w:r>
          </w:p>
        </w:tc>
        <w:tc>
          <w:tcPr>
            <w:tcW w:w="5794" w:type="dxa"/>
            <w:shd w:val="clear" w:color="auto" w:fill="auto"/>
            <w:noWrap w:val="0"/>
            <w:vAlign w:val="center"/>
          </w:tcPr>
          <w:p w14:paraId="6AC56FBB">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both"/>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拟派法律顾问服务团队成员个人获得司法行政主管部门、律协市级及以上“十佳律师”“优秀律师”“优秀青年律师”荣誉，获每项市级计0.5分、省级计1.5分、国家级计3分，</w:t>
            </w:r>
            <w:r>
              <w:rPr>
                <w:rFonts w:hint="eastAsia" w:ascii="宋体" w:hAnsi="宋体" w:eastAsia="宋体" w:cs="宋体"/>
                <w:b/>
                <w:bCs/>
                <w:color w:val="auto"/>
                <w:sz w:val="21"/>
                <w:szCs w:val="21"/>
                <w:highlight w:val="none"/>
                <w:lang w:val="en-US" w:eastAsia="zh-CN"/>
              </w:rPr>
              <w:t>同一年度</w:t>
            </w:r>
            <w:r>
              <w:rPr>
                <w:rFonts w:hint="eastAsia" w:ascii="宋体" w:hAnsi="宋体" w:eastAsia="宋体" w:cs="宋体"/>
                <w:b/>
                <w:bCs/>
                <w:color w:val="auto"/>
                <w:kern w:val="2"/>
                <w:sz w:val="21"/>
                <w:szCs w:val="21"/>
                <w:highlight w:val="none"/>
                <w:lang w:val="en-US" w:eastAsia="zh-CN" w:bidi="ar-SA"/>
              </w:rPr>
              <w:t>被市级及以上多个层级评定同种奖项的，按最高层级评定的荣誉计分，不重复计分。</w:t>
            </w:r>
            <w:r>
              <w:rPr>
                <w:rFonts w:hint="eastAsia" w:ascii="宋体" w:hAnsi="宋体" w:eastAsia="宋体" w:cs="宋体"/>
                <w:b w:val="0"/>
                <w:bCs w:val="0"/>
                <w:color w:val="auto"/>
                <w:kern w:val="2"/>
                <w:sz w:val="21"/>
                <w:szCs w:val="21"/>
                <w:highlight w:val="none"/>
                <w:lang w:val="en-US" w:eastAsia="zh-CN" w:bidi="ar-SA"/>
              </w:rPr>
              <w:t>本项</w:t>
            </w:r>
            <w:r>
              <w:rPr>
                <w:rFonts w:hint="eastAsia" w:ascii="宋体" w:hAnsi="宋体" w:eastAsia="宋体" w:cs="宋体"/>
                <w:b w:val="0"/>
                <w:bCs w:val="0"/>
                <w:color w:val="auto"/>
                <w:sz w:val="21"/>
                <w:szCs w:val="21"/>
                <w:highlight w:val="none"/>
                <w:lang w:val="en-US" w:eastAsia="zh-CN"/>
              </w:rPr>
              <w:t>最高不超过3分，未获过荣誉不计分。</w:t>
            </w:r>
          </w:p>
          <w:p w14:paraId="7D741FB4">
            <w:pPr>
              <w:keepNext w:val="0"/>
              <w:keepLines w:val="0"/>
              <w:pageBreakBefore w:val="0"/>
              <w:widowControl w:val="0"/>
              <w:numPr>
                <w:ilvl w:val="0"/>
                <w:numId w:val="0"/>
              </w:numPr>
              <w:kinsoku/>
              <w:wordWrap/>
              <w:overflowPunct/>
              <w:topLinePunct w:val="0"/>
              <w:bidi w:val="0"/>
              <w:adjustRightInd w:val="0"/>
              <w:snapToGrid w:val="0"/>
              <w:spacing w:line="360" w:lineRule="exact"/>
              <w:ind w:left="0" w:leftChars="0" w:firstLine="0" w:firstLineChars="0"/>
              <w:jc w:val="left"/>
              <w:rPr>
                <w:rFonts w:hint="eastAsia"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bCs/>
                <w:color w:val="auto"/>
                <w:sz w:val="21"/>
                <w:szCs w:val="21"/>
                <w:highlight w:val="none"/>
                <w:lang w:val="en-US" w:eastAsia="zh-CN"/>
              </w:rPr>
              <w:t>（提供荣誉证书、文件等复印件并加盖供应商公章）</w:t>
            </w:r>
          </w:p>
        </w:tc>
      </w:tr>
    </w:tbl>
    <w:p w14:paraId="59B8713D">
      <w:pPr>
        <w:pStyle w:val="5"/>
        <w:keepNext w:val="0"/>
        <w:keepLines w:val="0"/>
        <w:pageBreakBefore w:val="0"/>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黑体" w:hAnsi="黑体" w:eastAsia="黑体" w:cs="黑体"/>
          <w:color w:val="auto"/>
          <w:sz w:val="28"/>
          <w:szCs w:val="28"/>
          <w:lang w:val="en-US" w:eastAsia="zh-CN"/>
        </w:rPr>
      </w:pPr>
    </w:p>
    <w:p w14:paraId="072AA11B">
      <w:pPr>
        <w:pStyle w:val="5"/>
        <w:keepNext w:val="0"/>
        <w:keepLines w:val="0"/>
        <w:pageBreakBefore w:val="0"/>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黑体" w:hAnsi="黑体" w:eastAsia="黑体" w:cs="黑体"/>
          <w:color w:val="auto"/>
          <w:sz w:val="28"/>
          <w:szCs w:val="28"/>
          <w:lang w:val="en-US" w:eastAsia="zh-CN"/>
        </w:rPr>
      </w:pPr>
    </w:p>
    <w:p w14:paraId="370047A8">
      <w:pPr>
        <w:pStyle w:val="5"/>
        <w:keepNext w:val="0"/>
        <w:keepLines w:val="0"/>
        <w:pageBreakBefore w:val="0"/>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28"/>
          <w:szCs w:val="28"/>
          <w:lang w:val="en-US" w:eastAsia="zh-CN"/>
        </w:rPr>
        <w:t>六、法律顾问服务合同</w:t>
      </w:r>
      <w:r>
        <w:rPr>
          <w:rFonts w:hint="eastAsia" w:ascii="黑体" w:hAnsi="黑体" w:eastAsia="黑体" w:cs="黑体"/>
          <w:color w:val="auto"/>
          <w:sz w:val="44"/>
          <w:szCs w:val="44"/>
          <w:lang w:val="en-US" w:eastAsia="zh-CN"/>
        </w:rPr>
        <w:t xml:space="preserve"> </w:t>
      </w:r>
    </w:p>
    <w:p w14:paraId="4FEF225A">
      <w:pPr>
        <w:pStyle w:val="5"/>
        <w:keepNext w:val="0"/>
        <w:keepLines w:val="0"/>
        <w:pageBreakBefore w:val="0"/>
        <w:widowControl w:val="0"/>
        <w:numPr>
          <w:ilvl w:val="0"/>
          <w:numId w:val="0"/>
        </w:numPr>
        <w:kinsoku/>
        <w:wordWrap/>
        <w:overflowPunct/>
        <w:topLinePunct w:val="0"/>
        <w:autoSpaceDE/>
        <w:autoSpaceDN/>
        <w:bidi w:val="0"/>
        <w:adjustRightInd/>
        <w:snapToGrid/>
        <w:spacing w:line="500" w:lineRule="exact"/>
        <w:jc w:val="center"/>
        <w:textAlignment w:val="auto"/>
        <w:rPr>
          <w:rFonts w:hint="eastAsia" w:ascii="黑体" w:hAnsi="黑体" w:eastAsia="黑体" w:cs="黑体"/>
          <w:color w:val="auto"/>
          <w:sz w:val="28"/>
          <w:szCs w:val="28"/>
          <w:lang w:val="en-US" w:eastAsia="zh-CN"/>
        </w:rPr>
      </w:pPr>
      <w:r>
        <w:rPr>
          <w:rFonts w:hint="eastAsia" w:ascii="黑体" w:hAnsi="黑体" w:eastAsia="黑体" w:cs="黑体"/>
          <w:color w:val="auto"/>
          <w:sz w:val="44"/>
          <w:szCs w:val="44"/>
          <w:lang w:val="en-US" w:eastAsia="zh-CN"/>
        </w:rPr>
        <w:t>法律顾问服务合同</w:t>
      </w:r>
    </w:p>
    <w:p w14:paraId="1217EA48">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eastAsia" w:ascii="宋体" w:hAnsi="宋体" w:eastAsia="宋体" w:cs="宋体"/>
          <w:color w:val="auto"/>
          <w:sz w:val="28"/>
          <w:szCs w:val="28"/>
          <w:lang w:eastAsia="zh-CN"/>
        </w:rPr>
      </w:pPr>
      <w:r>
        <w:rPr>
          <w:rFonts w:hint="eastAsia" w:ascii="宋体" w:hAnsi="宋体" w:eastAsia="宋体" w:cs="宋体"/>
          <w:b/>
          <w:bCs/>
          <w:color w:val="auto"/>
          <w:sz w:val="28"/>
          <w:szCs w:val="28"/>
          <w:lang w:eastAsia="zh-CN"/>
        </w:rPr>
        <w:t>甲方：</w:t>
      </w:r>
      <w:r>
        <w:rPr>
          <w:rFonts w:hint="eastAsia" w:ascii="宋体" w:hAnsi="宋体" w:eastAsia="宋体" w:cs="宋体"/>
          <w:color w:val="auto"/>
          <w:sz w:val="28"/>
          <w:szCs w:val="28"/>
          <w:lang w:eastAsia="zh-CN"/>
        </w:rPr>
        <w:t>娄底市中心医院</w:t>
      </w:r>
    </w:p>
    <w:p w14:paraId="7E4BF057">
      <w:pPr>
        <w:keepNext w:val="0"/>
        <w:keepLines w:val="0"/>
        <w:pageBreakBefore w:val="0"/>
        <w:widowControl w:val="0"/>
        <w:kinsoku/>
        <w:wordWrap/>
        <w:overflowPunct/>
        <w:topLinePunct w:val="0"/>
        <w:autoSpaceDE/>
        <w:autoSpaceDN/>
        <w:bidi w:val="0"/>
        <w:adjustRightInd/>
        <w:snapToGrid/>
        <w:spacing w:line="500" w:lineRule="exact"/>
        <w:ind w:firstLine="562" w:firstLineChars="200"/>
        <w:jc w:val="both"/>
        <w:textAlignment w:val="auto"/>
        <w:rPr>
          <w:rFonts w:hint="default" w:ascii="宋体" w:hAnsi="宋体" w:eastAsia="宋体" w:cs="宋体"/>
          <w:color w:val="auto"/>
          <w:sz w:val="28"/>
          <w:szCs w:val="28"/>
          <w:u w:val="single"/>
          <w:lang w:val="en-US" w:eastAsia="zh-CN"/>
        </w:rPr>
      </w:pPr>
      <w:r>
        <w:rPr>
          <w:rFonts w:hint="eastAsia" w:ascii="宋体" w:hAnsi="宋体" w:eastAsia="宋体" w:cs="宋体"/>
          <w:b/>
          <w:bCs/>
          <w:color w:val="auto"/>
          <w:sz w:val="28"/>
          <w:szCs w:val="28"/>
          <w:lang w:eastAsia="zh-CN"/>
        </w:rPr>
        <w:t>乙方：</w:t>
      </w:r>
      <w:r>
        <w:rPr>
          <w:rFonts w:hint="eastAsia" w:ascii="宋体" w:hAnsi="宋体" w:eastAsia="宋体" w:cs="宋体"/>
          <w:color w:val="auto"/>
          <w:sz w:val="28"/>
          <w:szCs w:val="28"/>
          <w:lang w:val="en-US" w:eastAsia="zh-CN"/>
        </w:rPr>
        <w:t>【          】</w:t>
      </w:r>
    </w:p>
    <w:p w14:paraId="483DDAF2">
      <w:pPr>
        <w:keepNext w:val="0"/>
        <w:keepLines w:val="0"/>
        <w:pageBreakBefore w:val="0"/>
        <w:widowControl w:val="0"/>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甲乙双方根据《中华人民共和国民法典》《中华人民共和国律师法》等相关法律规定，就甲方聘请乙方提供常年法律顾问服务事宜达成一致，特订立本合同，以资共同遵守。</w:t>
      </w:r>
    </w:p>
    <w:p w14:paraId="02225AC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rPr>
          <w:rFonts w:hint="default" w:ascii="宋体" w:hAnsi="宋体" w:eastAsia="宋体" w:cs="宋体"/>
          <w:b/>
          <w:bCs/>
          <w:color w:val="auto"/>
          <w:sz w:val="28"/>
          <w:szCs w:val="28"/>
          <w:lang w:val="en-US" w:eastAsia="zh-CN"/>
        </w:rPr>
      </w:pPr>
      <w:r>
        <w:rPr>
          <w:rFonts w:hint="eastAsia" w:ascii="宋体" w:hAnsi="宋体" w:eastAsia="宋体" w:cs="宋体"/>
          <w:b/>
          <w:bCs/>
          <w:color w:val="auto"/>
          <w:kern w:val="2"/>
          <w:sz w:val="28"/>
          <w:szCs w:val="28"/>
          <w:lang w:val="en-US" w:eastAsia="zh-CN" w:bidi="ar-SA"/>
        </w:rPr>
        <w:t xml:space="preserve">第一条 </w:t>
      </w:r>
      <w:r>
        <w:rPr>
          <w:rFonts w:hint="eastAsia" w:ascii="宋体" w:hAnsi="宋体" w:eastAsia="宋体" w:cs="宋体"/>
          <w:b/>
          <w:bCs/>
          <w:color w:val="auto"/>
          <w:sz w:val="28"/>
          <w:szCs w:val="28"/>
          <w:lang w:val="en-US" w:eastAsia="zh-CN"/>
        </w:rPr>
        <w:t>法律顾问服务团队成员</w:t>
      </w:r>
    </w:p>
    <w:p w14:paraId="19524D1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color w:val="auto"/>
          <w:sz w:val="28"/>
          <w:szCs w:val="28"/>
          <w:u w:val="none"/>
          <w:lang w:val="en-US" w:eastAsia="zh-CN"/>
        </w:rPr>
      </w:pPr>
      <w:r>
        <w:rPr>
          <w:rFonts w:hint="eastAsia" w:ascii="宋体" w:hAnsi="宋体" w:eastAsia="宋体" w:cs="宋体"/>
          <w:color w:val="auto"/>
          <w:sz w:val="28"/>
          <w:szCs w:val="28"/>
          <w:lang w:val="en-US" w:eastAsia="zh-CN"/>
        </w:rPr>
        <w:t>1.乙方指派律师【                   】</w:t>
      </w:r>
      <w:r>
        <w:rPr>
          <w:rFonts w:hint="eastAsia" w:ascii="宋体" w:hAnsi="宋体" w:eastAsia="宋体" w:cs="宋体"/>
          <w:color w:val="auto"/>
          <w:sz w:val="28"/>
          <w:szCs w:val="28"/>
          <w:u w:val="none"/>
          <w:lang w:val="en-US" w:eastAsia="zh-CN"/>
        </w:rPr>
        <w:t>组成法律顾问团队为甲方提供法律服务，</w:t>
      </w:r>
      <w:r>
        <w:rPr>
          <w:rFonts w:hint="eastAsia" w:ascii="宋体" w:hAnsi="宋体" w:eastAsia="宋体" w:cs="宋体"/>
          <w:color w:val="auto"/>
          <w:sz w:val="28"/>
          <w:szCs w:val="28"/>
          <w:lang w:val="en-US" w:eastAsia="zh-CN"/>
        </w:rPr>
        <w:t>【     】</w:t>
      </w:r>
      <w:r>
        <w:rPr>
          <w:rFonts w:hint="eastAsia" w:ascii="宋体" w:hAnsi="宋体" w:eastAsia="宋体" w:cs="宋体"/>
          <w:color w:val="auto"/>
          <w:sz w:val="28"/>
          <w:szCs w:val="28"/>
          <w:u w:val="none"/>
          <w:lang w:val="en-US" w:eastAsia="zh-CN"/>
        </w:rPr>
        <w:t>任组长。</w:t>
      </w:r>
    </w:p>
    <w:p w14:paraId="184086D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宋体" w:hAnsi="宋体" w:eastAsia="宋体" w:cs="宋体"/>
          <w:color w:val="auto"/>
          <w:sz w:val="28"/>
          <w:szCs w:val="28"/>
          <w:u w:val="none"/>
          <w:lang w:val="en-US" w:eastAsia="zh-CN"/>
        </w:rPr>
      </w:pPr>
      <w:r>
        <w:rPr>
          <w:rFonts w:hint="eastAsia" w:ascii="宋体" w:hAnsi="宋体" w:eastAsia="宋体" w:cs="宋体"/>
          <w:color w:val="auto"/>
          <w:sz w:val="28"/>
          <w:szCs w:val="28"/>
          <w:u w:val="none"/>
          <w:lang w:val="en-US" w:eastAsia="zh-CN"/>
        </w:rPr>
        <w:t>2.</w:t>
      </w:r>
      <w:r>
        <w:rPr>
          <w:rFonts w:hint="default" w:ascii="宋体" w:hAnsi="宋体" w:eastAsia="宋体" w:cs="宋体"/>
          <w:color w:val="auto"/>
          <w:sz w:val="28"/>
          <w:szCs w:val="28"/>
          <w:u w:val="none"/>
          <w:lang w:val="en-US" w:eastAsia="zh-CN"/>
        </w:rPr>
        <w:t>本合同履行过程中，</w:t>
      </w:r>
      <w:r>
        <w:rPr>
          <w:rFonts w:hint="eastAsia" w:ascii="宋体" w:hAnsi="宋体" w:eastAsia="宋体" w:cs="宋体"/>
          <w:color w:val="auto"/>
          <w:sz w:val="28"/>
          <w:szCs w:val="28"/>
          <w:u w:val="none"/>
          <w:lang w:val="en-US" w:eastAsia="zh-CN"/>
        </w:rPr>
        <w:t>法律顾问</w:t>
      </w:r>
      <w:r>
        <w:rPr>
          <w:rFonts w:hint="default" w:ascii="宋体" w:hAnsi="宋体" w:eastAsia="宋体" w:cs="宋体"/>
          <w:color w:val="auto"/>
          <w:sz w:val="28"/>
          <w:szCs w:val="28"/>
          <w:u w:val="none"/>
          <w:lang w:val="en-US" w:eastAsia="zh-CN"/>
        </w:rPr>
        <w:t>因合理原因</w:t>
      </w:r>
      <w:r>
        <w:rPr>
          <w:rFonts w:hint="eastAsia" w:ascii="宋体" w:hAnsi="宋体" w:eastAsia="宋体" w:cs="宋体"/>
          <w:color w:val="auto"/>
          <w:sz w:val="28"/>
          <w:szCs w:val="28"/>
          <w:u w:val="none"/>
          <w:lang w:val="en-US" w:eastAsia="zh-CN"/>
        </w:rPr>
        <w:t>（</w:t>
      </w:r>
      <w:r>
        <w:rPr>
          <w:rFonts w:hint="default" w:ascii="宋体" w:hAnsi="宋体" w:eastAsia="宋体" w:cs="宋体"/>
          <w:color w:val="auto"/>
          <w:sz w:val="28"/>
          <w:szCs w:val="28"/>
          <w:u w:val="none"/>
          <w:lang w:val="en-US" w:eastAsia="zh-CN"/>
        </w:rPr>
        <w:t>包括离职、回避、时间冲突、身体状况等</w:t>
      </w:r>
      <w:r>
        <w:rPr>
          <w:rFonts w:hint="eastAsia" w:ascii="宋体" w:hAnsi="宋体" w:eastAsia="宋体" w:cs="宋体"/>
          <w:color w:val="auto"/>
          <w:sz w:val="28"/>
          <w:szCs w:val="28"/>
          <w:u w:val="none"/>
          <w:lang w:val="en-US" w:eastAsia="zh-CN"/>
        </w:rPr>
        <w:t>）</w:t>
      </w:r>
      <w:r>
        <w:rPr>
          <w:rFonts w:hint="default" w:ascii="宋体" w:hAnsi="宋体" w:eastAsia="宋体" w:cs="宋体"/>
          <w:color w:val="auto"/>
          <w:sz w:val="28"/>
          <w:szCs w:val="28"/>
          <w:u w:val="none"/>
          <w:lang w:val="en-US" w:eastAsia="zh-CN"/>
        </w:rPr>
        <w:t>无法继续或暂时不能提供</w:t>
      </w:r>
      <w:r>
        <w:rPr>
          <w:rFonts w:hint="eastAsia" w:ascii="宋体" w:hAnsi="宋体" w:eastAsia="宋体" w:cs="宋体"/>
          <w:color w:val="auto"/>
          <w:sz w:val="28"/>
          <w:szCs w:val="28"/>
          <w:u w:val="none"/>
          <w:lang w:val="en-US" w:eastAsia="zh-CN"/>
        </w:rPr>
        <w:t>服务</w:t>
      </w:r>
      <w:r>
        <w:rPr>
          <w:rFonts w:hint="default" w:ascii="宋体" w:hAnsi="宋体" w:eastAsia="宋体" w:cs="宋体"/>
          <w:color w:val="auto"/>
          <w:sz w:val="28"/>
          <w:szCs w:val="28"/>
          <w:u w:val="none"/>
          <w:lang w:val="en-US" w:eastAsia="zh-CN"/>
        </w:rPr>
        <w:t>时，乙方应及时告知甲方并另行指派其他律师接替</w:t>
      </w:r>
      <w:r>
        <w:rPr>
          <w:rFonts w:hint="eastAsia" w:ascii="宋体" w:hAnsi="宋体" w:eastAsia="宋体" w:cs="宋体"/>
          <w:color w:val="auto"/>
          <w:sz w:val="28"/>
          <w:szCs w:val="28"/>
          <w:u w:val="none"/>
          <w:lang w:val="en-US" w:eastAsia="zh-CN"/>
        </w:rPr>
        <w:t>，如</w:t>
      </w:r>
      <w:r>
        <w:rPr>
          <w:rFonts w:hint="default" w:ascii="宋体" w:hAnsi="宋体" w:eastAsia="宋体" w:cs="宋体"/>
          <w:color w:val="auto"/>
          <w:sz w:val="28"/>
          <w:szCs w:val="28"/>
          <w:u w:val="none"/>
          <w:lang w:val="en-US" w:eastAsia="zh-CN"/>
        </w:rPr>
        <w:t>甲方不同意</w:t>
      </w:r>
      <w:r>
        <w:rPr>
          <w:rFonts w:hint="eastAsia" w:ascii="宋体" w:hAnsi="宋体" w:eastAsia="宋体" w:cs="宋体"/>
          <w:color w:val="auto"/>
          <w:sz w:val="28"/>
          <w:szCs w:val="28"/>
          <w:u w:val="none"/>
          <w:lang w:val="en-US" w:eastAsia="zh-CN"/>
        </w:rPr>
        <w:t>乙方指派</w:t>
      </w:r>
      <w:r>
        <w:rPr>
          <w:rFonts w:hint="default" w:ascii="宋体" w:hAnsi="宋体" w:eastAsia="宋体" w:cs="宋体"/>
          <w:color w:val="auto"/>
          <w:sz w:val="28"/>
          <w:szCs w:val="28"/>
          <w:u w:val="none"/>
          <w:lang w:val="en-US" w:eastAsia="zh-CN"/>
        </w:rPr>
        <w:t>的律师</w:t>
      </w:r>
      <w:r>
        <w:rPr>
          <w:rFonts w:hint="eastAsia" w:ascii="宋体" w:hAnsi="宋体" w:eastAsia="宋体" w:cs="宋体"/>
          <w:color w:val="auto"/>
          <w:sz w:val="28"/>
          <w:szCs w:val="28"/>
          <w:u w:val="none"/>
          <w:lang w:val="en-US" w:eastAsia="zh-CN"/>
        </w:rPr>
        <w:t>，</w:t>
      </w:r>
      <w:r>
        <w:rPr>
          <w:rFonts w:hint="default" w:ascii="宋体" w:hAnsi="宋体" w:eastAsia="宋体" w:cs="宋体"/>
          <w:color w:val="auto"/>
          <w:sz w:val="28"/>
          <w:szCs w:val="28"/>
          <w:u w:val="none"/>
          <w:lang w:val="en-US" w:eastAsia="zh-CN"/>
        </w:rPr>
        <w:t>双方</w:t>
      </w:r>
      <w:r>
        <w:rPr>
          <w:rFonts w:hint="eastAsia" w:ascii="宋体" w:hAnsi="宋体" w:eastAsia="宋体" w:cs="宋体"/>
          <w:color w:val="auto"/>
          <w:sz w:val="28"/>
          <w:szCs w:val="28"/>
          <w:u w:val="none"/>
          <w:lang w:val="en-US" w:eastAsia="zh-CN"/>
        </w:rPr>
        <w:t>应</w:t>
      </w:r>
      <w:r>
        <w:rPr>
          <w:rFonts w:hint="default" w:ascii="宋体" w:hAnsi="宋体" w:eastAsia="宋体" w:cs="宋体"/>
          <w:color w:val="auto"/>
          <w:sz w:val="28"/>
          <w:szCs w:val="28"/>
          <w:u w:val="none"/>
          <w:lang w:val="en-US" w:eastAsia="zh-CN"/>
        </w:rPr>
        <w:t>协商选定。</w:t>
      </w:r>
    </w:p>
    <w:p w14:paraId="25567FA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rPr>
          <w:rFonts w:hint="default" w:ascii="宋体" w:hAnsi="宋体" w:eastAsia="宋体" w:cs="宋体"/>
          <w:b/>
          <w:bCs/>
          <w:color w:val="auto"/>
          <w:sz w:val="28"/>
          <w:szCs w:val="28"/>
          <w:lang w:val="en-US" w:eastAsia="zh-CN"/>
        </w:rPr>
      </w:pPr>
      <w:r>
        <w:rPr>
          <w:rFonts w:hint="eastAsia" w:ascii="宋体" w:hAnsi="宋体" w:eastAsia="宋体" w:cs="宋体"/>
          <w:b/>
          <w:bCs/>
          <w:color w:val="auto"/>
          <w:kern w:val="2"/>
          <w:sz w:val="28"/>
          <w:szCs w:val="28"/>
          <w:lang w:val="en-US" w:eastAsia="zh-CN" w:bidi="ar-SA"/>
        </w:rPr>
        <w:t xml:space="preserve">第二条 </w:t>
      </w:r>
      <w:r>
        <w:rPr>
          <w:rFonts w:hint="eastAsia" w:ascii="宋体" w:hAnsi="宋体" w:eastAsia="宋体" w:cs="宋体"/>
          <w:b/>
          <w:bCs/>
          <w:color w:val="auto"/>
          <w:sz w:val="28"/>
          <w:szCs w:val="28"/>
          <w:lang w:val="en-US" w:eastAsia="zh-CN"/>
        </w:rPr>
        <w:t>服务期限</w:t>
      </w:r>
    </w:p>
    <w:p w14:paraId="653877F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1.服务期限为3年，自</w:t>
      </w:r>
      <w:r>
        <w:rPr>
          <w:rFonts w:hint="eastAsia" w:ascii="宋体" w:hAnsi="宋体" w:eastAsia="宋体" w:cs="宋体"/>
          <w:color w:val="auto"/>
          <w:sz w:val="28"/>
          <w:szCs w:val="28"/>
          <w:u w:val="single"/>
          <w:lang w:val="en-US" w:eastAsia="zh-CN"/>
        </w:rPr>
        <w:t>2024</w:t>
      </w:r>
      <w:r>
        <w:rPr>
          <w:rFonts w:hint="eastAsia" w:ascii="宋体" w:hAnsi="宋体" w:eastAsia="宋体" w:cs="宋体"/>
          <w:color w:val="auto"/>
          <w:sz w:val="28"/>
          <w:szCs w:val="28"/>
          <w:lang w:val="en-US" w:eastAsia="zh-CN"/>
        </w:rPr>
        <w:t>年</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月</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日起至</w:t>
      </w:r>
      <w:r>
        <w:rPr>
          <w:rFonts w:hint="eastAsia" w:ascii="宋体" w:hAnsi="宋体" w:eastAsia="宋体" w:cs="宋体"/>
          <w:color w:val="auto"/>
          <w:sz w:val="28"/>
          <w:szCs w:val="28"/>
          <w:u w:val="single"/>
          <w:lang w:val="en-US" w:eastAsia="zh-CN"/>
        </w:rPr>
        <w:t>2027</w:t>
      </w:r>
      <w:r>
        <w:rPr>
          <w:rFonts w:hint="eastAsia" w:ascii="宋体" w:hAnsi="宋体" w:eastAsia="宋体" w:cs="宋体"/>
          <w:color w:val="auto"/>
          <w:sz w:val="28"/>
          <w:szCs w:val="28"/>
          <w:u w:val="none"/>
          <w:lang w:val="en-US" w:eastAsia="zh-CN"/>
        </w:rPr>
        <w:t>年</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月</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日</w:t>
      </w:r>
      <w:r>
        <w:rPr>
          <w:rFonts w:hint="eastAsia" w:ascii="宋体" w:hAnsi="宋体" w:eastAsia="宋体" w:cs="宋体"/>
          <w:color w:val="auto"/>
          <w:sz w:val="28"/>
          <w:szCs w:val="28"/>
          <w:lang w:val="en-US" w:eastAsia="zh-CN"/>
        </w:rPr>
        <w:t>止。</w:t>
      </w:r>
    </w:p>
    <w:p w14:paraId="1C2A5FB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2.服务期限届满至甲方重新选定法律顾问服务单位期间，乙方应继续提供法律顾问服务，甲方按本合同约定费用标准支付相应服务费用。</w:t>
      </w:r>
    </w:p>
    <w:p w14:paraId="04560E3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2" w:firstLineChars="200"/>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kern w:val="2"/>
          <w:sz w:val="28"/>
          <w:szCs w:val="28"/>
          <w:lang w:val="en-US" w:eastAsia="zh-CN" w:bidi="ar-SA"/>
        </w:rPr>
        <w:t xml:space="preserve">第三条 </w:t>
      </w:r>
      <w:r>
        <w:rPr>
          <w:rFonts w:hint="eastAsia" w:ascii="宋体" w:hAnsi="宋体" w:eastAsia="宋体" w:cs="宋体"/>
          <w:b/>
          <w:bCs/>
          <w:color w:val="auto"/>
          <w:sz w:val="28"/>
          <w:szCs w:val="28"/>
          <w:lang w:val="en-US" w:eastAsia="zh-CN"/>
        </w:rPr>
        <w:t>法律顾问服务内容</w:t>
      </w:r>
    </w:p>
    <w:p w14:paraId="66A5BFD8">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1.根据甲方需要指派</w:t>
      </w:r>
      <w:r>
        <w:rPr>
          <w:rFonts w:hint="eastAsia" w:ascii="宋体" w:hAnsi="宋体" w:eastAsia="宋体" w:cs="宋体"/>
          <w:color w:val="auto"/>
          <w:sz w:val="28"/>
          <w:szCs w:val="28"/>
          <w:u w:val="none"/>
          <w:lang w:val="en-US" w:eastAsia="zh-CN"/>
        </w:rPr>
        <w:t>法律顾问团队</w:t>
      </w:r>
      <w:r>
        <w:rPr>
          <w:rFonts w:hint="eastAsia" w:ascii="宋体" w:hAnsi="宋体" w:eastAsia="宋体" w:cs="宋体"/>
          <w:color w:val="auto"/>
          <w:sz w:val="28"/>
          <w:szCs w:val="28"/>
          <w:lang w:val="en-US" w:eastAsia="zh-CN"/>
        </w:rPr>
        <w:t>律师【       】来院坐班提供日常法律服务，每月时长为【    】个工作日。</w:t>
      </w:r>
    </w:p>
    <w:p w14:paraId="2233948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2.起草、修改涉法文书，根据甲方需要出具律师函。</w:t>
      </w:r>
    </w:p>
    <w:p w14:paraId="18A3A65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3.修改重要制度、文件、函件、答复等，对重要制度、文件、函件、答复、重大决定等进行合法性审查并出具意见，梳理法律风险防控点并提出风险防控解决方案。</w:t>
      </w:r>
    </w:p>
    <w:p w14:paraId="77EE512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4.建立合同模板库，负责起草、修改、审查合同，出具审查意见。</w:t>
      </w:r>
    </w:p>
    <w:p w14:paraId="10BE670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5.根据甲方需要，参与对外谈判及纠纷处理，对已经面临或者可能发生的法律风险，进行法律论证，提出解决方案。</w:t>
      </w:r>
    </w:p>
    <w:p w14:paraId="1AED485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6.根据甲方需要，参与医疗纠纷专家讨论并发表处理意见，参与重大医疗纠纷医患座谈，与患方进行沟通协调，参与医疗纠纷处置。</w:t>
      </w:r>
    </w:p>
    <w:p w14:paraId="2593F58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7.根据甲方需要来院现场服务，紧急情况下</w:t>
      </w:r>
      <w:r>
        <w:rPr>
          <w:rFonts w:hint="eastAsia" w:ascii="宋体" w:hAnsi="宋体" w:eastAsia="宋体" w:cs="宋体"/>
          <w:color w:val="auto"/>
          <w:sz w:val="28"/>
          <w:szCs w:val="28"/>
          <w:lang w:val="en-US" w:eastAsia="zh-CN"/>
        </w:rPr>
        <w:t>法律顾问团队负责人</w:t>
      </w:r>
      <w:r>
        <w:rPr>
          <w:rFonts w:hint="eastAsia" w:ascii="宋体" w:hAnsi="宋体" w:eastAsia="宋体" w:cs="宋体"/>
          <w:b w:val="0"/>
          <w:bCs w:val="0"/>
          <w:color w:val="auto"/>
          <w:kern w:val="2"/>
          <w:sz w:val="28"/>
          <w:szCs w:val="28"/>
          <w:lang w:val="en-US" w:eastAsia="zh-CN" w:bidi="ar-SA"/>
        </w:rPr>
        <w:t>半小时内到达现场，包括参与会议、进行论证和合法性审查，提供法律意见、建议和解决方案。</w:t>
      </w:r>
    </w:p>
    <w:p w14:paraId="39181FE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8.提供重大项目建设专项法律服务，负责全过程各类法律文件的起草、修改、审查，协助甲方规范项目建设行为，防止违法行为发生等。</w:t>
      </w:r>
    </w:p>
    <w:p w14:paraId="7F9CB28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9.提供电话、邮件、微信等形式的24小时法律咨询服务，紧急事务1小时内作出解答，根据甲方需要出具法律咨询意见书。</w:t>
      </w:r>
    </w:p>
    <w:p w14:paraId="780550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10.协助甲方法务部门开展法治建设工作，配合开展法治宣传教育及活动，根据甲方需要提供法律知识培训、普法教育和培训等，培训课时每年不少于8小时。</w:t>
      </w:r>
    </w:p>
    <w:p w14:paraId="1EBC320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11.服务期间根据甲方需要代理案件，分析是否参与应诉及风险，撰写相关法律文书，参与诉讼及鉴定案件的法律论证、策划。案件代理费不计入年度法律顾问服务费用。</w:t>
      </w:r>
    </w:p>
    <w:p w14:paraId="63D0F00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12.办理甲方需要的其他法律事务。</w:t>
      </w:r>
    </w:p>
    <w:p w14:paraId="0C7DB58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jc w:val="both"/>
        <w:textAlignment w:val="auto"/>
        <w:rPr>
          <w:rFonts w:hint="eastAsia" w:ascii="宋体" w:hAnsi="宋体" w:eastAsia="宋体" w:cs="宋体"/>
          <w:b w:val="0"/>
          <w:bCs w:val="0"/>
          <w:color w:val="auto"/>
          <w:kern w:val="2"/>
          <w:sz w:val="28"/>
          <w:szCs w:val="28"/>
          <w:lang w:val="en-US" w:eastAsia="zh-CN" w:bidi="ar-SA"/>
        </w:rPr>
      </w:pPr>
      <w:r>
        <w:rPr>
          <w:rFonts w:hint="eastAsia" w:ascii="宋体" w:hAnsi="宋体" w:eastAsia="宋体" w:cs="宋体"/>
          <w:b w:val="0"/>
          <w:bCs w:val="0"/>
          <w:color w:val="auto"/>
          <w:kern w:val="2"/>
          <w:sz w:val="28"/>
          <w:szCs w:val="28"/>
          <w:lang w:val="en-US" w:eastAsia="zh-CN" w:bidi="ar-SA"/>
        </w:rPr>
        <w:t>13.对服务期间知悉的甲方相关工作内容及信息严格保密，如因泄露或不正当使用造成甲方损失的，应当承担赔偿责任。</w:t>
      </w:r>
    </w:p>
    <w:p w14:paraId="09274DE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14.每半个合同年度届满后10日内需向甲方提交上半个合同年度《法律顾问服务工作报告》，内容包括上半个合同年度法律顾问工作总结、经办案件基本情况、原因评析、经验教训以及对甲方管理方面提出的建议。</w:t>
      </w:r>
    </w:p>
    <w:p w14:paraId="1B30BA7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lang w:val="en-US" w:eastAsia="zh-CN"/>
        </w:rPr>
        <w:t>15.接受甲方对服务质量进行考评，甲方有权对未达标准的服务在应支付款项中予以扣除费用；如因法律顾问执业过错造成采购人损失的，</w:t>
      </w:r>
      <w:r>
        <w:rPr>
          <w:rFonts w:hint="eastAsia" w:ascii="宋体" w:hAnsi="宋体" w:eastAsia="宋体" w:cs="宋体"/>
          <w:color w:val="auto"/>
          <w:sz w:val="28"/>
          <w:szCs w:val="28"/>
          <w:highlight w:val="none"/>
          <w:lang w:val="en-US" w:eastAsia="zh-CN"/>
        </w:rPr>
        <w:t>由法律顾问所在律师事务所承担赔偿责任。</w:t>
      </w:r>
    </w:p>
    <w:p w14:paraId="556F3EE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2" w:firstLineChars="200"/>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kern w:val="2"/>
          <w:sz w:val="28"/>
          <w:szCs w:val="28"/>
          <w:lang w:val="en-US" w:eastAsia="zh-CN" w:bidi="ar-SA"/>
        </w:rPr>
        <w:t xml:space="preserve">第四条 </w:t>
      </w:r>
      <w:r>
        <w:rPr>
          <w:rFonts w:hint="eastAsia" w:ascii="宋体" w:hAnsi="宋体" w:eastAsia="宋体" w:cs="宋体"/>
          <w:b/>
          <w:bCs/>
          <w:color w:val="auto"/>
          <w:sz w:val="28"/>
          <w:szCs w:val="28"/>
          <w:lang w:val="en-US" w:eastAsia="zh-CN"/>
        </w:rPr>
        <w:t>甲方权利与义务</w:t>
      </w:r>
    </w:p>
    <w:p w14:paraId="339AE3D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1.经常督促、检查法律顾问的工作，保证工作质量。 </w:t>
      </w:r>
    </w:p>
    <w:p w14:paraId="697AEFF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2.应为乙方提供开展工作所必要的配合和条件。  </w:t>
      </w:r>
    </w:p>
    <w:p w14:paraId="0DCAB57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3.及时向乙方披露与委托事项有关的背景信息，提供有关资料、文件、证据等并对真实性和完整性负责。</w:t>
      </w:r>
    </w:p>
    <w:p w14:paraId="7B2AF67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4.理解并尊重乙方的执业准则和习惯，在需要乙方律师处理有关事务时，除突发事件外，甲方应在合理时间内提前通知乙方，以便乙方作出安排。 </w:t>
      </w:r>
    </w:p>
    <w:p w14:paraId="30EDE4C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5.需要乙方出席的会议、谈判，甲方应提前通知乙方并告知相关事项。  </w:t>
      </w:r>
    </w:p>
    <w:p w14:paraId="3A245BA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6.甲方有权根据己方需要自主选择将案件委托给乙方或甲方职工或第三方代理。</w:t>
      </w:r>
    </w:p>
    <w:p w14:paraId="38CDCF8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7.应当按照本合同约定支付费用。  </w:t>
      </w:r>
    </w:p>
    <w:p w14:paraId="48379B7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8.根据乙方提供的法律意见、建议、方案作出最终的判断或决策。对根据乙方提供的法律意见、建议、方案所作出的决定而导致的损失，非因乙方失职行为造成的，由甲方自行承担。</w:t>
      </w:r>
    </w:p>
    <w:p w14:paraId="02D255E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jc w:val="both"/>
        <w:textAlignment w:val="auto"/>
        <w:rPr>
          <w:rFonts w:hint="default"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第五条 乙方的权利和义务</w:t>
      </w:r>
    </w:p>
    <w:p w14:paraId="3F98AF0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1.指派执业律师经验丰富，遵守宪法和法律，恪守律师职业道德和执业纪律，提供全方位的优质高效法律服务，尽最大努力维护甲方合法利益。</w:t>
      </w:r>
    </w:p>
    <w:p w14:paraId="4485A4D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2.根据甲方要求开展工作，但甲方要求与法律、职业道德以及本合同约定相悖的除外。  </w:t>
      </w:r>
    </w:p>
    <w:p w14:paraId="604878C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3.应依照可适用的法律法规及相关经验，为甲方提供稳健、谨慎的法律意见或建议。乙方对提供给甲方的法律意见、法律文书以及办理的其他法律事务的合法性和有效性负责。  </w:t>
      </w:r>
    </w:p>
    <w:p w14:paraId="5D56D6F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 xml:space="preserve">4.如遇突发事件，应根据甲方通知第一时间赶赴指定地点处理。  </w:t>
      </w:r>
    </w:p>
    <w:p w14:paraId="0B2E5D4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5.妥善保管服务期间有关的法律文书、证据材料、业务文件和工作记录，对甲方业务单独建立完整档案。</w:t>
      </w:r>
    </w:p>
    <w:p w14:paraId="0B127819">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6.乙方应充分尊重甲方案件委托代理的自由选择权，并承诺无论乙方是否代理甲方案件，乙方</w:t>
      </w:r>
      <w:r>
        <w:rPr>
          <w:rFonts w:hint="default" w:ascii="宋体" w:hAnsi="宋体" w:eastAsia="宋体" w:cs="宋体"/>
          <w:color w:val="auto"/>
          <w:sz w:val="28"/>
          <w:szCs w:val="28"/>
          <w:lang w:val="en-US" w:eastAsia="zh-CN"/>
        </w:rPr>
        <w:t>在涉及甲方的对抗性案件或者交易活动中，不得担任与甲方具有法律上利益冲突的另一方的法律顾问或者代理</w:t>
      </w:r>
      <w:r>
        <w:rPr>
          <w:rFonts w:hint="eastAsia" w:ascii="宋体" w:hAnsi="宋体" w:eastAsia="宋体" w:cs="宋体"/>
          <w:color w:val="auto"/>
          <w:sz w:val="28"/>
          <w:szCs w:val="28"/>
          <w:lang w:val="en-US" w:eastAsia="zh-CN"/>
        </w:rPr>
        <w:t>。</w:t>
      </w:r>
    </w:p>
    <w:p w14:paraId="1919EFE4">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7.与甲方法务部门积极联系，接受服务考评。</w:t>
      </w:r>
    </w:p>
    <w:p w14:paraId="4129C27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2" w:firstLineChars="200"/>
        <w:jc w:val="both"/>
        <w:textAlignment w:val="auto"/>
        <w:rPr>
          <w:rFonts w:hint="default" w:ascii="宋体" w:hAnsi="宋体" w:eastAsia="宋体" w:cs="宋体"/>
          <w:b/>
          <w:bCs/>
          <w:color w:val="auto"/>
          <w:sz w:val="28"/>
          <w:szCs w:val="28"/>
          <w:lang w:val="en-US" w:eastAsia="zh-CN"/>
        </w:rPr>
      </w:pPr>
      <w:r>
        <w:rPr>
          <w:rFonts w:hint="eastAsia" w:ascii="宋体" w:hAnsi="宋体" w:eastAsia="宋体" w:cs="宋体"/>
          <w:b/>
          <w:bCs/>
          <w:color w:val="auto"/>
          <w:kern w:val="2"/>
          <w:sz w:val="28"/>
          <w:szCs w:val="28"/>
          <w:lang w:val="en-US" w:eastAsia="zh-CN" w:bidi="ar-SA"/>
        </w:rPr>
        <w:t xml:space="preserve">第五条 </w:t>
      </w:r>
      <w:r>
        <w:rPr>
          <w:rFonts w:hint="eastAsia" w:ascii="宋体" w:hAnsi="宋体" w:eastAsia="宋体" w:cs="宋体"/>
          <w:b/>
          <w:bCs/>
          <w:color w:val="auto"/>
          <w:sz w:val="28"/>
          <w:szCs w:val="28"/>
          <w:lang w:val="en-US" w:eastAsia="zh-CN"/>
        </w:rPr>
        <w:t>费用标准</w:t>
      </w:r>
    </w:p>
    <w:p w14:paraId="7FF2E3B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1.法律顾问服务费用标准：</w:t>
      </w:r>
    </w:p>
    <w:p w14:paraId="1F7CBBC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0" w:firstLineChars="200"/>
        <w:textAlignment w:val="auto"/>
        <w:rPr>
          <w:rFonts w:hint="eastAsia" w:ascii="宋体" w:hAnsi="宋体" w:eastAsia="宋体" w:cs="宋体"/>
          <w:b/>
          <w:bCs/>
          <w:color w:val="auto"/>
          <w:sz w:val="28"/>
          <w:szCs w:val="28"/>
          <w:highlight w:val="none"/>
          <w:u w:val="single"/>
          <w:lang w:val="en-US" w:eastAsia="zh-CN"/>
        </w:rPr>
      </w:pPr>
      <w:r>
        <w:rPr>
          <w:rFonts w:hint="eastAsia" w:ascii="宋体" w:hAnsi="宋体" w:eastAsia="宋体" w:cs="宋体"/>
          <w:b w:val="0"/>
          <w:bCs w:val="0"/>
          <w:color w:val="auto"/>
          <w:sz w:val="28"/>
          <w:szCs w:val="28"/>
          <w:lang w:val="en-US" w:eastAsia="zh-CN"/>
        </w:rPr>
        <w:t>每合同年度法律顾问服务费用为人民币【   】元整，三年法律顾问服务费用总价款共计人民币【   】元整（小写：【   】元）。</w:t>
      </w:r>
      <w:r>
        <w:rPr>
          <w:rFonts w:hint="eastAsia" w:ascii="宋体" w:hAnsi="宋体" w:eastAsia="宋体" w:cs="宋体"/>
          <w:b/>
          <w:bCs/>
          <w:color w:val="auto"/>
          <w:sz w:val="28"/>
          <w:szCs w:val="28"/>
          <w:highlight w:val="none"/>
          <w:u w:val="single"/>
          <w:lang w:val="en-US" w:eastAsia="zh-CN"/>
        </w:rPr>
        <w:t>甲方在每半个合同年度届满后30日内支付上半个合同年度</w:t>
      </w:r>
      <w:r>
        <w:rPr>
          <w:rFonts w:hint="eastAsia" w:ascii="宋体" w:hAnsi="宋体" w:eastAsia="宋体" w:cs="宋体"/>
          <w:b/>
          <w:bCs/>
          <w:color w:val="auto"/>
          <w:sz w:val="28"/>
          <w:szCs w:val="28"/>
          <w:u w:val="single"/>
          <w:lang w:val="en-US" w:eastAsia="zh-CN"/>
        </w:rPr>
        <w:t>法律顾问</w:t>
      </w:r>
      <w:r>
        <w:rPr>
          <w:rFonts w:hint="eastAsia" w:ascii="宋体" w:hAnsi="宋体" w:eastAsia="宋体" w:cs="宋体"/>
          <w:b/>
          <w:bCs/>
          <w:color w:val="auto"/>
          <w:sz w:val="28"/>
          <w:szCs w:val="28"/>
          <w:highlight w:val="none"/>
          <w:u w:val="single"/>
          <w:lang w:val="en-US" w:eastAsia="zh-CN"/>
        </w:rPr>
        <w:t>服务费用；甲方依据法律顾问服务</w:t>
      </w:r>
      <w:r>
        <w:rPr>
          <w:rFonts w:hint="eastAsia" w:ascii="宋体" w:hAnsi="宋体" w:eastAsia="宋体" w:cs="宋体"/>
          <w:b/>
          <w:bCs/>
          <w:color w:val="auto"/>
          <w:sz w:val="28"/>
          <w:szCs w:val="28"/>
          <w:u w:val="single"/>
          <w:lang w:eastAsia="zh-CN"/>
        </w:rPr>
        <w:t>考评结果</w:t>
      </w:r>
      <w:r>
        <w:rPr>
          <w:rFonts w:hint="eastAsia" w:ascii="宋体" w:hAnsi="宋体" w:eastAsia="宋体" w:cs="宋体"/>
          <w:b/>
          <w:bCs/>
          <w:color w:val="auto"/>
          <w:sz w:val="28"/>
          <w:szCs w:val="28"/>
          <w:u w:val="single"/>
          <w:lang w:val="en-US" w:eastAsia="zh-CN"/>
        </w:rPr>
        <w:t>向乙方支付半年度服务费用：</w:t>
      </w:r>
      <w:r>
        <w:rPr>
          <w:rFonts w:hint="eastAsia" w:ascii="宋体" w:hAnsi="宋体" w:eastAsia="宋体" w:cs="宋体"/>
          <w:b/>
          <w:bCs/>
          <w:color w:val="auto"/>
          <w:sz w:val="28"/>
          <w:szCs w:val="28"/>
          <w:highlight w:val="none"/>
          <w:u w:val="single"/>
          <w:lang w:val="en-US" w:eastAsia="zh-CN"/>
        </w:rPr>
        <w:t>考评等级在合格及以上的，</w:t>
      </w:r>
      <w:r>
        <w:rPr>
          <w:rFonts w:hint="eastAsia" w:ascii="宋体" w:hAnsi="宋体" w:eastAsia="宋体" w:cs="宋体"/>
          <w:b/>
          <w:bCs/>
          <w:color w:val="auto"/>
          <w:sz w:val="28"/>
          <w:szCs w:val="28"/>
          <w:u w:val="single"/>
          <w:lang w:val="en-US" w:eastAsia="zh-CN"/>
        </w:rPr>
        <w:t>全额支付；</w:t>
      </w:r>
      <w:r>
        <w:rPr>
          <w:rFonts w:hint="eastAsia" w:ascii="宋体" w:hAnsi="宋体" w:eastAsia="宋体" w:cs="宋体"/>
          <w:b/>
          <w:bCs/>
          <w:color w:val="auto"/>
          <w:sz w:val="28"/>
          <w:szCs w:val="28"/>
          <w:highlight w:val="none"/>
          <w:u w:val="single"/>
          <w:lang w:val="en-US" w:eastAsia="zh-CN"/>
        </w:rPr>
        <w:t>考评为基本合格等级的，支付80%的半年度法律顾问服务费用；考评为不合格等级的，</w:t>
      </w:r>
      <w:r>
        <w:rPr>
          <w:rFonts w:hint="eastAsia" w:ascii="宋体" w:hAnsi="宋体" w:eastAsia="宋体" w:cs="宋体"/>
          <w:b/>
          <w:bCs/>
          <w:color w:val="auto"/>
          <w:sz w:val="28"/>
          <w:szCs w:val="28"/>
          <w:u w:val="single"/>
          <w:lang w:val="en-US" w:eastAsia="zh-CN"/>
        </w:rPr>
        <w:t>甲方</w:t>
      </w:r>
      <w:r>
        <w:rPr>
          <w:rFonts w:hint="eastAsia" w:ascii="宋体" w:hAnsi="宋体" w:eastAsia="宋体" w:cs="宋体"/>
          <w:b/>
          <w:bCs/>
          <w:color w:val="auto"/>
          <w:sz w:val="28"/>
          <w:szCs w:val="28"/>
          <w:highlight w:val="none"/>
          <w:u w:val="single"/>
          <w:lang w:val="en-US" w:eastAsia="zh-CN"/>
        </w:rPr>
        <w:t>不予支付半年度法律顾问服务费用</w:t>
      </w:r>
      <w:r>
        <w:rPr>
          <w:rFonts w:hint="eastAsia" w:ascii="宋体" w:hAnsi="宋体" w:eastAsia="宋体" w:cs="宋体"/>
          <w:b/>
          <w:bCs/>
          <w:color w:val="auto"/>
          <w:sz w:val="28"/>
          <w:szCs w:val="28"/>
          <w:highlight w:val="none"/>
          <w:u w:val="none"/>
          <w:lang w:val="en-US" w:eastAsia="zh-CN"/>
        </w:rPr>
        <w:t>。</w:t>
      </w:r>
    </w:p>
    <w:p w14:paraId="132F82C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2.案件代理费标准：</w:t>
      </w:r>
    </w:p>
    <w:p w14:paraId="5B50E3B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（1）不涉及财产关系及标的额在10万以下的案件，一审案件代理费为</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lang w:val="en-US" w:eastAsia="zh-CN"/>
        </w:rPr>
        <w:t>元，二审、再审等案件代理费为</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lang w:val="en-US" w:eastAsia="zh-CN"/>
        </w:rPr>
        <w:t>元。</w:t>
      </w:r>
    </w:p>
    <w:p w14:paraId="17EDA2D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（2）标的额在10万以上（含10万元）的案件，一审案件代理费按《湖南省律师服务收费行业指导标准（2017年版）》分段计费最低费率计算基数</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lang w:val="en-US" w:eastAsia="zh-CN"/>
        </w:rPr>
        <w:t>折计算收取，二审、再审等案件代理费按一审案件代理费用</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lang w:val="en-US" w:eastAsia="zh-CN"/>
        </w:rPr>
        <w:t>折计算收取；如</w:t>
      </w:r>
      <w:r>
        <w:rPr>
          <w:rFonts w:hint="default" w:ascii="宋体" w:hAnsi="宋体" w:eastAsia="宋体" w:cs="宋体"/>
          <w:b w:val="0"/>
          <w:bCs w:val="0"/>
          <w:color w:val="auto"/>
          <w:sz w:val="28"/>
          <w:szCs w:val="28"/>
          <w:lang w:val="en-US" w:eastAsia="zh-CN"/>
        </w:rPr>
        <w:t>案件涉及财产标的</w:t>
      </w:r>
      <w:r>
        <w:rPr>
          <w:rFonts w:hint="default" w:ascii="宋体" w:hAnsi="宋体" w:eastAsia="宋体" w:cs="宋体"/>
          <w:b w:val="0"/>
          <w:bCs w:val="0"/>
          <w:color w:val="auto"/>
          <w:sz w:val="28"/>
          <w:szCs w:val="28"/>
          <w:highlight w:val="none"/>
          <w:lang w:val="en-US" w:eastAsia="zh-CN"/>
        </w:rPr>
        <w:t>额</w:t>
      </w:r>
      <w:r>
        <w:rPr>
          <w:rFonts w:hint="eastAsia" w:ascii="宋体" w:hAnsi="宋体" w:eastAsia="宋体" w:cs="宋体"/>
          <w:b w:val="0"/>
          <w:bCs w:val="0"/>
          <w:color w:val="auto"/>
          <w:sz w:val="28"/>
          <w:szCs w:val="28"/>
          <w:highlight w:val="none"/>
          <w:lang w:val="en-US" w:eastAsia="zh-CN"/>
        </w:rPr>
        <w:t>在</w:t>
      </w:r>
      <w:r>
        <w:rPr>
          <w:rFonts w:hint="default" w:ascii="宋体" w:hAnsi="宋体" w:eastAsia="宋体" w:cs="宋体"/>
          <w:b w:val="0"/>
          <w:bCs w:val="0"/>
          <w:color w:val="auto"/>
          <w:sz w:val="28"/>
          <w:szCs w:val="28"/>
          <w:highlight w:val="none"/>
          <w:lang w:val="en-US" w:eastAsia="zh-CN"/>
        </w:rPr>
        <w:t>1000万及以上</w:t>
      </w:r>
      <w:r>
        <w:rPr>
          <w:rFonts w:hint="eastAsia" w:ascii="宋体" w:hAnsi="宋体" w:eastAsia="宋体" w:cs="宋体"/>
          <w:b w:val="0"/>
          <w:bCs w:val="0"/>
          <w:color w:val="auto"/>
          <w:sz w:val="28"/>
          <w:szCs w:val="28"/>
          <w:highlight w:val="none"/>
          <w:lang w:val="en-US" w:eastAsia="zh-CN"/>
        </w:rPr>
        <w:t>（含1000万）</w:t>
      </w:r>
      <w:r>
        <w:rPr>
          <w:rFonts w:hint="default" w:ascii="宋体" w:hAnsi="宋体" w:eastAsia="宋体" w:cs="宋体"/>
          <w:b w:val="0"/>
          <w:bCs w:val="0"/>
          <w:color w:val="auto"/>
          <w:sz w:val="28"/>
          <w:szCs w:val="28"/>
          <w:highlight w:val="none"/>
          <w:lang w:val="en-US" w:eastAsia="zh-CN"/>
        </w:rPr>
        <w:t>的，</w:t>
      </w:r>
      <w:r>
        <w:rPr>
          <w:rFonts w:hint="eastAsia" w:ascii="宋体" w:hAnsi="宋体" w:eastAsia="宋体" w:cs="宋体"/>
          <w:b w:val="0"/>
          <w:bCs w:val="0"/>
          <w:color w:val="auto"/>
          <w:sz w:val="28"/>
          <w:szCs w:val="28"/>
          <w:lang w:val="en-US" w:eastAsia="zh-CN"/>
        </w:rPr>
        <w:t>双方</w:t>
      </w:r>
      <w:r>
        <w:rPr>
          <w:rFonts w:hint="default" w:ascii="宋体" w:hAnsi="宋体" w:eastAsia="宋体" w:cs="宋体"/>
          <w:b w:val="0"/>
          <w:bCs w:val="0"/>
          <w:color w:val="auto"/>
          <w:sz w:val="28"/>
          <w:szCs w:val="28"/>
          <w:lang w:val="en-US" w:eastAsia="zh-CN"/>
        </w:rPr>
        <w:t>在</w:t>
      </w:r>
      <w:r>
        <w:rPr>
          <w:rFonts w:hint="eastAsia" w:ascii="宋体" w:hAnsi="宋体" w:eastAsia="宋体" w:cs="宋体"/>
          <w:b w:val="0"/>
          <w:bCs w:val="0"/>
          <w:color w:val="auto"/>
          <w:sz w:val="28"/>
          <w:szCs w:val="28"/>
          <w:lang w:val="en-US" w:eastAsia="zh-CN"/>
        </w:rPr>
        <w:t>低</w:t>
      </w:r>
      <w:r>
        <w:rPr>
          <w:rFonts w:hint="default" w:ascii="宋体" w:hAnsi="宋体" w:eastAsia="宋体" w:cs="宋体"/>
          <w:b w:val="0"/>
          <w:bCs w:val="0"/>
          <w:color w:val="auto"/>
          <w:sz w:val="28"/>
          <w:szCs w:val="28"/>
          <w:lang w:val="en-US" w:eastAsia="zh-CN"/>
        </w:rPr>
        <w:t>于</w:t>
      </w:r>
      <w:r>
        <w:rPr>
          <w:rFonts w:hint="eastAsia" w:ascii="宋体" w:hAnsi="宋体" w:eastAsia="宋体" w:cs="宋体"/>
          <w:b w:val="0"/>
          <w:bCs w:val="0"/>
          <w:color w:val="auto"/>
          <w:sz w:val="28"/>
          <w:szCs w:val="28"/>
          <w:lang w:val="en-US" w:eastAsia="zh-CN"/>
        </w:rPr>
        <w:t>前述</w:t>
      </w:r>
      <w:r>
        <w:rPr>
          <w:rFonts w:hint="default" w:ascii="宋体" w:hAnsi="宋体" w:eastAsia="宋体" w:cs="宋体"/>
          <w:b w:val="0"/>
          <w:bCs w:val="0"/>
          <w:color w:val="auto"/>
          <w:sz w:val="28"/>
          <w:szCs w:val="28"/>
          <w:lang w:val="en-US" w:eastAsia="zh-CN"/>
        </w:rPr>
        <w:t>折扣基础上协商确定案件代理费。</w:t>
      </w:r>
    </w:p>
    <w:p w14:paraId="0DC6298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w:t>
      </w:r>
      <w:r>
        <w:rPr>
          <w:rFonts w:hint="default" w:ascii="宋体" w:hAnsi="宋体" w:eastAsia="宋体" w:cs="宋体"/>
          <w:b w:val="0"/>
          <w:bCs w:val="0"/>
          <w:color w:val="auto"/>
          <w:sz w:val="28"/>
          <w:szCs w:val="28"/>
          <w:lang w:val="en-US" w:eastAsia="zh-CN"/>
        </w:rPr>
        <w:t>案件代理费不计入年度法律顾问服务费用</w:t>
      </w:r>
      <w:r>
        <w:rPr>
          <w:rFonts w:hint="eastAsia" w:ascii="宋体" w:hAnsi="宋体" w:eastAsia="宋体" w:cs="宋体"/>
          <w:b w:val="0"/>
          <w:bCs w:val="0"/>
          <w:color w:val="auto"/>
          <w:sz w:val="28"/>
          <w:szCs w:val="28"/>
          <w:lang w:val="en-US" w:eastAsia="zh-CN"/>
        </w:rPr>
        <w:t>，按半个合同年度单独支付。</w:t>
      </w:r>
      <w:r>
        <w:rPr>
          <w:rFonts w:hint="eastAsia" w:ascii="宋体" w:hAnsi="宋体" w:eastAsia="宋体" w:cs="宋体"/>
          <w:color w:val="auto"/>
          <w:sz w:val="28"/>
          <w:szCs w:val="28"/>
          <w:lang w:val="en-US" w:eastAsia="zh-CN"/>
        </w:rPr>
        <w:t>乙方应在每半个合同年度届满后</w:t>
      </w:r>
      <w:r>
        <w:rPr>
          <w:rFonts w:hint="eastAsia" w:ascii="宋体" w:hAnsi="宋体" w:eastAsia="宋体" w:cs="宋体"/>
          <w:color w:val="auto"/>
          <w:sz w:val="28"/>
          <w:szCs w:val="28"/>
          <w:u w:val="single"/>
          <w:lang w:val="en-US" w:eastAsia="zh-CN"/>
        </w:rPr>
        <w:t xml:space="preserve"> 10 </w:t>
      </w:r>
      <w:r>
        <w:rPr>
          <w:rFonts w:hint="eastAsia" w:ascii="宋体" w:hAnsi="宋体" w:eastAsia="宋体" w:cs="宋体"/>
          <w:color w:val="auto"/>
          <w:sz w:val="28"/>
          <w:szCs w:val="28"/>
          <w:u w:val="none"/>
          <w:lang w:val="en-US" w:eastAsia="zh-CN"/>
        </w:rPr>
        <w:t>日内与甲方办理案件代理费结算，甲方在每半个合同年度届满后30日内向乙方支付上半个合同年度案件代理费</w:t>
      </w:r>
      <w:r>
        <w:rPr>
          <w:rFonts w:hint="eastAsia" w:ascii="宋体" w:hAnsi="宋体" w:eastAsia="宋体" w:cs="宋体"/>
          <w:color w:val="auto"/>
          <w:sz w:val="28"/>
          <w:szCs w:val="28"/>
          <w:lang w:val="en-US" w:eastAsia="zh-CN"/>
        </w:rPr>
        <w:t>。</w:t>
      </w:r>
    </w:p>
    <w:p w14:paraId="1555506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3.乙方办理甲方委托事项所发生的下列费用由甲方承担：相关行政、司法、鉴定、公证等部门收取的费用；娄底市外发生的差旅费、食宿费等；征得甲方同意后支出的其他费用。</w:t>
      </w:r>
    </w:p>
    <w:p w14:paraId="3CF1951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lang w:val="en-US" w:eastAsia="zh-CN"/>
        </w:rPr>
        <w:t>4.甲方通过银行转账支付费用至乙方指定账户，乙方指定收取法律顾问服务费、案件代理费的银行账户户名：</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lang w:val="en-US" w:eastAsia="zh-CN"/>
        </w:rPr>
        <w:t>，开户行：</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lang w:val="en-US" w:eastAsia="zh-CN"/>
        </w:rPr>
        <w:t>，账号：</w:t>
      </w:r>
      <w:r>
        <w:rPr>
          <w:rFonts w:hint="eastAsia" w:ascii="宋体" w:hAnsi="宋体" w:eastAsia="宋体" w:cs="宋体"/>
          <w:b w:val="0"/>
          <w:bCs w:val="0"/>
          <w:color w:val="auto"/>
          <w:sz w:val="28"/>
          <w:szCs w:val="28"/>
          <w:u w:val="single"/>
          <w:lang w:val="en-US" w:eastAsia="zh-CN"/>
        </w:rPr>
        <w:t xml:space="preserve">            </w:t>
      </w:r>
      <w:r>
        <w:rPr>
          <w:rFonts w:hint="eastAsia" w:ascii="宋体" w:hAnsi="宋体" w:eastAsia="宋体" w:cs="宋体"/>
          <w:b w:val="0"/>
          <w:bCs w:val="0"/>
          <w:color w:val="auto"/>
          <w:sz w:val="28"/>
          <w:szCs w:val="28"/>
          <w:lang w:val="en-US" w:eastAsia="zh-CN"/>
        </w:rPr>
        <w:t>。</w:t>
      </w:r>
    </w:p>
    <w:p w14:paraId="1BA5F032">
      <w:pPr>
        <w:pStyle w:val="3"/>
        <w:keepNext w:val="0"/>
        <w:keepLines w:val="0"/>
        <w:pageBreakBefore w:val="0"/>
        <w:widowControl w:val="0"/>
        <w:kinsoku/>
        <w:wordWrap/>
        <w:overflowPunct/>
        <w:topLinePunct w:val="0"/>
        <w:autoSpaceDE/>
        <w:autoSpaceDN/>
        <w:bidi w:val="0"/>
        <w:adjustRightInd/>
        <w:snapToGrid/>
        <w:spacing w:before="0" w:after="0" w:line="500" w:lineRule="exact"/>
        <w:ind w:firstLine="560" w:firstLineChars="200"/>
        <w:textAlignment w:val="auto"/>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u w:val="none"/>
          <w:lang w:val="en-US" w:eastAsia="zh-CN"/>
        </w:rPr>
        <w:t>5.乙方应在甲方每次付款前提供以自己名义开具的、对应金额、符合税法规定的增值税普通发票；如因乙方未及时提供符合约定的发票导致甲方逾期支付，甲方不承担任何责任。</w:t>
      </w:r>
    </w:p>
    <w:p w14:paraId="1BF2758E">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宋体" w:hAnsi="宋体" w:eastAsia="宋体" w:cs="宋体"/>
          <w:b/>
          <w:bCs/>
          <w:color w:val="auto"/>
          <w:kern w:val="2"/>
          <w:sz w:val="28"/>
          <w:szCs w:val="28"/>
          <w:u w:val="none"/>
          <w:lang w:val="en-US" w:eastAsia="zh-CN" w:bidi="ar-SA"/>
        </w:rPr>
      </w:pPr>
      <w:r>
        <w:rPr>
          <w:rFonts w:hint="default" w:ascii="宋体" w:hAnsi="宋体" w:eastAsia="宋体" w:cs="宋体"/>
          <w:b/>
          <w:bCs/>
          <w:color w:val="auto"/>
          <w:kern w:val="2"/>
          <w:sz w:val="28"/>
          <w:szCs w:val="28"/>
          <w:u w:val="none"/>
          <w:lang w:val="en-US" w:eastAsia="zh-CN" w:bidi="ar-SA"/>
        </w:rPr>
        <w:t>第</w:t>
      </w:r>
      <w:r>
        <w:rPr>
          <w:rFonts w:hint="eastAsia" w:ascii="宋体" w:hAnsi="宋体" w:eastAsia="宋体" w:cs="宋体"/>
          <w:b/>
          <w:bCs/>
          <w:color w:val="auto"/>
          <w:kern w:val="2"/>
          <w:sz w:val="28"/>
          <w:szCs w:val="28"/>
          <w:u w:val="none"/>
          <w:lang w:val="en-US" w:eastAsia="zh-CN" w:bidi="ar-SA"/>
        </w:rPr>
        <w:t>六</w:t>
      </w:r>
      <w:r>
        <w:rPr>
          <w:rFonts w:hint="default" w:ascii="宋体" w:hAnsi="宋体" w:eastAsia="宋体" w:cs="宋体"/>
          <w:b/>
          <w:bCs/>
          <w:color w:val="auto"/>
          <w:kern w:val="2"/>
          <w:sz w:val="28"/>
          <w:szCs w:val="28"/>
          <w:u w:val="none"/>
          <w:lang w:val="en-US" w:eastAsia="zh-CN" w:bidi="ar-SA"/>
        </w:rPr>
        <w:t>条 廉洁条款</w:t>
      </w:r>
    </w:p>
    <w:p w14:paraId="0C75411D">
      <w:pPr>
        <w:keepNext w:val="0"/>
        <w:keepLines w:val="0"/>
        <w:pageBreakBefore w:val="0"/>
        <w:widowControl w:val="0"/>
        <w:kinsoku/>
        <w:wordWrap/>
        <w:overflowPunct/>
        <w:topLinePunct w:val="0"/>
        <w:autoSpaceDE/>
        <w:autoSpaceDN/>
        <w:bidi w:val="0"/>
        <w:adjustRightInd/>
        <w:snapToGrid/>
        <w:spacing w:line="500" w:lineRule="exact"/>
        <w:ind w:firstLine="560" w:firstLineChars="200"/>
        <w:textAlignment w:val="auto"/>
        <w:rPr>
          <w:rFonts w:hint="default" w:ascii="宋体" w:hAnsi="宋体" w:eastAsia="宋体" w:cs="宋体"/>
          <w:b w:val="0"/>
          <w:bCs w:val="0"/>
          <w:color w:val="auto"/>
          <w:kern w:val="2"/>
          <w:sz w:val="28"/>
          <w:szCs w:val="28"/>
          <w:u w:val="none"/>
          <w:lang w:val="en-US" w:eastAsia="zh-CN" w:bidi="ar-SA"/>
        </w:rPr>
      </w:pPr>
      <w:r>
        <w:rPr>
          <w:rFonts w:hint="eastAsia" w:ascii="宋体" w:hAnsi="宋体" w:eastAsia="宋体" w:cs="宋体"/>
          <w:b w:val="0"/>
          <w:bCs w:val="0"/>
          <w:color w:val="auto"/>
          <w:kern w:val="2"/>
          <w:sz w:val="28"/>
          <w:szCs w:val="28"/>
          <w:u w:val="none"/>
          <w:lang w:val="en-US" w:eastAsia="zh-CN" w:bidi="ar-SA"/>
        </w:rPr>
        <w:t>1.</w:t>
      </w:r>
      <w:r>
        <w:rPr>
          <w:rFonts w:hint="default" w:ascii="宋体" w:hAnsi="宋体" w:eastAsia="宋体" w:cs="宋体"/>
          <w:b w:val="0"/>
          <w:bCs w:val="0"/>
          <w:color w:val="auto"/>
          <w:kern w:val="2"/>
          <w:sz w:val="28"/>
          <w:szCs w:val="28"/>
          <w:u w:val="none"/>
          <w:lang w:val="en-US" w:eastAsia="zh-CN" w:bidi="ar-SA"/>
        </w:rPr>
        <w:t>乙方应严格遵守国家相关法律法规，涉及合同的有关业务活动必须坚持公开、公平、公正、诚信原则，不得为获取不正当利益，损害国家、集体和甲方利益。</w:t>
      </w:r>
    </w:p>
    <w:p w14:paraId="4A550FBC">
      <w:pPr>
        <w:keepNext w:val="0"/>
        <w:keepLines w:val="0"/>
        <w:pageBreakBefore w:val="0"/>
        <w:widowControl w:val="0"/>
        <w:kinsoku/>
        <w:wordWrap/>
        <w:overflowPunct/>
        <w:topLinePunct w:val="0"/>
        <w:autoSpaceDE/>
        <w:autoSpaceDN/>
        <w:bidi w:val="0"/>
        <w:adjustRightInd/>
        <w:snapToGrid/>
        <w:spacing w:line="500" w:lineRule="exact"/>
        <w:ind w:firstLine="562" w:firstLineChars="200"/>
        <w:textAlignment w:val="auto"/>
        <w:rPr>
          <w:rFonts w:hint="default" w:ascii="宋体" w:hAnsi="宋体" w:eastAsia="宋体" w:cs="宋体"/>
          <w:b/>
          <w:bCs/>
          <w:color w:val="auto"/>
          <w:kern w:val="2"/>
          <w:sz w:val="28"/>
          <w:szCs w:val="28"/>
          <w:u w:val="single"/>
          <w:lang w:val="en-US" w:eastAsia="zh-CN" w:bidi="ar-SA"/>
        </w:rPr>
      </w:pPr>
      <w:r>
        <w:rPr>
          <w:rFonts w:hint="eastAsia" w:ascii="宋体" w:hAnsi="宋体" w:eastAsia="宋体" w:cs="宋体"/>
          <w:b/>
          <w:bCs/>
          <w:color w:val="auto"/>
          <w:kern w:val="2"/>
          <w:sz w:val="28"/>
          <w:szCs w:val="28"/>
          <w:u w:val="single"/>
          <w:lang w:val="en-US" w:eastAsia="zh-CN" w:bidi="ar-SA"/>
        </w:rPr>
        <w:t>2.</w:t>
      </w:r>
      <w:r>
        <w:rPr>
          <w:rFonts w:hint="default" w:ascii="宋体" w:hAnsi="宋体" w:eastAsia="宋体" w:cs="宋体"/>
          <w:b/>
          <w:bCs/>
          <w:color w:val="auto"/>
          <w:kern w:val="2"/>
          <w:sz w:val="28"/>
          <w:szCs w:val="28"/>
          <w:u w:val="single"/>
          <w:lang w:val="en-US" w:eastAsia="zh-CN" w:bidi="ar-SA"/>
        </w:rPr>
        <w:t>乙方的任何人员（包括股东、管理人员、普通员工等）及与乙方本业务有关的任何人员（包括与乙方不存在劳动、劳务关系的人员），均不得对甲方工作人员或其亲友、关系人请客、送礼或赠送礼金、有价证券、贵重物品及给予回扣、好处费、感谢费等其他形式的好处，否则甲方有权要求乙方按本合同约定向甲方支付违反廉洁条款的惩罚性违约金。</w:t>
      </w:r>
    </w:p>
    <w:p w14:paraId="1698446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562" w:firstLineChars="200"/>
        <w:jc w:val="both"/>
        <w:textAlignment w:val="auto"/>
        <w:rPr>
          <w:rFonts w:hint="default" w:ascii="宋体" w:hAnsi="宋体" w:eastAsia="宋体" w:cs="宋体"/>
          <w:b/>
          <w:bCs/>
          <w:color w:val="auto"/>
          <w:sz w:val="28"/>
          <w:szCs w:val="28"/>
          <w:lang w:val="en-US" w:eastAsia="zh-CN"/>
        </w:rPr>
      </w:pPr>
      <w:r>
        <w:rPr>
          <w:rFonts w:hint="eastAsia" w:ascii="宋体" w:hAnsi="宋体" w:eastAsia="宋体" w:cs="宋体"/>
          <w:b/>
          <w:bCs/>
          <w:color w:val="auto"/>
          <w:kern w:val="2"/>
          <w:sz w:val="28"/>
          <w:szCs w:val="28"/>
          <w:lang w:val="en-US" w:eastAsia="zh-CN" w:bidi="ar-SA"/>
        </w:rPr>
        <w:t xml:space="preserve">第七条 </w:t>
      </w:r>
      <w:r>
        <w:rPr>
          <w:rFonts w:hint="eastAsia" w:ascii="宋体" w:hAnsi="宋体" w:eastAsia="宋体" w:cs="宋体"/>
          <w:b/>
          <w:bCs/>
          <w:color w:val="auto"/>
          <w:sz w:val="28"/>
          <w:szCs w:val="28"/>
          <w:lang w:val="en-US" w:eastAsia="zh-CN"/>
        </w:rPr>
        <w:t>通知与送达</w:t>
      </w:r>
    </w:p>
    <w:p w14:paraId="425195D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 甲乙双方同意，与本合同有关的任何文书，应以书面方式送达本合同约定的联系方式。书面形式包括手机短信、微信、书面函件、电子邮件等形式。</w:t>
      </w:r>
    </w:p>
    <w:p w14:paraId="3158204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 双方确认的文书（包括未来可能发生的诉讼或仲裁活动中法院或仲裁机构的送达法律文书）送达地址：</w:t>
      </w:r>
    </w:p>
    <w:p w14:paraId="191A2B9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w:t>
      </w:r>
      <w:r>
        <w:rPr>
          <w:rFonts w:hint="default" w:ascii="宋体" w:hAnsi="宋体" w:eastAsia="宋体" w:cs="宋体"/>
          <w:color w:val="auto"/>
          <w:sz w:val="28"/>
          <w:szCs w:val="28"/>
          <w:lang w:val="en-US" w:eastAsia="zh-CN"/>
        </w:rPr>
        <w:t>甲方联系人：</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，联系电话：</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微信</w:t>
      </w:r>
      <w:r>
        <w:rPr>
          <w:rFonts w:hint="eastAsia" w:ascii="宋体" w:hAnsi="宋体" w:eastAsia="宋体" w:cs="宋体"/>
          <w:color w:val="auto"/>
          <w:sz w:val="28"/>
          <w:szCs w:val="28"/>
          <w:lang w:val="en-US" w:eastAsia="zh-CN"/>
        </w:rPr>
        <w:t>号</w:t>
      </w:r>
      <w:r>
        <w:rPr>
          <w:rFonts w:hint="default" w:ascii="宋体" w:hAnsi="宋体" w:eastAsia="宋体" w:cs="宋体"/>
          <w:color w:val="auto"/>
          <w:sz w:val="28"/>
          <w:szCs w:val="28"/>
          <w:lang w:val="en-US" w:eastAsia="zh-CN"/>
        </w:rPr>
        <w:t>：</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，电子邮箱：</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w:t>
      </w:r>
      <w:r>
        <w:rPr>
          <w:rFonts w:hint="default" w:ascii="宋体" w:hAnsi="宋体" w:eastAsia="宋体" w:cs="宋体"/>
          <w:color w:val="auto"/>
          <w:sz w:val="28"/>
          <w:szCs w:val="28"/>
          <w:lang w:val="en-US" w:eastAsia="zh-CN"/>
        </w:rPr>
        <w:t>通讯地址：</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w:t>
      </w:r>
    </w:p>
    <w:p w14:paraId="570B0F2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w:t>
      </w:r>
      <w:r>
        <w:rPr>
          <w:rFonts w:hint="default" w:ascii="宋体" w:hAnsi="宋体" w:eastAsia="宋体" w:cs="宋体"/>
          <w:color w:val="auto"/>
          <w:sz w:val="28"/>
          <w:szCs w:val="28"/>
          <w:lang w:val="en-US" w:eastAsia="zh-CN"/>
        </w:rPr>
        <w:t>乙方联系人：</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w:t>
      </w:r>
      <w:r>
        <w:rPr>
          <w:rFonts w:hint="eastAsia" w:ascii="宋体" w:hAnsi="宋体" w:eastAsia="宋体" w:cs="宋体"/>
          <w:color w:val="auto"/>
          <w:sz w:val="28"/>
          <w:szCs w:val="28"/>
          <w:lang w:val="en-US" w:eastAsia="zh-CN"/>
        </w:rPr>
        <w:t>联系电话：</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w:t>
      </w:r>
      <w:r>
        <w:rPr>
          <w:rFonts w:hint="default" w:ascii="宋体" w:hAnsi="宋体" w:eastAsia="宋体" w:cs="宋体"/>
          <w:color w:val="auto"/>
          <w:sz w:val="28"/>
          <w:szCs w:val="28"/>
          <w:lang w:val="en-US" w:eastAsia="zh-CN"/>
        </w:rPr>
        <w:t>微信</w:t>
      </w:r>
      <w:r>
        <w:rPr>
          <w:rFonts w:hint="eastAsia" w:ascii="宋体" w:hAnsi="宋体" w:eastAsia="宋体" w:cs="宋体"/>
          <w:color w:val="auto"/>
          <w:sz w:val="28"/>
          <w:szCs w:val="28"/>
          <w:lang w:val="en-US" w:eastAsia="zh-CN"/>
        </w:rPr>
        <w:t>号</w:t>
      </w:r>
      <w:r>
        <w:rPr>
          <w:rFonts w:hint="default" w:ascii="宋体" w:hAnsi="宋体" w:eastAsia="宋体" w:cs="宋体"/>
          <w:color w:val="auto"/>
          <w:sz w:val="28"/>
          <w:szCs w:val="28"/>
          <w:lang w:val="en-US" w:eastAsia="zh-CN"/>
        </w:rPr>
        <w:t>：</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w:t>
      </w:r>
      <w:r>
        <w:rPr>
          <w:rFonts w:hint="eastAsia" w:ascii="宋体" w:hAnsi="宋体" w:eastAsia="宋体" w:cs="宋体"/>
          <w:color w:val="auto"/>
          <w:sz w:val="28"/>
          <w:szCs w:val="28"/>
          <w:lang w:val="en-US" w:eastAsia="zh-CN"/>
        </w:rPr>
        <w:t>电子邮箱：</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u w:val="none"/>
          <w:lang w:val="en-US" w:eastAsia="zh-CN"/>
        </w:rPr>
        <w:t>，</w:t>
      </w:r>
      <w:r>
        <w:rPr>
          <w:rFonts w:hint="default" w:ascii="宋体" w:hAnsi="宋体" w:eastAsia="宋体" w:cs="宋体"/>
          <w:color w:val="auto"/>
          <w:sz w:val="28"/>
          <w:szCs w:val="28"/>
          <w:lang w:val="en-US" w:eastAsia="zh-CN"/>
        </w:rPr>
        <w:t>通讯地址：</w:t>
      </w:r>
      <w:r>
        <w:rPr>
          <w:rFonts w:hint="eastAsia" w:ascii="宋体" w:hAnsi="宋体" w:eastAsia="宋体" w:cs="宋体"/>
          <w:color w:val="auto"/>
          <w:sz w:val="28"/>
          <w:szCs w:val="28"/>
          <w:u w:val="single"/>
          <w:lang w:val="en-US" w:eastAsia="zh-CN"/>
        </w:rPr>
        <w:t xml:space="preserve">             </w:t>
      </w:r>
      <w:r>
        <w:rPr>
          <w:rFonts w:hint="eastAsia" w:ascii="宋体" w:hAnsi="宋体" w:eastAsia="宋体" w:cs="宋体"/>
          <w:color w:val="auto"/>
          <w:sz w:val="28"/>
          <w:szCs w:val="28"/>
          <w:lang w:val="en-US" w:eastAsia="zh-CN"/>
        </w:rPr>
        <w:t>。</w:t>
      </w:r>
    </w:p>
    <w:p w14:paraId="5BC354A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both"/>
        <w:textAlignment w:val="auto"/>
        <w:rPr>
          <w:rFonts w:hint="default" w:ascii="宋体" w:hAnsi="宋体" w:eastAsia="宋体" w:cs="宋体"/>
          <w:b w:val="0"/>
          <w:bCs w:val="0"/>
          <w:color w:val="auto"/>
          <w:sz w:val="28"/>
          <w:szCs w:val="28"/>
          <w:lang w:val="en-US" w:eastAsia="zh-CN"/>
        </w:rPr>
      </w:pPr>
      <w:r>
        <w:rPr>
          <w:rFonts w:hint="default" w:ascii="宋体" w:hAnsi="宋体" w:eastAsia="宋体" w:cs="宋体"/>
          <w:b w:val="0"/>
          <w:bCs w:val="0"/>
          <w:color w:val="auto"/>
          <w:sz w:val="28"/>
          <w:szCs w:val="28"/>
          <w:lang w:val="en-US" w:eastAsia="zh-CN"/>
        </w:rPr>
        <w:t>3</w:t>
      </w:r>
      <w:r>
        <w:rPr>
          <w:rFonts w:hint="eastAsia" w:ascii="宋体" w:hAnsi="宋体" w:eastAsia="宋体" w:cs="宋体"/>
          <w:b w:val="0"/>
          <w:bCs w:val="0"/>
          <w:color w:val="auto"/>
          <w:sz w:val="28"/>
          <w:szCs w:val="28"/>
          <w:lang w:val="en-US" w:eastAsia="zh-CN"/>
        </w:rPr>
        <w:t xml:space="preserve">. </w:t>
      </w:r>
      <w:r>
        <w:rPr>
          <w:rFonts w:hint="default" w:ascii="宋体" w:hAnsi="宋体" w:eastAsia="宋体" w:cs="宋体"/>
          <w:b w:val="0"/>
          <w:bCs w:val="0"/>
          <w:color w:val="auto"/>
          <w:sz w:val="28"/>
          <w:szCs w:val="28"/>
          <w:lang w:val="en-US" w:eastAsia="zh-CN"/>
        </w:rPr>
        <w:t>上述通知应被视为在下列时间送达：以快递或专人发送的，在收件人签收之日或拒收之日；以挂号邮件发出的，在发出之日起7个工作日；以电子邮件发出的，在电子邮件进入收件方电子邮箱服务器之日。</w:t>
      </w:r>
    </w:p>
    <w:p w14:paraId="1F4276C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both"/>
        <w:textAlignment w:val="auto"/>
        <w:rPr>
          <w:rFonts w:hint="default" w:ascii="宋体" w:hAnsi="宋体" w:eastAsia="宋体" w:cs="宋体"/>
          <w:b w:val="0"/>
          <w:bCs w:val="0"/>
          <w:color w:val="auto"/>
          <w:sz w:val="28"/>
          <w:szCs w:val="28"/>
          <w:lang w:val="en-US" w:eastAsia="zh-CN"/>
        </w:rPr>
      </w:pPr>
      <w:r>
        <w:rPr>
          <w:rFonts w:hint="eastAsia" w:ascii="宋体" w:hAnsi="宋体" w:eastAsia="宋体" w:cs="宋体"/>
          <w:b w:val="0"/>
          <w:bCs w:val="0"/>
          <w:color w:val="auto"/>
          <w:sz w:val="28"/>
          <w:szCs w:val="28"/>
          <w:lang w:val="en-US" w:eastAsia="zh-CN"/>
        </w:rPr>
        <w:t xml:space="preserve">4. </w:t>
      </w:r>
      <w:r>
        <w:rPr>
          <w:rFonts w:hint="default" w:ascii="宋体" w:hAnsi="宋体" w:eastAsia="宋体" w:cs="宋体"/>
          <w:b w:val="0"/>
          <w:bCs w:val="0"/>
          <w:color w:val="auto"/>
          <w:sz w:val="28"/>
          <w:szCs w:val="28"/>
          <w:lang w:val="en-US" w:eastAsia="zh-CN"/>
        </w:rPr>
        <w:t>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w:t>
      </w:r>
    </w:p>
    <w:p w14:paraId="0BA6D6B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2" w:firstLineChars="200"/>
        <w:jc w:val="both"/>
        <w:textAlignment w:val="auto"/>
        <w:rPr>
          <w:rFonts w:hint="default" w:ascii="宋体" w:hAnsi="宋体" w:eastAsia="宋体" w:cs="宋体"/>
          <w:b/>
          <w:bCs/>
          <w:color w:val="auto"/>
          <w:sz w:val="28"/>
          <w:szCs w:val="28"/>
          <w:lang w:val="en-US" w:eastAsia="zh-CN"/>
        </w:rPr>
      </w:pPr>
      <w:r>
        <w:rPr>
          <w:rFonts w:hint="eastAsia" w:ascii="宋体" w:hAnsi="宋体" w:eastAsia="宋体" w:cs="宋体"/>
          <w:b/>
          <w:bCs/>
          <w:color w:val="auto"/>
          <w:kern w:val="2"/>
          <w:sz w:val="28"/>
          <w:szCs w:val="28"/>
          <w:lang w:val="en-US" w:eastAsia="zh-CN" w:bidi="ar-SA"/>
        </w:rPr>
        <w:t xml:space="preserve">第八条 </w:t>
      </w:r>
      <w:r>
        <w:rPr>
          <w:rFonts w:hint="eastAsia" w:ascii="宋体" w:hAnsi="宋体" w:eastAsia="宋体" w:cs="宋体"/>
          <w:b/>
          <w:bCs/>
          <w:color w:val="auto"/>
          <w:sz w:val="28"/>
          <w:szCs w:val="28"/>
          <w:lang w:val="en-US" w:eastAsia="zh-CN"/>
        </w:rPr>
        <w:t>违约责任</w:t>
      </w:r>
    </w:p>
    <w:p w14:paraId="220BABC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1.如甲方未按约定如期支付法律服务费及其他相关费用，则乙方有权拒绝为甲方提供法律服务；逾期超过30日，乙方有权单方解除合同，不承担违约责任。</w:t>
      </w:r>
    </w:p>
    <w:p w14:paraId="4F8333D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2.乙方存在以下任一情形的，甲方有权单方面解除合同，不承担违约责任，且有权要求乙方就给甲方造成损失的予以赔偿。</w:t>
      </w:r>
    </w:p>
    <w:p w14:paraId="0DFE3EF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（1）经甲方考评为不合格；</w:t>
      </w:r>
    </w:p>
    <w:p w14:paraId="31CA1C6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（2）未经甲方同意，擅自更换法律顾问律师；</w:t>
      </w:r>
    </w:p>
    <w:p w14:paraId="621C3FD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（3）未履行保密义务，擅自对外透露所承担的工作内容及相关信息，给医院造成损失或不良影响的；</w:t>
      </w:r>
    </w:p>
    <w:p w14:paraId="623D52B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（4）利用在工作期间获得的非公开信息或者便利条件，为本人及所在服务单位或者他人牟取利益的；</w:t>
      </w:r>
    </w:p>
    <w:p w14:paraId="0B3D847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（5）从事与其职业、法律顾问身份不相符的活动，损害医院形象或者造成不良影响的；</w:t>
      </w:r>
    </w:p>
    <w:p w14:paraId="1DC597A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（6）</w:t>
      </w:r>
      <w:r>
        <w:rPr>
          <w:rFonts w:hint="default" w:ascii="宋体" w:hAnsi="宋体" w:eastAsia="宋体" w:cs="宋体"/>
          <w:color w:val="auto"/>
          <w:sz w:val="28"/>
          <w:szCs w:val="28"/>
          <w:lang w:val="en-US" w:eastAsia="zh-CN"/>
        </w:rPr>
        <w:t>在涉及甲方的对抗性案件或者交易活动中，担任与甲方具有法律上利益冲突的另一方的法律顾问或者代理</w:t>
      </w:r>
      <w:r>
        <w:rPr>
          <w:rFonts w:hint="eastAsia" w:ascii="宋体" w:hAnsi="宋体" w:eastAsia="宋体" w:cs="宋体"/>
          <w:color w:val="auto"/>
          <w:sz w:val="28"/>
          <w:szCs w:val="28"/>
          <w:lang w:val="en-US" w:eastAsia="zh-CN"/>
        </w:rPr>
        <w:t>；</w:t>
      </w:r>
    </w:p>
    <w:p w14:paraId="05EEBE3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（7）存在《中华人民共和国律师法》应当处罚行为的情形。</w:t>
      </w:r>
    </w:p>
    <w:p w14:paraId="426DAEB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3.除上述情形外，双方均不得单方面解除合同，否则承担违约责任。</w:t>
      </w:r>
    </w:p>
    <w:p w14:paraId="6987019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2" w:firstLineChars="200"/>
        <w:textAlignment w:val="auto"/>
        <w:rPr>
          <w:rFonts w:hint="eastAsia" w:ascii="宋体" w:hAnsi="宋体" w:eastAsia="宋体" w:cs="宋体"/>
          <w:b/>
          <w:bCs/>
          <w:color w:val="auto"/>
          <w:sz w:val="28"/>
          <w:szCs w:val="28"/>
          <w:u w:val="single"/>
          <w:lang w:val="en-US" w:eastAsia="zh-CN"/>
        </w:rPr>
      </w:pPr>
      <w:r>
        <w:rPr>
          <w:rFonts w:hint="eastAsia" w:ascii="宋体" w:hAnsi="宋体" w:eastAsia="宋体" w:cs="宋体"/>
          <w:b/>
          <w:bCs/>
          <w:color w:val="auto"/>
          <w:sz w:val="28"/>
          <w:szCs w:val="28"/>
          <w:u w:val="single"/>
          <w:lang w:val="en-US" w:eastAsia="zh-CN"/>
        </w:rPr>
        <w:t>4.无论甲方在任意时候（不限于本合同履行期间）发现存在违反本合同廉洁条款行为，乙方均须向甲方一次性支付惩罚性违约金50000元。如乙方除需承担违反廉洁条款的违约责任外，同时存在其他违约行为，乙方仍须就其他违约行为承担相应违约责任。</w:t>
      </w:r>
    </w:p>
    <w:p w14:paraId="10B7EB6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2" w:firstLineChars="200"/>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第九条 争议解决</w:t>
      </w:r>
    </w:p>
    <w:p w14:paraId="0AEC6BF1">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因本合同履行的争议，双方应当友好协商解决，协商不成的，任意一方均可向合同签订地人民法院起诉。</w:t>
      </w:r>
    </w:p>
    <w:p w14:paraId="3964ECE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2" w:firstLineChars="200"/>
        <w:jc w:val="both"/>
        <w:textAlignment w:val="auto"/>
        <w:rPr>
          <w:rFonts w:hint="default"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第十条 特别约定</w:t>
      </w:r>
    </w:p>
    <w:p w14:paraId="2C645BA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0" w:firstLineChars="200"/>
        <w:jc w:val="both"/>
        <w:textAlignment w:val="auto"/>
        <w:rPr>
          <w:rFonts w:hint="eastAsia" w:ascii="宋体" w:hAnsi="宋体" w:eastAsia="宋体" w:cs="宋体"/>
          <w:b w:val="0"/>
          <w:bCs w:val="0"/>
          <w:color w:val="auto"/>
          <w:sz w:val="28"/>
          <w:szCs w:val="28"/>
          <w:u w:val="single"/>
          <w:lang w:val="en-US" w:eastAsia="zh-CN"/>
        </w:rPr>
      </w:pPr>
      <w:r>
        <w:rPr>
          <w:rFonts w:hint="eastAsia" w:ascii="宋体" w:hAnsi="宋体" w:eastAsia="宋体" w:cs="宋体"/>
          <w:b w:val="0"/>
          <w:bCs w:val="0"/>
          <w:color w:val="auto"/>
          <w:sz w:val="28"/>
          <w:szCs w:val="28"/>
          <w:u w:val="single"/>
          <w:lang w:val="en-US" w:eastAsia="zh-CN"/>
        </w:rPr>
        <w:t xml:space="preserve">                                    </w:t>
      </w:r>
    </w:p>
    <w:p w14:paraId="2B84E1E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Chars="0" w:firstLine="562" w:firstLineChars="200"/>
        <w:jc w:val="both"/>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第十一条 附则</w:t>
      </w:r>
    </w:p>
    <w:p w14:paraId="6A56364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1.本合同附件《法律顾问服务考评办法》为合同不可分割的组成部分，无需另行签字盖章即具备同等法律效力。</w:t>
      </w:r>
    </w:p>
    <w:p w14:paraId="2CA84102">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2.本合同组成文件及解释顺序如下：乙方在履行本合同中作出的书面承诺；本合同补充协议；本合同及附件；中标通知书/成交通知书；投标文件/响应文件；招标文件/采购文件；其他与本合同相关的资料。</w:t>
      </w:r>
    </w:p>
    <w:p w14:paraId="5BC2390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3.本合同一式肆份，甲方执叁份，乙方执壹份，自双方签字并盖章之日起生效。</w:t>
      </w:r>
    </w:p>
    <w:p w14:paraId="3C03EBB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color w:val="auto"/>
          <w:sz w:val="28"/>
          <w:szCs w:val="28"/>
          <w:lang w:val="en-US" w:eastAsia="zh-CN"/>
        </w:rPr>
      </w:pPr>
    </w:p>
    <w:p w14:paraId="2C200D38">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甲方（盖章）：娄底市中心医院       乙方（盖章）：</w:t>
      </w:r>
    </w:p>
    <w:p w14:paraId="40E2CCA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color w:val="auto"/>
          <w:sz w:val="28"/>
          <w:szCs w:val="28"/>
          <w:lang w:val="en-US" w:eastAsia="zh-CN"/>
        </w:rPr>
      </w:pPr>
    </w:p>
    <w:p w14:paraId="00E3F96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法定代表人：（签字）              负责人：（签字）</w:t>
      </w:r>
    </w:p>
    <w:p w14:paraId="3E7210C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color w:val="auto"/>
          <w:sz w:val="28"/>
          <w:szCs w:val="28"/>
          <w:lang w:val="en-US" w:eastAsia="zh-CN"/>
        </w:rPr>
      </w:pPr>
    </w:p>
    <w:p w14:paraId="5CE352E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或委托代理人：（签字）            或委托代理人：（签字）</w:t>
      </w:r>
    </w:p>
    <w:p w14:paraId="3BD9A84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eastAsia" w:ascii="宋体" w:hAnsi="宋体" w:eastAsia="宋体" w:cs="宋体"/>
          <w:color w:val="auto"/>
          <w:sz w:val="28"/>
          <w:szCs w:val="28"/>
          <w:lang w:val="en-US" w:eastAsia="zh-CN"/>
        </w:rPr>
      </w:pPr>
    </w:p>
    <w:p w14:paraId="1DABF78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合同签订地：娄底市娄星区         签订时间：  年   月   日</w:t>
      </w:r>
    </w:p>
    <w:p w14:paraId="7173918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color w:val="auto"/>
          <w:sz w:val="28"/>
          <w:szCs w:val="28"/>
          <w:lang w:val="en-US" w:eastAsia="zh-CN"/>
        </w:rPr>
      </w:pPr>
    </w:p>
    <w:p w14:paraId="607063C6">
      <w:pPr>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br w:type="page"/>
      </w:r>
    </w:p>
    <w:p w14:paraId="5955406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leftChars="0"/>
        <w:jc w:val="both"/>
        <w:textAlignment w:val="auto"/>
        <w:rPr>
          <w:rFonts w:hint="eastAsia" w:ascii="黑体" w:hAnsi="黑体" w:eastAsia="黑体" w:cs="黑体"/>
          <w:color w:val="auto"/>
          <w:sz w:val="28"/>
          <w:szCs w:val="28"/>
          <w:lang w:val="en-US" w:eastAsia="zh-CN"/>
        </w:rPr>
      </w:pPr>
      <w:r>
        <w:rPr>
          <w:rFonts w:hint="eastAsia" w:ascii="黑体" w:hAnsi="黑体" w:eastAsia="黑体" w:cs="黑体"/>
          <w:color w:val="auto"/>
          <w:sz w:val="28"/>
          <w:szCs w:val="28"/>
          <w:lang w:val="en-US" w:eastAsia="zh-CN"/>
        </w:rPr>
        <w:t>附件</w:t>
      </w:r>
    </w:p>
    <w:p w14:paraId="6D9BEDCE">
      <w:pPr>
        <w:keepNext w:val="0"/>
        <w:keepLines w:val="0"/>
        <w:pageBreakBefore w:val="0"/>
        <w:widowControl w:val="0"/>
        <w:kinsoku/>
        <w:wordWrap/>
        <w:overflowPunct/>
        <w:topLinePunct w:val="0"/>
        <w:autoSpaceDE/>
        <w:autoSpaceDN/>
        <w:bidi w:val="0"/>
        <w:adjustRightInd/>
        <w:snapToGrid/>
        <w:spacing w:line="520" w:lineRule="exact"/>
        <w:jc w:val="center"/>
        <w:textAlignment w:val="auto"/>
        <w:rPr>
          <w:rFonts w:hint="eastAsia" w:ascii="黑体" w:hAnsi="黑体" w:eastAsia="黑体" w:cs="黑体"/>
          <w:color w:val="auto"/>
          <w:sz w:val="28"/>
          <w:szCs w:val="28"/>
          <w:lang w:eastAsia="zh-CN"/>
        </w:rPr>
      </w:pPr>
      <w:r>
        <w:rPr>
          <w:rFonts w:hint="eastAsia" w:ascii="黑体" w:hAnsi="黑体" w:eastAsia="黑体" w:cs="黑体"/>
          <w:color w:val="auto"/>
          <w:sz w:val="44"/>
          <w:szCs w:val="44"/>
          <w:lang w:eastAsia="zh-CN"/>
        </w:rPr>
        <w:t>法律顾问服务考评办法</w:t>
      </w:r>
    </w:p>
    <w:p w14:paraId="76557806">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rFonts w:hint="eastAsia" w:ascii="黑体" w:hAnsi="黑体" w:eastAsia="黑体" w:cs="黑体"/>
          <w:color w:val="auto"/>
          <w:sz w:val="28"/>
          <w:szCs w:val="28"/>
          <w:lang w:eastAsia="zh-CN"/>
        </w:rPr>
      </w:pPr>
      <w:r>
        <w:rPr>
          <w:rFonts w:hint="eastAsia" w:ascii="黑体" w:hAnsi="黑体" w:eastAsia="黑体" w:cs="黑体"/>
          <w:color w:val="auto"/>
          <w:sz w:val="28"/>
          <w:szCs w:val="28"/>
          <w:lang w:eastAsia="zh-CN"/>
        </w:rPr>
        <w:t>一、考评原则</w:t>
      </w:r>
    </w:p>
    <w:p w14:paraId="28DCA99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法律顾问服务考评应根据法律服务工作量、实际效果、群众满意度等实施考评，具体事项由</w:t>
      </w:r>
      <w:r>
        <w:rPr>
          <w:rFonts w:hint="eastAsia" w:ascii="宋体" w:hAnsi="宋体" w:eastAsia="宋体" w:cs="宋体"/>
          <w:color w:val="auto"/>
          <w:sz w:val="28"/>
          <w:szCs w:val="28"/>
          <w:lang w:val="en-US" w:eastAsia="zh-CN"/>
        </w:rPr>
        <w:t>法务部门</w:t>
      </w:r>
      <w:r>
        <w:rPr>
          <w:rFonts w:hint="eastAsia" w:ascii="宋体" w:hAnsi="宋体" w:eastAsia="宋体" w:cs="宋体"/>
          <w:color w:val="auto"/>
          <w:sz w:val="28"/>
          <w:szCs w:val="28"/>
          <w:lang w:eastAsia="zh-CN"/>
        </w:rPr>
        <w:t>负责。</w:t>
      </w:r>
    </w:p>
    <w:p w14:paraId="704922E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rFonts w:hint="eastAsia" w:ascii="黑体" w:hAnsi="黑体" w:eastAsia="黑体" w:cs="黑体"/>
          <w:color w:val="auto"/>
          <w:sz w:val="28"/>
          <w:szCs w:val="28"/>
          <w:lang w:eastAsia="zh-CN"/>
        </w:rPr>
      </w:pPr>
      <w:r>
        <w:rPr>
          <w:rFonts w:hint="eastAsia" w:ascii="黑体" w:hAnsi="黑体" w:eastAsia="黑体" w:cs="黑体"/>
          <w:color w:val="auto"/>
          <w:sz w:val="28"/>
          <w:szCs w:val="28"/>
          <w:lang w:eastAsia="zh-CN"/>
        </w:rPr>
        <w:t>二、考评时间</w:t>
      </w:r>
    </w:p>
    <w:p w14:paraId="49D8A78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每半个合同年度届满后20日内</w:t>
      </w:r>
      <w:r>
        <w:rPr>
          <w:rFonts w:hint="eastAsia" w:ascii="宋体" w:hAnsi="宋体" w:eastAsia="宋体" w:cs="宋体"/>
          <w:color w:val="auto"/>
          <w:sz w:val="28"/>
          <w:szCs w:val="28"/>
          <w:lang w:eastAsia="zh-CN"/>
        </w:rPr>
        <w:t>完成上</w:t>
      </w:r>
      <w:r>
        <w:rPr>
          <w:rFonts w:hint="eastAsia" w:ascii="宋体" w:hAnsi="宋体" w:eastAsia="宋体" w:cs="宋体"/>
          <w:color w:val="auto"/>
          <w:sz w:val="28"/>
          <w:szCs w:val="28"/>
          <w:lang w:val="en-US" w:eastAsia="zh-CN"/>
        </w:rPr>
        <w:t>半个合同</w:t>
      </w:r>
      <w:r>
        <w:rPr>
          <w:rFonts w:hint="eastAsia" w:ascii="宋体" w:hAnsi="宋体" w:eastAsia="宋体" w:cs="宋体"/>
          <w:color w:val="auto"/>
          <w:sz w:val="28"/>
          <w:szCs w:val="28"/>
          <w:lang w:eastAsia="zh-CN"/>
        </w:rPr>
        <w:t>年度考评。</w:t>
      </w:r>
    </w:p>
    <w:p w14:paraId="63E100BD">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rFonts w:hint="eastAsia" w:ascii="黑体" w:hAnsi="黑体" w:eastAsia="黑体" w:cs="黑体"/>
          <w:color w:val="auto"/>
          <w:sz w:val="28"/>
          <w:szCs w:val="28"/>
          <w:lang w:eastAsia="zh-CN"/>
        </w:rPr>
      </w:pPr>
      <w:r>
        <w:rPr>
          <w:rFonts w:hint="eastAsia" w:ascii="黑体" w:hAnsi="黑体" w:eastAsia="黑体" w:cs="黑体"/>
          <w:color w:val="auto"/>
          <w:sz w:val="28"/>
          <w:szCs w:val="28"/>
          <w:lang w:eastAsia="zh-CN"/>
        </w:rPr>
        <w:t>四、考评内容</w:t>
      </w:r>
    </w:p>
    <w:p w14:paraId="02DA24D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考评实行评分制，总分为100分，每项考评内容的扣分累计均不超过该项总分，加分项目累计不超过20分。具体评分标准如下：</w:t>
      </w:r>
    </w:p>
    <w:p w14:paraId="1E85422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（一）职责履行评价（30分）</w:t>
      </w:r>
    </w:p>
    <w:p w14:paraId="5B40781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1.无正当理由缺席医院通知参加的会议或者活动的，一次扣10分；</w:t>
      </w:r>
    </w:p>
    <w:p w14:paraId="58BD62F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2.未按约定时间坐班的，一次扣10分；</w:t>
      </w:r>
    </w:p>
    <w:p w14:paraId="0028E48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.未按照医院要求，对审查的重大决策、重要制度和文件、合同及其他涉法文件出具书面审查意见、法律论证意见的，一次扣10分；</w:t>
      </w:r>
    </w:p>
    <w:p w14:paraId="27B544C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lang w:eastAsia="zh-CN"/>
        </w:rPr>
        <w:t>.未在医院要求的时限内完成法律事务办理的，一次扣10分；</w:t>
      </w:r>
    </w:p>
    <w:p w14:paraId="7A6179B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5</w:t>
      </w:r>
      <w:r>
        <w:rPr>
          <w:rFonts w:hint="eastAsia" w:ascii="宋体" w:hAnsi="宋体" w:eastAsia="宋体" w:cs="宋体"/>
          <w:color w:val="auto"/>
          <w:sz w:val="28"/>
          <w:szCs w:val="28"/>
          <w:lang w:eastAsia="zh-CN"/>
        </w:rPr>
        <w:t>.无正当理由拒不执行工作指令的，一次扣10分；</w:t>
      </w:r>
    </w:p>
    <w:p w14:paraId="0337B91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6</w:t>
      </w:r>
      <w:r>
        <w:rPr>
          <w:rFonts w:hint="eastAsia" w:ascii="宋体" w:hAnsi="宋体" w:eastAsia="宋体" w:cs="宋体"/>
          <w:color w:val="auto"/>
          <w:sz w:val="28"/>
          <w:szCs w:val="28"/>
          <w:lang w:eastAsia="zh-CN"/>
        </w:rPr>
        <w:t>.未按医院要求提供涉法涉诉案件、信访案件、重大突发事件处置及案件法律服务的，一次扣10分；</w:t>
      </w:r>
    </w:p>
    <w:p w14:paraId="544AD6B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7</w:t>
      </w:r>
      <w:r>
        <w:rPr>
          <w:rFonts w:hint="eastAsia" w:ascii="宋体" w:hAnsi="宋体" w:eastAsia="宋体" w:cs="宋体"/>
          <w:color w:val="auto"/>
          <w:sz w:val="28"/>
          <w:szCs w:val="28"/>
          <w:lang w:eastAsia="zh-CN"/>
        </w:rPr>
        <w:t>.未按要求进行法治宣传教育、开展普法讲座的，每缺一次扣10分；</w:t>
      </w:r>
    </w:p>
    <w:p w14:paraId="5813069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8</w:t>
      </w:r>
      <w:r>
        <w:rPr>
          <w:rFonts w:hint="eastAsia" w:ascii="宋体" w:hAnsi="宋体" w:eastAsia="宋体" w:cs="宋体"/>
          <w:color w:val="auto"/>
          <w:sz w:val="28"/>
          <w:szCs w:val="28"/>
          <w:lang w:eastAsia="zh-CN"/>
        </w:rPr>
        <w:t>.未按要求提供其他法律服务，以及怠于履行法律顾问职责的，酌情扣分。</w:t>
      </w:r>
    </w:p>
    <w:p w14:paraId="4CCF82B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（二）服务质量评价（30分）</w:t>
      </w:r>
    </w:p>
    <w:p w14:paraId="0D6AEA9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1.重大决策、重要项目等经合法性审查后，仍存在主体不适格、超越法定权限、内容和程序违法等严重问题，未在审查意见书中提出修改建议的，一次扣10分；</w:t>
      </w:r>
    </w:p>
    <w:p w14:paraId="5A6F52D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2.制度、文书、合同经修改、审查后，仍存在重大法律、经济风险，未在审查意见书中提出修改或删除建议的，一次扣10分；</w:t>
      </w:r>
    </w:p>
    <w:p w14:paraId="13114B35">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default"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院领导、相关科室反映对工作不满意且经查实的，一次扣10分；</w:t>
      </w:r>
    </w:p>
    <w:p w14:paraId="4600A12C">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lang w:eastAsia="zh-CN"/>
        </w:rPr>
        <w:t>.法律服务质量不符合要求的其他情形，酌情扣分。</w:t>
      </w:r>
    </w:p>
    <w:p w14:paraId="72FFB90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（三）执业规范评价（20分）</w:t>
      </w:r>
    </w:p>
    <w:p w14:paraId="00250DA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1.未妥善保管聘任单位提供的证据、材料，造成灭失的，扣20分；</w:t>
      </w:r>
    </w:p>
    <w:p w14:paraId="56B31D1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2.未建立工作档案、未保存完整工作记录的，一次扣10分；</w:t>
      </w:r>
    </w:p>
    <w:p w14:paraId="52D9BA9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3.被医院约谈后，未按要求提交书面整改报告的，一次扣10分；</w:t>
      </w:r>
    </w:p>
    <w:p w14:paraId="6DFDE93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（四）加分项目（20分）</w:t>
      </w:r>
    </w:p>
    <w:p w14:paraId="05A8C248">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1.创新法律顾问工作的经验和做法在全国、省级、市级会议上交流的，每次分别加20分、10分、5分；</w:t>
      </w:r>
    </w:p>
    <w:p w14:paraId="54CB0E7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2</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lang w:eastAsia="zh-CN"/>
        </w:rPr>
        <w:t>提出的法律意见、建议得到院领导批示肯定的，每次加5分；</w:t>
      </w:r>
    </w:p>
    <w:p w14:paraId="2E4BF2D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3.提供的法律顾问服务得到相关科室好评的，每次加3分。</w:t>
      </w:r>
    </w:p>
    <w:p w14:paraId="1447971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（五</w:t>
      </w:r>
      <w:r>
        <w:rPr>
          <w:rFonts w:hint="eastAsia" w:ascii="宋体" w:hAnsi="宋体" w:eastAsia="宋体" w:cs="宋体"/>
          <w:color w:val="auto"/>
          <w:sz w:val="28"/>
          <w:szCs w:val="28"/>
          <w:lang w:val="en-US" w:eastAsia="zh-CN"/>
        </w:rPr>
        <w:t>）</w:t>
      </w:r>
      <w:r>
        <w:rPr>
          <w:rFonts w:hint="eastAsia" w:ascii="宋体" w:hAnsi="宋体" w:eastAsia="宋体" w:cs="宋体"/>
          <w:color w:val="auto"/>
          <w:sz w:val="28"/>
          <w:szCs w:val="28"/>
          <w:lang w:eastAsia="zh-CN"/>
        </w:rPr>
        <w:t xml:space="preserve"> 一票否决事项</w:t>
      </w:r>
    </w:p>
    <w:p w14:paraId="6D047D79">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具有下列事项之一的，法律顾问服务年度工作考评结果直接评定为不合格等次：</w:t>
      </w:r>
    </w:p>
    <w:p w14:paraId="1F06B35A">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eastAsia="zh-CN"/>
        </w:rPr>
        <w:t>1.</w:t>
      </w:r>
      <w:r>
        <w:rPr>
          <w:rFonts w:hint="eastAsia" w:ascii="宋体" w:hAnsi="宋体" w:eastAsia="宋体" w:cs="宋体"/>
          <w:color w:val="auto"/>
          <w:sz w:val="28"/>
          <w:szCs w:val="28"/>
          <w:lang w:val="en-US" w:eastAsia="zh-CN"/>
        </w:rPr>
        <w:t>未经甲方同意，擅自更换法律顾问律师；</w:t>
      </w:r>
    </w:p>
    <w:p w14:paraId="7E61E900">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2.未履行保密义务</w:t>
      </w:r>
      <w:r>
        <w:rPr>
          <w:rFonts w:hint="eastAsia" w:ascii="宋体" w:hAnsi="宋体" w:eastAsia="宋体" w:cs="宋体"/>
          <w:color w:val="auto"/>
          <w:sz w:val="28"/>
          <w:szCs w:val="28"/>
          <w:lang w:eastAsia="zh-CN"/>
        </w:rPr>
        <w:t>，擅自对外透露所承担的工作内容</w:t>
      </w:r>
      <w:r>
        <w:rPr>
          <w:rFonts w:hint="eastAsia" w:ascii="宋体" w:hAnsi="宋体" w:eastAsia="宋体" w:cs="宋体"/>
          <w:color w:val="auto"/>
          <w:sz w:val="28"/>
          <w:szCs w:val="28"/>
          <w:lang w:val="en-US" w:eastAsia="zh-CN"/>
        </w:rPr>
        <w:t>及相关信息</w:t>
      </w:r>
      <w:r>
        <w:rPr>
          <w:rFonts w:hint="eastAsia" w:ascii="宋体" w:hAnsi="宋体" w:eastAsia="宋体" w:cs="宋体"/>
          <w:color w:val="auto"/>
          <w:sz w:val="28"/>
          <w:szCs w:val="28"/>
          <w:lang w:eastAsia="zh-CN"/>
        </w:rPr>
        <w:t>，给医院造成损失或不良影响的；</w:t>
      </w:r>
    </w:p>
    <w:p w14:paraId="795C3927">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3</w:t>
      </w:r>
      <w:r>
        <w:rPr>
          <w:rFonts w:hint="eastAsia" w:ascii="宋体" w:hAnsi="宋体" w:eastAsia="宋体" w:cs="宋体"/>
          <w:color w:val="auto"/>
          <w:sz w:val="28"/>
          <w:szCs w:val="28"/>
          <w:lang w:eastAsia="zh-CN"/>
        </w:rPr>
        <w:t>.利用在工作期间获得的非公开信息或者便利条件，为本人及所在服务单位或者他人牟取利益的；</w:t>
      </w:r>
    </w:p>
    <w:p w14:paraId="13732EB1">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val="en-US" w:eastAsia="zh-CN"/>
        </w:rPr>
        <w:t>4</w:t>
      </w:r>
      <w:r>
        <w:rPr>
          <w:rFonts w:hint="eastAsia" w:ascii="宋体" w:hAnsi="宋体" w:eastAsia="宋体" w:cs="宋体"/>
          <w:color w:val="auto"/>
          <w:sz w:val="28"/>
          <w:szCs w:val="28"/>
          <w:lang w:eastAsia="zh-CN"/>
        </w:rPr>
        <w:t>.从事与其职业、法律顾问身份不相符的活动，损害医院形象或者造成不良影响的；</w:t>
      </w:r>
    </w:p>
    <w:p w14:paraId="4662F25E">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5.</w:t>
      </w:r>
      <w:r>
        <w:rPr>
          <w:rFonts w:hint="default" w:ascii="宋体" w:hAnsi="宋体" w:eastAsia="宋体" w:cs="宋体"/>
          <w:color w:val="auto"/>
          <w:sz w:val="28"/>
          <w:szCs w:val="28"/>
          <w:lang w:val="en-US" w:eastAsia="zh-CN"/>
        </w:rPr>
        <w:t>在涉及甲方的对抗性案件或者交易活动中，担任与甲方具有法律上利益冲突的另一方的法律顾问或者代理</w:t>
      </w:r>
      <w:r>
        <w:rPr>
          <w:rFonts w:hint="eastAsia" w:ascii="宋体" w:hAnsi="宋体" w:eastAsia="宋体" w:cs="宋体"/>
          <w:color w:val="auto"/>
          <w:sz w:val="28"/>
          <w:szCs w:val="28"/>
          <w:lang w:val="en-US" w:eastAsia="zh-CN"/>
        </w:rPr>
        <w:t>；</w:t>
      </w:r>
    </w:p>
    <w:p w14:paraId="12B236AF">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宋体" w:hAnsi="宋体" w:eastAsia="宋体" w:cs="宋体"/>
          <w:color w:val="auto"/>
          <w:sz w:val="28"/>
          <w:szCs w:val="28"/>
          <w:lang w:val="en-US" w:eastAsia="zh-CN"/>
        </w:rPr>
      </w:pPr>
      <w:r>
        <w:rPr>
          <w:rFonts w:hint="eastAsia" w:ascii="宋体" w:hAnsi="宋体" w:eastAsia="宋体" w:cs="宋体"/>
          <w:color w:val="auto"/>
          <w:sz w:val="28"/>
          <w:szCs w:val="28"/>
          <w:lang w:val="en-US" w:eastAsia="zh-CN"/>
        </w:rPr>
        <w:t>6.存在《中华人民共和国律师法》应当处罚行为的情形。</w:t>
      </w:r>
    </w:p>
    <w:p w14:paraId="6145C844">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73"/>
        <w:jc w:val="both"/>
        <w:textAlignment w:val="auto"/>
        <w:rPr>
          <w:rFonts w:hint="eastAsia" w:ascii="黑体" w:hAnsi="黑体" w:eastAsia="黑体" w:cs="黑体"/>
          <w:color w:val="auto"/>
          <w:sz w:val="28"/>
          <w:szCs w:val="28"/>
          <w:lang w:eastAsia="zh-CN"/>
        </w:rPr>
      </w:pPr>
      <w:r>
        <w:rPr>
          <w:rFonts w:hint="eastAsia" w:ascii="黑体" w:hAnsi="黑体" w:eastAsia="黑体" w:cs="黑体"/>
          <w:color w:val="auto"/>
          <w:sz w:val="28"/>
          <w:szCs w:val="28"/>
          <w:lang w:eastAsia="zh-CN"/>
        </w:rPr>
        <w:t>五、考评结果的应用</w:t>
      </w:r>
    </w:p>
    <w:p w14:paraId="5CD5A3AB">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jc w:val="both"/>
        <w:textAlignment w:val="auto"/>
        <w:rPr>
          <w:color w:val="auto"/>
        </w:rPr>
      </w:pPr>
      <w:r>
        <w:rPr>
          <w:rFonts w:hint="eastAsia" w:ascii="宋体" w:hAnsi="宋体" w:eastAsia="宋体" w:cs="宋体"/>
          <w:color w:val="auto"/>
          <w:sz w:val="28"/>
          <w:szCs w:val="28"/>
          <w:lang w:eastAsia="zh-CN"/>
        </w:rPr>
        <w:t>考评结果分为优秀（</w:t>
      </w:r>
      <w:r>
        <w:rPr>
          <w:rFonts w:hint="eastAsia" w:ascii="宋体" w:hAnsi="宋体" w:eastAsia="宋体" w:cs="宋体"/>
          <w:color w:val="auto"/>
          <w:sz w:val="28"/>
          <w:szCs w:val="28"/>
          <w:lang w:val="en-US" w:eastAsia="zh-CN"/>
        </w:rPr>
        <w:t>90分及以上</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合格</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80-89分</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基本</w:t>
      </w:r>
      <w:r>
        <w:rPr>
          <w:rFonts w:hint="eastAsia" w:ascii="宋体" w:hAnsi="宋体" w:eastAsia="宋体" w:cs="宋体"/>
          <w:color w:val="auto"/>
          <w:sz w:val="28"/>
          <w:szCs w:val="28"/>
          <w:lang w:eastAsia="zh-CN"/>
        </w:rPr>
        <w:t>合格（</w:t>
      </w:r>
      <w:r>
        <w:rPr>
          <w:rFonts w:hint="eastAsia" w:ascii="宋体" w:hAnsi="宋体" w:eastAsia="宋体" w:cs="宋体"/>
          <w:color w:val="auto"/>
          <w:sz w:val="28"/>
          <w:szCs w:val="28"/>
          <w:lang w:val="en-US" w:eastAsia="zh-CN"/>
        </w:rPr>
        <w:t>60-79分</w:t>
      </w:r>
      <w:r>
        <w:rPr>
          <w:rFonts w:hint="eastAsia" w:ascii="宋体" w:hAnsi="宋体" w:eastAsia="宋体" w:cs="宋体"/>
          <w:color w:val="auto"/>
          <w:sz w:val="28"/>
          <w:szCs w:val="28"/>
          <w:lang w:eastAsia="zh-CN"/>
        </w:rPr>
        <w:t>）、不合格（</w:t>
      </w:r>
      <w:r>
        <w:rPr>
          <w:rFonts w:hint="eastAsia" w:ascii="宋体" w:hAnsi="宋体" w:eastAsia="宋体" w:cs="宋体"/>
          <w:color w:val="auto"/>
          <w:sz w:val="28"/>
          <w:szCs w:val="28"/>
          <w:lang w:val="en-US" w:eastAsia="zh-CN"/>
        </w:rPr>
        <w:t>60分以下</w:t>
      </w:r>
      <w:r>
        <w:rPr>
          <w:rFonts w:hint="eastAsia" w:ascii="宋体" w:hAnsi="宋体" w:eastAsia="宋体" w:cs="宋体"/>
          <w:color w:val="auto"/>
          <w:sz w:val="28"/>
          <w:szCs w:val="28"/>
          <w:lang w:eastAsia="zh-CN"/>
        </w:rPr>
        <w:t>）</w:t>
      </w:r>
      <w:r>
        <w:rPr>
          <w:rFonts w:hint="eastAsia" w:ascii="宋体" w:hAnsi="宋体" w:eastAsia="宋体" w:cs="宋体"/>
          <w:color w:val="auto"/>
          <w:sz w:val="28"/>
          <w:szCs w:val="28"/>
          <w:lang w:val="en-US" w:eastAsia="zh-CN"/>
        </w:rPr>
        <w:t>四个等级</w:t>
      </w:r>
      <w:r>
        <w:rPr>
          <w:rFonts w:hint="eastAsia" w:ascii="宋体" w:hAnsi="宋体" w:eastAsia="宋体" w:cs="宋体"/>
          <w:color w:val="auto"/>
          <w:sz w:val="28"/>
          <w:szCs w:val="28"/>
          <w:lang w:eastAsia="zh-CN"/>
        </w:rPr>
        <w:t>，</w:t>
      </w:r>
      <w:r>
        <w:rPr>
          <w:rFonts w:hint="eastAsia" w:ascii="宋体" w:hAnsi="宋体" w:eastAsia="宋体" w:cs="宋体"/>
          <w:b w:val="0"/>
          <w:bCs w:val="0"/>
          <w:color w:val="auto"/>
          <w:sz w:val="28"/>
          <w:szCs w:val="28"/>
          <w:highlight w:val="none"/>
          <w:lang w:val="en-US" w:eastAsia="zh-CN"/>
        </w:rPr>
        <w:t>考评等级在合格及以上的按合同约定支付半年度法律顾问服务费用。其中，考评为基本合格等级的，支付80%的半年度法律顾问服务费用，对法律顾问及其所在法律服务机构负责人进行约谈，考虑调换法律顾问，法律服务机构应当在被约谈的5个工作日内提交经负责人签字确认的书面整改报告。考评为不合格等级的，不予支付半年度法律顾问服务费用，解除法律顾问服务合同，并要求就给院方造成的损失予以赔偿。</w:t>
      </w:r>
    </w:p>
    <w:p w14:paraId="141F632F">
      <w:pPr>
        <w:pStyle w:val="6"/>
        <w:numPr>
          <w:ilvl w:val="0"/>
          <w:numId w:val="0"/>
        </w:numPr>
        <w:rPr>
          <w:rFonts w:hint="default"/>
          <w:color w:val="auto"/>
          <w:lang w:val="en-US" w:eastAsia="zh-CN"/>
        </w:rPr>
      </w:pPr>
    </w:p>
    <w:sectPr>
      <w:headerReference r:id="rId4" w:type="default"/>
      <w:footerReference r:id="rId5" w:type="default"/>
      <w:pgSz w:w="11906" w:h="16838"/>
      <w:pgMar w:top="1701" w:right="1474" w:bottom="1701"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250E6">
    <w:pPr>
      <w:pStyle w:val="24"/>
      <w:spacing w:line="14" w:lineRule="auto"/>
      <w:rPr>
        <w:rStyle w:val="21"/>
        <w:sz w:val="20"/>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83238BB">
                          <w:pPr>
                            <w:pStyle w:val="11"/>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fill on="f" focussize="0,0"/>
              <v:stroke on="f" weight="0.5pt"/>
              <v:imagedata o:title=""/>
              <o:lock v:ext="edit" aspectratio="f"/>
              <v:textbox inset="0mm,0mm,0mm,0mm" style="mso-fit-shape-to-text:t;">
                <w:txbxContent>
                  <w:p w14:paraId="683238BB">
                    <w:pPr>
                      <w:pStyle w:val="11"/>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r>
      <w:rPr>
        <w:rStyle w:val="21"/>
      </w:rPr>
      <mc:AlternateContent>
        <mc:Choice Requires="wps">
          <w:drawing>
            <wp:anchor distT="0" distB="0" distL="114300" distR="114300" simplePos="0" relativeHeight="251660288" behindDoc="0" locked="0" layoutInCell="1" allowOverlap="1">
              <wp:simplePos x="0" y="0"/>
              <wp:positionH relativeFrom="margin">
                <wp:posOffset>1734185</wp:posOffset>
              </wp:positionH>
              <wp:positionV relativeFrom="paragraph">
                <wp:posOffset>-47625</wp:posOffset>
              </wp:positionV>
              <wp:extent cx="1828800" cy="1874520"/>
              <wp:effectExtent l="0" t="0" r="0" b="0"/>
              <wp:wrapNone/>
              <wp:docPr id="14" name="文本框 1042"/>
              <wp:cNvGraphicFramePr/>
              <a:graphic xmlns:a="http://schemas.openxmlformats.org/drawingml/2006/main">
                <a:graphicData uri="http://schemas.microsoft.com/office/word/2010/wordprocessingShape">
                  <wps:wsp>
                    <wps:cNvSpPr txBox="1"/>
                    <wps:spPr>
                      <a:xfrm>
                        <a:off x="0" y="0"/>
                        <a:ext cx="1828800" cy="1874520"/>
                      </a:xfrm>
                      <a:prstGeom prst="rect">
                        <a:avLst/>
                      </a:prstGeom>
                      <a:noFill/>
                      <a:ln>
                        <a:noFill/>
                      </a:ln>
                      <a:effectLst/>
                    </wps:spPr>
                    <wps:txbx>
                      <w:txbxContent>
                        <w:p w14:paraId="5FBD084C"/>
                      </w:txbxContent>
                    </wps:txbx>
                    <wps:bodyPr lIns="0" tIns="0" rIns="0" bIns="0" upright="1">
                      <a:noAutofit/>
                    </wps:bodyPr>
                  </wps:wsp>
                </a:graphicData>
              </a:graphic>
            </wp:anchor>
          </w:drawing>
        </mc:Choice>
        <mc:Fallback>
          <w:pict>
            <v:shape id="文本框 1042" o:spid="_x0000_s1026" o:spt="202" type="#_x0000_t202" style="position:absolute;left:0pt;margin-left:136.55pt;margin-top:-3.75pt;height:147.6pt;width:144pt;mso-position-horizontal-relative:margin;z-index:251660288;mso-width-relative:page;mso-height-relative:page;" filled="f" stroked="f" coordsize="21600,21600" o:gfxdata="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zR3NL2QAAAAoBAAAPAAAAAAAAAAEAIAAAACIA&#10;AABkcnMvZG93bnJldi54bWxQSwECFAAUAAAACACHTuJA4H2jTc8BAACfAwAADgAAAAAAAAABACAA&#10;AAAoAQAAZHJzL2Uyb0RvYy54bWxQSwUGAAAAAAYABgBZAQAAaQUAAAAA&#10;">
              <v:fill on="f" focussize="0,0"/>
              <v:stroke on="f"/>
              <v:imagedata o:title=""/>
              <o:lock v:ext="edit" aspectratio="f"/>
              <v:textbox inset="0mm,0mm,0mm,0mm">
                <w:txbxContent>
                  <w:p w14:paraId="5FBD084C"/>
                </w:txbxContent>
              </v:textbox>
            </v:shape>
          </w:pict>
        </mc:Fallback>
      </mc:AlternateContent>
    </w:r>
    <w:r>
      <w:rPr>
        <w:rStyle w:val="21"/>
      </w:rPr>
      <mc:AlternateContent>
        <mc:Choice Requires="wps">
          <w:drawing>
            <wp:anchor distT="0" distB="0" distL="114300" distR="114300" simplePos="0" relativeHeight="251659264" behindDoc="0" locked="0" layoutInCell="1" hidden="1" allowOverlap="1">
              <wp:simplePos x="0" y="0"/>
              <wp:positionH relativeFrom="column">
                <wp:posOffset>0</wp:posOffset>
              </wp:positionH>
              <wp:positionV relativeFrom="paragraph">
                <wp:posOffset>0</wp:posOffset>
              </wp:positionV>
              <wp:extent cx="635000" cy="635000"/>
              <wp:effectExtent l="0" t="0" r="0" b="0"/>
              <wp:wrapNone/>
              <wp:docPr id="1" name="自选图形 1044"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wps:cNvSpPr>
                    <wps:spPr>
                      <a:xfrm>
                        <a:off x="0" y="0"/>
                        <a:ext cx="635000" cy="635000"/>
                      </a:xfrm>
                      <a:custGeom>
                        <a:avLst/>
                        <a:gdLst/>
                        <a:ahLst/>
                        <a:cxnLst/>
                        <a:pathLst/>
                      </a:custGeom>
                      <a:noFill/>
                      <a:ln>
                        <a:noFill/>
                      </a:ln>
                    </wps:spPr>
                    <wps:bodyPr upright="1"/>
                  </wps:wsp>
                </a:graphicData>
              </a:graphic>
            </wp:anchor>
          </w:drawing>
        </mc:Choice>
        <mc:Fallback>
          <w:pict>
            <v:shape id="自选图形 1044" o:spid="_x0000_s1026" o:spt="100" style="position:absolute;left:0pt;margin-left:0pt;margin-top:0pt;height:50pt;width:50pt;visibility:hidden;z-index:251659264;mso-width-relative:page;mso-height-relative:page;" filled="f" stroked="f" coordsize="635000,635000" o:gfxdata="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KY/denPAAAABQEAAA8AAAAAAAAAAQAgAAAAIgAAAGRycy9kb3ducmV2LnhtbFBLAQIU&#10;ABQAAAAIAIdO4kAB0L8UwwEAAI4DAAAOAAAAAAAAAAEAIAAAAB4BAABkcnMvZTJvRG9jLnhtbFBL&#10;BQYAAAAABgAGAFkBAABTBQAAAAA=&#10;">
              <v:fill on="f" focussize="0,0"/>
              <v:stroke on="f"/>
              <v:imagedata o:title=""/>
              <o:lock v:ext="edit" selection="t" aspectratio="f"/>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7AB239">
    <w:pPr>
      <w:pStyle w:val="11"/>
      <w:rPr>
        <w:rFonts w:hint="eastAsia" w:ascii="仿宋_GB2312" w:eastAsia="仿宋_GB2312"/>
        <w:bCs/>
        <w:u w:val="single"/>
      </w:rPr>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CE1205F">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CE1205F">
                    <w:pPr>
                      <w:pStyle w:val="11"/>
                    </w:pPr>
                    <w:r>
                      <w:fldChar w:fldCharType="begin"/>
                    </w:r>
                    <w:r>
                      <w:instrText xml:space="preserve"> PAGE  \* MERGEFORMAT </w:instrText>
                    </w:r>
                    <w:r>
                      <w:fldChar w:fldCharType="separate"/>
                    </w:r>
                    <w:r>
                      <w:t>1</w:t>
                    </w:r>
                    <w:r>
                      <w:fldChar w:fldCharType="end"/>
                    </w:r>
                  </w:p>
                </w:txbxContent>
              </v:textbox>
            </v:shape>
          </w:pict>
        </mc:Fallback>
      </mc:AlternateContent>
    </w:r>
    <w:r>
      <w:rPr>
        <w:rFonts w:hint="eastAsia" w:ascii="仿宋_GB2312" w:eastAsia="仿宋_GB2312"/>
        <w:bCs/>
        <w:u w:val="single"/>
      </w:rPr>
      <w:t xml:space="preserve">                                                                                                 </w:t>
    </w:r>
  </w:p>
  <w:p w14:paraId="22347DE9">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BB19C">
    <w:pPr>
      <w:pStyle w:val="12"/>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7E7D0A8"/>
    <w:multiLevelType w:val="singleLevel"/>
    <w:tmpl w:val="B7E7D0A8"/>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Y3MGRhYWQ5MTUwMzBkMzE4MDQ1YWM4MjJiMWVlODIifQ=="/>
  </w:docVars>
  <w:rsids>
    <w:rsidRoot w:val="34740AE2"/>
    <w:rsid w:val="00417EF4"/>
    <w:rsid w:val="00B91DBF"/>
    <w:rsid w:val="00BE32F3"/>
    <w:rsid w:val="01545A05"/>
    <w:rsid w:val="018042E5"/>
    <w:rsid w:val="01CE3A0A"/>
    <w:rsid w:val="01DE4120"/>
    <w:rsid w:val="020476C0"/>
    <w:rsid w:val="022432AD"/>
    <w:rsid w:val="02737D5D"/>
    <w:rsid w:val="02783976"/>
    <w:rsid w:val="030957D0"/>
    <w:rsid w:val="03855756"/>
    <w:rsid w:val="04006667"/>
    <w:rsid w:val="049405AC"/>
    <w:rsid w:val="04D07A99"/>
    <w:rsid w:val="054A784B"/>
    <w:rsid w:val="05515388"/>
    <w:rsid w:val="05685F23"/>
    <w:rsid w:val="061B2F96"/>
    <w:rsid w:val="067A7DFA"/>
    <w:rsid w:val="06A6038B"/>
    <w:rsid w:val="07EE2887"/>
    <w:rsid w:val="087A0447"/>
    <w:rsid w:val="09051C20"/>
    <w:rsid w:val="0A3F0781"/>
    <w:rsid w:val="0AF81AF7"/>
    <w:rsid w:val="0AFF69E2"/>
    <w:rsid w:val="0B8415DD"/>
    <w:rsid w:val="0C1734E6"/>
    <w:rsid w:val="0D1129FD"/>
    <w:rsid w:val="0E2844A2"/>
    <w:rsid w:val="0E333CB3"/>
    <w:rsid w:val="0E76520D"/>
    <w:rsid w:val="0EB224BF"/>
    <w:rsid w:val="0F2C7FC2"/>
    <w:rsid w:val="0F783207"/>
    <w:rsid w:val="0FE30767"/>
    <w:rsid w:val="10264A11"/>
    <w:rsid w:val="103E2D46"/>
    <w:rsid w:val="103F5AD3"/>
    <w:rsid w:val="106519DD"/>
    <w:rsid w:val="106907B9"/>
    <w:rsid w:val="10BE2142"/>
    <w:rsid w:val="10DE7651"/>
    <w:rsid w:val="111B209C"/>
    <w:rsid w:val="112C6057"/>
    <w:rsid w:val="11EB455B"/>
    <w:rsid w:val="12192A7F"/>
    <w:rsid w:val="125735A8"/>
    <w:rsid w:val="12912325"/>
    <w:rsid w:val="139C043A"/>
    <w:rsid w:val="13A22600"/>
    <w:rsid w:val="147A2925"/>
    <w:rsid w:val="14D40EDF"/>
    <w:rsid w:val="14F7697C"/>
    <w:rsid w:val="154716B1"/>
    <w:rsid w:val="154767F6"/>
    <w:rsid w:val="159D7523"/>
    <w:rsid w:val="15F07F9B"/>
    <w:rsid w:val="1602076F"/>
    <w:rsid w:val="16250A61"/>
    <w:rsid w:val="17B20E6E"/>
    <w:rsid w:val="17F83137"/>
    <w:rsid w:val="18784278"/>
    <w:rsid w:val="19483C4A"/>
    <w:rsid w:val="19A24630"/>
    <w:rsid w:val="1A306C84"/>
    <w:rsid w:val="1AA43102"/>
    <w:rsid w:val="1B5A546C"/>
    <w:rsid w:val="1B736F07"/>
    <w:rsid w:val="1BF228C0"/>
    <w:rsid w:val="1BFD6F6E"/>
    <w:rsid w:val="1C87059E"/>
    <w:rsid w:val="1D091942"/>
    <w:rsid w:val="1D1F0BA2"/>
    <w:rsid w:val="1D492719"/>
    <w:rsid w:val="1DF47EFC"/>
    <w:rsid w:val="1E0E198C"/>
    <w:rsid w:val="1EC97427"/>
    <w:rsid w:val="1F792DAF"/>
    <w:rsid w:val="1FDE70B6"/>
    <w:rsid w:val="20E71F9A"/>
    <w:rsid w:val="22791318"/>
    <w:rsid w:val="22B23B0E"/>
    <w:rsid w:val="23113125"/>
    <w:rsid w:val="233D7F80"/>
    <w:rsid w:val="23AE3064"/>
    <w:rsid w:val="245E4322"/>
    <w:rsid w:val="247C6E9E"/>
    <w:rsid w:val="248B0E8F"/>
    <w:rsid w:val="24AD06DD"/>
    <w:rsid w:val="24B556DA"/>
    <w:rsid w:val="24C362EE"/>
    <w:rsid w:val="24F02D0D"/>
    <w:rsid w:val="25441769"/>
    <w:rsid w:val="25A22934"/>
    <w:rsid w:val="25B032A3"/>
    <w:rsid w:val="25CC78DE"/>
    <w:rsid w:val="25D44C0C"/>
    <w:rsid w:val="25FA451E"/>
    <w:rsid w:val="25FF7189"/>
    <w:rsid w:val="266F72EE"/>
    <w:rsid w:val="2685203A"/>
    <w:rsid w:val="26CA36FC"/>
    <w:rsid w:val="280E18A1"/>
    <w:rsid w:val="28667B0D"/>
    <w:rsid w:val="28C5074D"/>
    <w:rsid w:val="28DE1ED5"/>
    <w:rsid w:val="29916F47"/>
    <w:rsid w:val="2B4754B4"/>
    <w:rsid w:val="2B796824"/>
    <w:rsid w:val="2B830B12"/>
    <w:rsid w:val="2BFD1DC8"/>
    <w:rsid w:val="2C47211C"/>
    <w:rsid w:val="2C594A66"/>
    <w:rsid w:val="2CB43679"/>
    <w:rsid w:val="2CF55D49"/>
    <w:rsid w:val="2E556795"/>
    <w:rsid w:val="2E755089"/>
    <w:rsid w:val="2E9372BE"/>
    <w:rsid w:val="2F5C3B54"/>
    <w:rsid w:val="2F6E1ED3"/>
    <w:rsid w:val="2FD5365E"/>
    <w:rsid w:val="3014442E"/>
    <w:rsid w:val="302F27CC"/>
    <w:rsid w:val="30627B0D"/>
    <w:rsid w:val="3166515D"/>
    <w:rsid w:val="32A63A63"/>
    <w:rsid w:val="332B21BB"/>
    <w:rsid w:val="33AB1DBC"/>
    <w:rsid w:val="33D44431"/>
    <w:rsid w:val="340F0470"/>
    <w:rsid w:val="34740AE2"/>
    <w:rsid w:val="3529097C"/>
    <w:rsid w:val="36182909"/>
    <w:rsid w:val="364A2958"/>
    <w:rsid w:val="367479D5"/>
    <w:rsid w:val="37515F68"/>
    <w:rsid w:val="37C91822"/>
    <w:rsid w:val="38507FCD"/>
    <w:rsid w:val="38654C95"/>
    <w:rsid w:val="3870241E"/>
    <w:rsid w:val="39110828"/>
    <w:rsid w:val="397A17A6"/>
    <w:rsid w:val="399835B5"/>
    <w:rsid w:val="39AD25AF"/>
    <w:rsid w:val="3A865F28"/>
    <w:rsid w:val="3B2C5853"/>
    <w:rsid w:val="3B485B3A"/>
    <w:rsid w:val="3B5E6802"/>
    <w:rsid w:val="3BB024C0"/>
    <w:rsid w:val="3BFE0815"/>
    <w:rsid w:val="3C4541B6"/>
    <w:rsid w:val="3C681D8A"/>
    <w:rsid w:val="3D994D96"/>
    <w:rsid w:val="3DE54943"/>
    <w:rsid w:val="3E120265"/>
    <w:rsid w:val="3E2747E6"/>
    <w:rsid w:val="3E6A003B"/>
    <w:rsid w:val="3FF37BBC"/>
    <w:rsid w:val="40226198"/>
    <w:rsid w:val="402C271C"/>
    <w:rsid w:val="40532D51"/>
    <w:rsid w:val="405D58FE"/>
    <w:rsid w:val="4139200B"/>
    <w:rsid w:val="42D9578F"/>
    <w:rsid w:val="43744CAE"/>
    <w:rsid w:val="43C26223"/>
    <w:rsid w:val="43CF4822"/>
    <w:rsid w:val="443469F5"/>
    <w:rsid w:val="446217B4"/>
    <w:rsid w:val="44AA1B92"/>
    <w:rsid w:val="44C10289"/>
    <w:rsid w:val="44DA57EF"/>
    <w:rsid w:val="4554734F"/>
    <w:rsid w:val="45703A5D"/>
    <w:rsid w:val="46160AA8"/>
    <w:rsid w:val="483E0951"/>
    <w:rsid w:val="488066AD"/>
    <w:rsid w:val="490746D8"/>
    <w:rsid w:val="49BE748D"/>
    <w:rsid w:val="49E6704C"/>
    <w:rsid w:val="4A046B32"/>
    <w:rsid w:val="4A1277D9"/>
    <w:rsid w:val="4A412A3F"/>
    <w:rsid w:val="4A845C50"/>
    <w:rsid w:val="4B322247"/>
    <w:rsid w:val="4B834DB7"/>
    <w:rsid w:val="4B9B60E7"/>
    <w:rsid w:val="4BFB49C8"/>
    <w:rsid w:val="4CB37051"/>
    <w:rsid w:val="4DBF5582"/>
    <w:rsid w:val="4E497866"/>
    <w:rsid w:val="4F0B7160"/>
    <w:rsid w:val="4F0D6972"/>
    <w:rsid w:val="4F4968D9"/>
    <w:rsid w:val="4F642D99"/>
    <w:rsid w:val="4F9A62A6"/>
    <w:rsid w:val="4FBC4CF4"/>
    <w:rsid w:val="50016325"/>
    <w:rsid w:val="50AD2009"/>
    <w:rsid w:val="52476299"/>
    <w:rsid w:val="5413585A"/>
    <w:rsid w:val="54452872"/>
    <w:rsid w:val="546A2BA6"/>
    <w:rsid w:val="54750015"/>
    <w:rsid w:val="54A13C33"/>
    <w:rsid w:val="55423EB8"/>
    <w:rsid w:val="557F6076"/>
    <w:rsid w:val="563B3C13"/>
    <w:rsid w:val="564879F2"/>
    <w:rsid w:val="565548C0"/>
    <w:rsid w:val="565E627F"/>
    <w:rsid w:val="5674484B"/>
    <w:rsid w:val="56D2100B"/>
    <w:rsid w:val="56ED315F"/>
    <w:rsid w:val="571642DF"/>
    <w:rsid w:val="57273A59"/>
    <w:rsid w:val="57983795"/>
    <w:rsid w:val="583B2B3A"/>
    <w:rsid w:val="58496ABB"/>
    <w:rsid w:val="587D0513"/>
    <w:rsid w:val="58B40B87"/>
    <w:rsid w:val="5954396A"/>
    <w:rsid w:val="597E09E7"/>
    <w:rsid w:val="59AA5338"/>
    <w:rsid w:val="5CC43787"/>
    <w:rsid w:val="5D0B71E5"/>
    <w:rsid w:val="5D7949FC"/>
    <w:rsid w:val="5D942587"/>
    <w:rsid w:val="5DED7282"/>
    <w:rsid w:val="5EFD415C"/>
    <w:rsid w:val="5F362988"/>
    <w:rsid w:val="5F781A34"/>
    <w:rsid w:val="5FB05672"/>
    <w:rsid w:val="60065292"/>
    <w:rsid w:val="60235E44"/>
    <w:rsid w:val="610712C2"/>
    <w:rsid w:val="616D381B"/>
    <w:rsid w:val="616E7260"/>
    <w:rsid w:val="61CE3772"/>
    <w:rsid w:val="61DC274E"/>
    <w:rsid w:val="622F287E"/>
    <w:rsid w:val="64680C55"/>
    <w:rsid w:val="647833D8"/>
    <w:rsid w:val="64C37BF6"/>
    <w:rsid w:val="65145C7D"/>
    <w:rsid w:val="65232207"/>
    <w:rsid w:val="657442F7"/>
    <w:rsid w:val="65D04378"/>
    <w:rsid w:val="661E50E3"/>
    <w:rsid w:val="66B617C0"/>
    <w:rsid w:val="66C35C8B"/>
    <w:rsid w:val="674A1F08"/>
    <w:rsid w:val="6764121C"/>
    <w:rsid w:val="68095719"/>
    <w:rsid w:val="68F14D31"/>
    <w:rsid w:val="69731BEA"/>
    <w:rsid w:val="69B36B59"/>
    <w:rsid w:val="6A1F669D"/>
    <w:rsid w:val="6A8D2838"/>
    <w:rsid w:val="6AE306AA"/>
    <w:rsid w:val="6AF51650"/>
    <w:rsid w:val="6B0023F3"/>
    <w:rsid w:val="6B390709"/>
    <w:rsid w:val="6B772B53"/>
    <w:rsid w:val="6B932570"/>
    <w:rsid w:val="6C7F2654"/>
    <w:rsid w:val="6CFC3CA5"/>
    <w:rsid w:val="6D162FB8"/>
    <w:rsid w:val="6D8F68C7"/>
    <w:rsid w:val="6DC36F14"/>
    <w:rsid w:val="6DEB6FB5"/>
    <w:rsid w:val="6E7D7CD1"/>
    <w:rsid w:val="6EB16217"/>
    <w:rsid w:val="6F0D3F47"/>
    <w:rsid w:val="6F215C44"/>
    <w:rsid w:val="6FDC1B6B"/>
    <w:rsid w:val="70142A85"/>
    <w:rsid w:val="705430FD"/>
    <w:rsid w:val="70CB5E68"/>
    <w:rsid w:val="71365A8C"/>
    <w:rsid w:val="7275252F"/>
    <w:rsid w:val="73085D97"/>
    <w:rsid w:val="736655A5"/>
    <w:rsid w:val="73F531FC"/>
    <w:rsid w:val="744A3547"/>
    <w:rsid w:val="74645EE0"/>
    <w:rsid w:val="74D60C41"/>
    <w:rsid w:val="75BF7F65"/>
    <w:rsid w:val="76352789"/>
    <w:rsid w:val="763B555D"/>
    <w:rsid w:val="763D608D"/>
    <w:rsid w:val="76607052"/>
    <w:rsid w:val="77371C1F"/>
    <w:rsid w:val="78AC657F"/>
    <w:rsid w:val="79224BCB"/>
    <w:rsid w:val="79312F28"/>
    <w:rsid w:val="793B60A2"/>
    <w:rsid w:val="79492020"/>
    <w:rsid w:val="798C47D9"/>
    <w:rsid w:val="79A97169"/>
    <w:rsid w:val="7A65732D"/>
    <w:rsid w:val="7B4E6013"/>
    <w:rsid w:val="7BB75966"/>
    <w:rsid w:val="7C482A62"/>
    <w:rsid w:val="7D90280C"/>
    <w:rsid w:val="7D913F95"/>
    <w:rsid w:val="7DA41C21"/>
    <w:rsid w:val="7DD25EFE"/>
    <w:rsid w:val="7DE642E1"/>
    <w:rsid w:val="7DE762AB"/>
    <w:rsid w:val="7E4D4360"/>
    <w:rsid w:val="7EFE565A"/>
    <w:rsid w:val="7F054C3B"/>
    <w:rsid w:val="7F9F50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2"/>
    <w:basedOn w:val="1"/>
    <w:next w:val="1"/>
    <w:qFormat/>
    <w:uiPriority w:val="0"/>
    <w:pPr>
      <w:keepNext/>
      <w:keepLines/>
      <w:spacing w:before="260" w:after="260" w:line="413" w:lineRule="auto"/>
      <w:outlineLvl w:val="1"/>
    </w:pPr>
    <w:rPr>
      <w:rFonts w:ascii="Cambria" w:hAnsi="Cambria"/>
      <w:b/>
      <w:bCs/>
      <w:sz w:val="32"/>
      <w:szCs w:val="32"/>
    </w:rPr>
  </w:style>
  <w:style w:type="paragraph" w:styleId="4">
    <w:name w:val="heading 3"/>
    <w:basedOn w:val="1"/>
    <w:next w:val="1"/>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17">
    <w:name w:val="Default Paragraph Font"/>
    <w:semiHidden/>
    <w:qFormat/>
    <w:uiPriority w:val="0"/>
  </w:style>
  <w:style w:type="table" w:default="1" w:styleId="15">
    <w:name w:val="Normal Table"/>
    <w:semiHidden/>
    <w:qFormat/>
    <w:uiPriority w:val="0"/>
    <w:tblPr>
      <w:tblCellMar>
        <w:top w:w="0" w:type="dxa"/>
        <w:left w:w="108" w:type="dxa"/>
        <w:bottom w:w="0" w:type="dxa"/>
        <w:right w:w="108" w:type="dxa"/>
      </w:tblCellMar>
    </w:tblPr>
  </w:style>
  <w:style w:type="paragraph" w:styleId="5">
    <w:name w:val="Normal Indent"/>
    <w:basedOn w:val="1"/>
    <w:next w:val="6"/>
    <w:qFormat/>
    <w:uiPriority w:val="0"/>
    <w:pPr>
      <w:widowControl/>
      <w:ind w:firstLine="420"/>
      <w:jc w:val="left"/>
    </w:pPr>
    <w:rPr>
      <w:kern w:val="0"/>
      <w:sz w:val="20"/>
      <w:szCs w:val="20"/>
    </w:rPr>
  </w:style>
  <w:style w:type="paragraph" w:customStyle="1" w:styleId="6">
    <w:name w:val="Default"/>
    <w:next w:val="7"/>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7">
    <w:name w:val="大标题"/>
    <w:basedOn w:val="1"/>
    <w:next w:val="8"/>
    <w:qFormat/>
    <w:uiPriority w:val="0"/>
    <w:pPr>
      <w:jc w:val="center"/>
    </w:pPr>
    <w:rPr>
      <w:rFonts w:ascii="Arial" w:hAnsi="Arial" w:eastAsia="宋体"/>
      <w:b/>
      <w:sz w:val="28"/>
      <w:szCs w:val="24"/>
    </w:rPr>
  </w:style>
  <w:style w:type="paragraph" w:styleId="8">
    <w:name w:val="Body Text First Indent 2"/>
    <w:basedOn w:val="9"/>
    <w:next w:val="1"/>
    <w:qFormat/>
    <w:uiPriority w:val="0"/>
    <w:pPr>
      <w:ind w:firstLine="420" w:firstLineChars="200"/>
    </w:pPr>
  </w:style>
  <w:style w:type="paragraph" w:styleId="9">
    <w:name w:val="Body Text Indent"/>
    <w:basedOn w:val="1"/>
    <w:next w:val="8"/>
    <w:qFormat/>
    <w:uiPriority w:val="0"/>
    <w:pPr>
      <w:spacing w:after="120"/>
      <w:ind w:left="420" w:leftChars="200"/>
    </w:pPr>
    <w:rPr>
      <w:rFonts w:ascii="Times New Roman" w:hAnsi="Times New Roman"/>
      <w:kern w:val="0"/>
      <w:sz w:val="24"/>
    </w:rPr>
  </w:style>
  <w:style w:type="paragraph" w:styleId="10">
    <w:name w:val="Plain Text"/>
    <w:basedOn w:val="1"/>
    <w:qFormat/>
    <w:uiPriority w:val="0"/>
    <w:rPr>
      <w:rFonts w:ascii="宋体" w:hAnsi="Courier New" w:eastAsia="宋体" w:cs="Courier New"/>
      <w:szCs w:val="21"/>
    </w:rPr>
  </w:style>
  <w:style w:type="paragraph" w:styleId="11">
    <w:name w:val="footer"/>
    <w:basedOn w:val="1"/>
    <w:qFormat/>
    <w:uiPriority w:val="0"/>
    <w:pPr>
      <w:tabs>
        <w:tab w:val="center" w:pos="4153"/>
        <w:tab w:val="right" w:pos="8306"/>
      </w:tabs>
      <w:snapToGrid w:val="0"/>
      <w:jc w:val="left"/>
    </w:pPr>
    <w:rPr>
      <w:sz w:val="1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Body Text Indent 3"/>
    <w:basedOn w:val="1"/>
    <w:unhideWhenUsed/>
    <w:qFormat/>
    <w:uiPriority w:val="0"/>
    <w:pPr>
      <w:spacing w:after="120"/>
      <w:ind w:left="420" w:leftChars="200"/>
    </w:pPr>
    <w:rPr>
      <w:sz w:val="16"/>
      <w:szCs w:val="16"/>
    </w:rPr>
  </w:style>
  <w:style w:type="paragraph" w:styleId="14">
    <w:name w:val="Normal (Web)"/>
    <w:basedOn w:val="1"/>
    <w:qFormat/>
    <w:uiPriority w:val="0"/>
    <w:pPr>
      <w:jc w:val="left"/>
    </w:pPr>
    <w:rPr>
      <w:kern w:val="0"/>
      <w:sz w:val="24"/>
    </w:rPr>
  </w:style>
  <w:style w:type="table" w:styleId="16">
    <w:name w:val="Table Grid"/>
    <w:basedOn w:val="1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Emphasis"/>
    <w:basedOn w:val="17"/>
    <w:qFormat/>
    <w:uiPriority w:val="0"/>
    <w:rPr>
      <w:i/>
    </w:rPr>
  </w:style>
  <w:style w:type="paragraph" w:customStyle="1" w:styleId="19">
    <w:name w:val="正文格式"/>
    <w:basedOn w:val="1"/>
    <w:qFormat/>
    <w:uiPriority w:val="99"/>
    <w:pPr>
      <w:widowControl/>
      <w:adjustRightInd w:val="0"/>
      <w:snapToGrid w:val="0"/>
      <w:spacing w:line="400" w:lineRule="atLeast"/>
      <w:ind w:firstLine="482"/>
      <w:textAlignment w:val="baseline"/>
    </w:pPr>
    <w:rPr>
      <w:rFonts w:ascii="Calibri" w:hAnsi="Calibri"/>
      <w:kern w:val="0"/>
      <w:sz w:val="24"/>
    </w:rPr>
  </w:style>
  <w:style w:type="paragraph" w:customStyle="1" w:styleId="20">
    <w:name w:val="明显引用1"/>
    <w:next w:val="1"/>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character" w:customStyle="1" w:styleId="21">
    <w:name w:val="NormalCharacter"/>
    <w:link w:val="22"/>
    <w:semiHidden/>
    <w:qFormat/>
    <w:uiPriority w:val="0"/>
    <w:rPr>
      <w:kern w:val="0"/>
      <w:sz w:val="20"/>
      <w:szCs w:val="20"/>
    </w:rPr>
  </w:style>
  <w:style w:type="paragraph" w:customStyle="1" w:styleId="22">
    <w:name w:val="UserStyle_1"/>
    <w:basedOn w:val="1"/>
    <w:link w:val="21"/>
    <w:qFormat/>
    <w:uiPriority w:val="99"/>
    <w:pPr>
      <w:widowControl/>
      <w:snapToGrid w:val="0"/>
      <w:spacing w:line="360" w:lineRule="auto"/>
      <w:ind w:firstLine="200" w:firstLineChars="200"/>
      <w:textAlignment w:val="baseline"/>
    </w:pPr>
    <w:rPr>
      <w:kern w:val="0"/>
      <w:sz w:val="20"/>
      <w:szCs w:val="20"/>
    </w:rPr>
  </w:style>
  <w:style w:type="paragraph" w:customStyle="1" w:styleId="23">
    <w:name w:val="Normal_8"/>
    <w:qFormat/>
    <w:uiPriority w:val="0"/>
    <w:rPr>
      <w:rFonts w:ascii="Times New Roman" w:hAnsi="Times New Roman" w:eastAsia="Times New Roman" w:cs="Times New Roman"/>
      <w:sz w:val="24"/>
      <w:szCs w:val="24"/>
      <w:lang w:val="en-US" w:eastAsia="zh-CN" w:bidi="ar-SA"/>
    </w:rPr>
  </w:style>
  <w:style w:type="paragraph" w:customStyle="1" w:styleId="24">
    <w:name w:val="BodyText"/>
    <w:basedOn w:val="1"/>
    <w:qFormat/>
    <w:uiPriority w:val="0"/>
    <w:pPr>
      <w:spacing w:after="120"/>
    </w:pPr>
  </w:style>
  <w:style w:type="paragraph" w:customStyle="1" w:styleId="25">
    <w:name w:val="Heading8"/>
    <w:basedOn w:val="1"/>
    <w:next w:val="1"/>
    <w:qFormat/>
    <w:uiPriority w:val="0"/>
    <w:pPr>
      <w:keepNext/>
      <w:keepLines/>
      <w:spacing w:before="240" w:after="64" w:line="320" w:lineRule="atLeast"/>
      <w:jc w:val="left"/>
    </w:pPr>
    <w:rPr>
      <w:rFonts w:ascii="Arial" w:hAnsi="Arial" w:eastAsia="黑体"/>
      <w:kern w:val="0"/>
      <w:sz w:val="24"/>
    </w:rPr>
  </w:style>
  <w:style w:type="paragraph" w:customStyle="1" w:styleId="26">
    <w:name w:val="列出段落1"/>
    <w:basedOn w:val="1"/>
    <w:autoRedefine/>
    <w:qFormat/>
    <w:uiPriority w:val="99"/>
    <w:pPr>
      <w:ind w:firstLine="420" w:firstLineChars="200"/>
    </w:pPr>
  </w:style>
  <w:style w:type="paragraph" w:styleId="27">
    <w:name w:val="List Paragraph"/>
    <w:basedOn w:val="1"/>
    <w:autoRedefine/>
    <w:qFormat/>
    <w:uiPriority w:val="34"/>
    <w:pPr>
      <w:ind w:firstLine="420" w:firstLineChars="200"/>
    </w:pPr>
    <w:rPr>
      <w:rFonts w:ascii="Calibri" w:hAnsi="Calibri"/>
      <w:szCs w:val="22"/>
    </w:rPr>
  </w:style>
  <w:style w:type="paragraph" w:customStyle="1" w:styleId="28">
    <w:name w:val="无间隔1"/>
    <w:autoRedefine/>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14274</Words>
  <Characters>14820</Characters>
  <Lines>0</Lines>
  <Paragraphs>0</Paragraphs>
  <TotalTime>7</TotalTime>
  <ScaleCrop>false</ScaleCrop>
  <LinksUpToDate>false</LinksUpToDate>
  <CharactersWithSpaces>15258</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2022-08-15T12:53:00Z</dcterms:created>
  <dc:creator>是小豹子</dc:creator>
  <cp:lastModifiedBy>是小豹子</cp:lastModifiedBy>
  <cp:lastPrinted>2024-11-21T07:50:00Z</cp:lastPrinted>
  <dcterms:modified xsi:type="dcterms:W3CDTF">2024-12-02T08:19:46Z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2BC3CD60FD2E4C149AFA60FD157BBD35_13</vt:lpwstr>
  </property>
</Properties>
</file>