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（输注工作站医院公开挂网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输注工作站</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输注工作站</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输注工作站</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5</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1资质要求：输液工作站所匹配的输注泵必须具有CFDA注册证。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2用途：用于ICU或其他病区床旁多通道输注泵的空间和电源管理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3输液工作站要求：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3.1 每套输液工作站配置1个输液泵和5个注射泵；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 I类CF型设备，铝合金材质，抗氧化和耐腐蚀性能好，轻便牢固；（提供图片）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 安全可靠，进液防护等级≧IP24；</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 设备表面平整，光滑，易于清洁消毒，符合院内感控要求；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4、主要技术和性能规格要求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  工作站采用模块化设计，由主机和两个组合单元组成，每个组合单元具有两个输注通道，所有通道都可以接入与工作站匹配的输液泵或者注射泵使用；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  支持泵在工作站上热插拔使用，任何通道的泵插入或者拔出都不影响其他通道的泵运行；</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4.3  工作站内每个输注通道都有AC电源接口，实现站内所有输注泵一根电源线供电，床旁空间更整洁；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4.4  工作站具有滴数传感器放置座，用于收纳滴数传感器，防止滴数传感器跌落损坏或丢失；（请提供图片）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4.5 电源：交流电100-240V，50/60Hz；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4.6 工作站宽度≦160mm，深度≦155mm，小巧紧凑，重心居中不易向前倾倒，节省床旁空间；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4.7 组合单元之间可支持用户自由拆卸、组合，满足病人病情个性化的需要；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三、输液泵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1、输液泵必须具有CFDA注册证及德国TUV认证的CE证书；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用途：在ICU、手术室、儿科、普通病房等科室使用，用于精确定容输液、输血。</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3、一般规格和要求：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 I类CF型设备，技术先进、结构合理、加工精密；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3.2模块化设计，能与输液工作站结合联网组成输液管理系统；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 一体化提手和固定夹，便于移动和转运，容易操作、养护和维修;（提供图片）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4、主要技术和性能要求：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4.1安全要求：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4.1.1 进液防护等级≧IP24；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4.1.2 双CPU设计；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4.1.3 DPS动态监测在线注射压力，显示实时注射压力数值;</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4.1.4 阻塞报警阈值4档可调， 225mmHg、450mmHg、675mmHg、900mmHg；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4.1.5 阻塞回撤功能（Anti-Bolus）：当管路阻塞报警时，自动回撤管路压力，避免意外丸剂量伤害病人；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4.1.6 电动止流夹和电动门设计：电动止流夹防止泵门开启时液体任意流出，更换管路时轻轻按压即可开启止流夹，更方便快捷。电动门只需轻推即可关闭泵门，防止大力推压发生倾倒意外；</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4.1.7 气泡检测：超声气泡探头，具有单个气泡和连续累计气泡报警，单个气泡检测7档可调：50μl、100μl、200μl、300μl、450μl、600μl、800μl； 累计气泡检测100-1000μl/15min连续可调；  </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4.1.8 手动、自动锁屏功能：ON/OFF，自动锁屏时间15sec-30min可调；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4.1.9 支持使用滴数传感器，检测到滴数异常予以报警提示，使输液更准确；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 精度要求：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4.2.1 输液精度≤±5%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4.2.2 在线滴定功能：安全不中断输液而更改速度；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 基本性能：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 速度：0.1-2000ml/h, 最小步进值0.01ml（滴数模式设置范围：输液管滴壶设置范围 10—60 drips/ml，步进为 1 drops/min；【10～20】 drips/ml 最大滴速为 666drops/min；【21～40】 drips/ml 最大滴速为 500drops/min；【41～60】 drips/ml 最大滴速为 400drops/min；滴速精度误差： ≤±5%）；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4.3.2 预置量：0-9999.99ml，最小步进值0.01ml；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4.3.3 预置时间：1min-99hrs59min；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4.3.4累积量范围：0～9999.99ml，最小步进量;0.01ml。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4.3.5快进功能：快进速度1-2000ml/h，最小步进值0.01ml，具有自动和手动两种快进模式，实时显示快进入量，并且手动快推时每达到1ml整数时给与声音提示；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4.3.6排气速度默认2000ml/h；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4.3.7 KVO功能：0.1-5ml/h，以0.01ml/h步进；当速度设为0ml/h时默为关闭KVO模式。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4.3.8 彩色触摸屏≧4.3英寸，采用触摸屏操作，使用方便，简单易用；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4.3.9 具有ml/h模式，在同一个操作界面中即可快速完成流速、时间-容量和流速-容量三种输液模式参数的设置，无需翻页选择模式设置，方便快捷；</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4.3.10分低级、中级、高级三级报警，并给以声光提示，同时图文并茂地显示具体报警信息，直观易懂；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4.3.11报警信息：预置量接近完成（完成预报警时间可调范围为：2min、5min、10min、15min、20min、30min）、预置量完成、管路阻塞、管路上端阻塞、药物剂量超限、电池电量低、电池耗尽、电池脱落、网电源中断、遗忘操作（遗忘报警时间可调范围：2min、5min、10min、15min、20min、30min）、待机时间结束、KVO完成、无滴数传感器报警、滴数异常、单个气泡、累计气泡、系统故障。</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4.3.12 内置4种输液模式：ml/h速度模式、体重模式、滴数模式、微量模式；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4.3.13 具有独立的电池仓，无需打开机壳即可更换电池；（提供图片）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4.3.14 电池持续运行时间≧9小时/流速25ml/h；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4.3.15供电：AC 100V-240V，50/60Hz；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4.3.16 历史纪录功能：自动储存2000条的事件记录；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4.3.17品牌库：可存储输液器品牌≧200个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4.3.18 药物库功能：支持药物名称显示；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4.3.19 多功能接口：具有type-C多功能接口，支持数据传输、护士呼叫、外接直流电；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4.3.20 可加装无线模块，实现无线联网监测；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4.3.21 内置中文，全中文操作界面。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四、注射泵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1、注射泵必须具有CFDA注册证及德国TUV认证的CE证书</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2、用途：在ICU、手术室、儿科等科室使用，用于推动注射器进行液体注射</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3、一般规格和要求：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 I类CF型设备，技术先进、结构合理、加工精密；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 模块化设计，能接入输液工作站实现统一供电；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3.3一体化提手和固定夹，便于移动和转运，容易操作、养护和维修；（提供图品）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4、主要技术和性能要求：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4.1安全要求：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4.1.1进液防护等级≧IP24；</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4.1.2 双CPU设计；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4.1.3 动态监测在线注射压力，显示实时注射压力数值;</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4.1.4阻塞报警阈值3档可调【L（低）150mmHg；M(中)525mmHg；H(高)900mmHg，L、M档误差：±100mmHg；H档误差：±135mmHg】；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4.1.5阻塞回撤功能（Anti-Bolus）：当管路阻塞报警时，自动回撤管路压力，避免意外丸剂量伤害病人；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4.1.6防虹吸设计：防止药液在暂停期间任意流出；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4.1.7 手动、自动锁屏功能：ON/OFF，自动锁屏时间15sec-30min可调；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 精度要求：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4.2.1 速率≥1ml/h时，精度≤±2%</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4.2.3 在线滴定功能：能不中断输液而更改速率；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 基本要求：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 速率范围：0.1-1500ml/h, 最小步进值0.1ml/h；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4.3.2预置总量范围：0-9999ml，最小步进值：0.1ml；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4.3.3 累积量范围: 0～9999.9ml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4.3.4 预置时间范围：1min-99hrs59min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4.3.5 快推功能：快推速率0.2-1500ml/h，以0.1ml/h步进，具有自动和手动两种快推模式，实时显示快推入量，并且手动快推时每达到1ml整数时给与声音提示；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4.3.6  KVO功能：0-5ml/h，以0.1ml/h步进, 当速度设为0ml/h时默为关闭KVO模式；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4.3.7  自动识别注射器规格：5ml、10ml、20ml、30ml、50/60ml（5ml：0.1-100ml/h；10ml：0.1-200ml/h；20ml：0.1-400ml/h；30ml：0.1-600ml/h；50/60ml：0.1-1500ml/h）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4.3.8  支持并自动识显示屏，同屏显示流速、液量、压力、药物名称等各种信息；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4.3.9  具有ml/h速率模式，在同一个操作界面中即可快速完成流速、时间-容量和流速-容量三种输液模式参数的设置，无需翻页选择模式操作，方便快捷；</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4.3.10 分低级、中级、高级三级报警，并给以声光提示，同时图文并茂地显示具体报警信息，直观易懂；</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4.3.11 报警信息：预置量接近完成、注射器接近排空、预置量完成、注射器排空、管路阻塞、、电池电量低、电池电量耗尽、电池脱落、网电源中断、注射器脱落、遗忘操作、待机时间结束、KVO完成；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4.3.12 具有三种注射模式可选：ml/h速率模式、体重模式、首剂量模式；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4.3.13 具有独立的电池仓，无需打开机壳即可更换电池；（提供图片）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4.3.14 电池持续运行时间≧12小时/5ml/h（全新电池满电状态下）；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4.3.15供电：AC 100V-240V，50/60Hz；</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4.3.16历史纪录功能：自动储存2000条的事件记录；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4.3.17药物库功能：支持药物名称显示(支持药物名称≥20条)；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4.3.18 品牌库：可存储注射器品牌≧200个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4.3.18多功能接口：具有type-C多功能接口，支持数据传输、护士呼叫、外接直流电；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4.3.19内置中文，全中文操作界面。</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单套配置清单：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1、工作站 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2、输液泵 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3、注射泵 5台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4、支架   1个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bookmarkStart w:id="4" w:name="_GoBack"/>
      <w:bookmarkEnd w:id="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输注工作站</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输注工作站</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工作站</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输液泵</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注射泵</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支架</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如双方在履行本合同过程中发生争议，</w:t>
      </w:r>
      <w:r>
        <w:rPr>
          <w:rFonts w:hint="eastAsia" w:ascii="宋体" w:hAnsi="宋体" w:eastAsia="宋体" w:cs="宋体"/>
          <w:color w:val="auto"/>
          <w:sz w:val="24"/>
          <w:szCs w:val="24"/>
          <w:lang w:val="en-US" w:eastAsia="zh-CN"/>
        </w:rPr>
        <w:t>应先协商解决，协商解决不成的，</w:t>
      </w:r>
      <w:r>
        <w:rPr>
          <w:rFonts w:hint="eastAsia" w:ascii="宋体" w:hAnsi="宋体" w:eastAsia="宋体" w:cs="宋体"/>
          <w:color w:val="FF0000"/>
          <w:sz w:val="24"/>
          <w:szCs w:val="24"/>
          <w:lang w:val="en-US" w:eastAsia="zh-CN"/>
        </w:rPr>
        <w:t>任何一方可向甲方所在地有管辖权的人民法院提起诉讼解决。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4D32D00"/>
    <w:rsid w:val="15060AC8"/>
    <w:rsid w:val="15675A4C"/>
    <w:rsid w:val="17F91BB8"/>
    <w:rsid w:val="1AF56B46"/>
    <w:rsid w:val="1E79119D"/>
    <w:rsid w:val="1F334F58"/>
    <w:rsid w:val="1F796B24"/>
    <w:rsid w:val="1FE73549"/>
    <w:rsid w:val="2038045E"/>
    <w:rsid w:val="20B41DA7"/>
    <w:rsid w:val="272B6E6C"/>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48168F0"/>
    <w:rsid w:val="583A4BD7"/>
    <w:rsid w:val="59C74B1F"/>
    <w:rsid w:val="611B6B1B"/>
    <w:rsid w:val="64133D6A"/>
    <w:rsid w:val="678E4F5D"/>
    <w:rsid w:val="680E122C"/>
    <w:rsid w:val="6DE375E4"/>
    <w:rsid w:val="6E8E5287"/>
    <w:rsid w:val="6FBE332C"/>
    <w:rsid w:val="71554367"/>
    <w:rsid w:val="71584067"/>
    <w:rsid w:val="735201FF"/>
    <w:rsid w:val="737B50A4"/>
    <w:rsid w:val="73F40E72"/>
    <w:rsid w:val="74566F5C"/>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2024-03-04T07:57:58Z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