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（眼前节综合分析仪医院公开挂网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眼前节综合分析仪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眼前节综合分析仪</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眼前节综合分析仪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37.6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1.显微镜类型：平行夹角式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2.目镜：12.5X  水平联动装置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3.显微镜总倍率：6X  10X  16X  25X  40X五种放大倍率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4.视场直径：φ37  φ23  φ14  φ8.7  φ5.7mm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5.屈光度调节：+7D -7D</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6.裂隙高度： 0mm ～ 14mm连续可调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7.裂隙宽度： 1mm ～ 14mm连续可调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8.光斑直径：φ10、φ8、φ5、φ3、φ0.2（mm）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9.裂隙角度：0 °~180° 可旋转</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10.裂隙前倾：0 °5° 10° 15° 20°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11.放大率：≥0.7 X</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12.滤光片：隔热片、减光片、无赤片、钴蓝片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13.光亮度调 节：五级调光</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14.输入电压：110V/220V±10%   60 Hz /50Hz±10%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15.输入功率：60W</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16.光学分辨率：1800.N线对/MM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17.光源：</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白色LED/红外LED/钴蓝LED。</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18.placido环：23环，只有一个环，一体上挂式干眼检查装置（无外置电源线连接，装置一体化整体设计，不需要部件组合拆卸更换）</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19.报告单自动生成，左边图片，右边诊断结果和参考值。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20.角膜染色观察：评估角膜上皮完整性，检查角膜炎症或黏蛋白缺乏型干眼。</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21.泪膜破裂时间测量：可见光/红外光双模式拍，红外照明无刺激，非浸入自动测量泪膜破裂时间，并计算平均破裂时间，红外线观察，病人无任何刺激，检查数据准确。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22.干眼检查曲线进展图，实时跟进干眼治疗进展,呈现不同时段数据变</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化，便于医师追踪患者治疗进展，并且进行患者慢性病管理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23.睑板腺缺失量化分析：可通过红外线拍睑板腺，无刺激患者舒适度好，自动计算睑板腺缺失百分比，诊断睑板腺功能障碍，睑板腺不仅看到腺体同时看到腺泡，清晰度高，更有利于医生诊断。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24.睑缘分析：观察睑缘病变和腺体开口变化，结合脂质层分泌与睑板腺缺失综合诊断MGD。可光学变倍拍照，图像尺寸：5184x3455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25.眼红分析：高清拍摄结膜血管的图像，通过与分级量化模版比对，评估结膜充血与睫状充血的严重程度，眼红国际标准分级。</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26.泪河高度测量：可见光/红外光双模式拍照，红外照明无刺激，可光学变倍拍照，非侵入式泪河高度测量，泪河高度自动测量功能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27.眼前节检查：五种光学变倍拍摄，能够进行角膜横经、瞳孔直径以及角膜、晶体、玻璃体等项目检查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28.高清相机：外挂式单反数码相机（非CCD），像素≥2400万像素</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29.脂质层等级评估：自动/手动双模式分析，自动观察脂质层色彩、分部均匀度及流动性，脂质层定量分析，可以测量出平均纳米厚度，不完全眨眼频率分析，可以测量20秒内眼睑不完全闭合次数。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30.配置同步闪光照明补偿系统，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31.高分辨率彩色喷墨打印机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32裂隙灯眼表检测系统软件：眼前节各部位照相和6项干眼项目一个软件可实现全部功能，勿需调用切换不同软件；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33、检查报告输出模式：6项干眼项目检查结果可在一张报告单上同时体现（软件一键打印报告，不需要复制粘贴），也可以分项目选择组合一键打印；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34、无线型裂隙灯光学体：照明电源线，相机数据线，拍摄控制线均隐藏在光学体内。</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35.具备DICOM3.0接口，可接入医院HIS系统，PACS系统 ，接口费由经销商承担。</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医院公开挂网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眼前节综合分析仪</w:t>
      </w:r>
      <w:r>
        <w:rPr>
          <w:rFonts w:hint="eastAsia" w:ascii="宋体" w:hAnsi="宋体" w:eastAsia="宋体" w:cs="宋体"/>
          <w:color w:val="000000" w:themeColor="text1"/>
          <w:sz w:val="24"/>
          <w:szCs w:val="24"/>
          <w:lang w:val="en-US" w:eastAsia="zh-CN"/>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u w:val="single"/>
          <w:lang w:val="en-US" w:eastAsia="zh-CN"/>
          <w14:textFill>
            <w14:solidFill>
              <w14:schemeClr w14:val="tx1"/>
            </w14:solidFill>
          </w14:textFill>
        </w:rPr>
        <w:t>眼前节综合分析仪</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眼前节综合分析仪</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1.3 本合同约定价格包括且不限于设计费、材料费、人工费、安装费、包装费、运输费、装卸费、调试费、检测、检验费、接口费、税费、保险费、售后服务费等在内所有费用。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1.4，设备接入甲方HIS系统、PACS系统的接口费由乙方负责。</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 </w:t>
      </w:r>
      <w:r>
        <w:rPr>
          <w:rFonts w:hint="default" w:ascii="宋体" w:hAnsi="宋体" w:eastAsia="宋体" w:cs="宋体"/>
          <w:color w:val="000000" w:themeColor="text1"/>
          <w:sz w:val="24"/>
          <w:szCs w:val="24"/>
          <w:lang w:val="en-US" w:eastAsia="zh-CN"/>
          <w14:textFill>
            <w14:solidFill>
              <w14:schemeClr w14:val="tx1"/>
            </w14:solidFill>
          </w14:textFill>
        </w:rPr>
        <w:t>交货时间：乙方应在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地点，并</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default"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质量标准：乙方提供设备的质量、安装应符合或优于国家标准；如响应文件中的技术参数和质量标准高于国家标准，则设备的技术参数和质量标准以响应文件为准。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4.6.1 甲方的文书送达地址：娄底市中心医院（湖南省娄底市娄星区长青中街51号）；联系人：</w:t>
      </w:r>
      <w:r>
        <w:rPr>
          <w:rFonts w:hint="eastAsia" w:ascii="宋体" w:hAnsi="宋体" w:eastAsia="宋体" w:cs="宋体"/>
          <w:color w:val="000000" w:themeColor="text1"/>
          <w:sz w:val="24"/>
          <w:szCs w:val="24"/>
          <w:u w:val="single"/>
          <w:lang w:val="en-US" w:eastAsia="zh-CN"/>
          <w14:textFill>
            <w14:solidFill>
              <w14:schemeClr w14:val="tx1"/>
            </w14:solidFill>
          </w14:textFill>
        </w:rPr>
        <w:t>朱振宇</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15673845559 </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4.6.2 乙方的文书送达地址</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5.2 </w:t>
      </w:r>
      <w:r>
        <w:rPr>
          <w:rFonts w:hint="eastAsia" w:ascii="宋体" w:hAnsi="宋体" w:eastAsia="宋体" w:cs="宋体"/>
          <w:color w:val="000000" w:themeColor="text1"/>
          <w:sz w:val="24"/>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lang w:val="en-US" w:eastAsia="zh-CN"/>
          <w14:textFill>
            <w14:solidFill>
              <w14:schemeClr w14:val="tx1"/>
            </w14:solidFill>
          </w14:textFill>
        </w:rPr>
        <w:t>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24小时内响应</w:t>
      </w:r>
      <w:r>
        <w:rPr>
          <w:rFonts w:hint="eastAsia" w:ascii="宋体" w:hAnsi="宋体" w:eastAsia="宋体" w:cs="宋体"/>
          <w:color w:val="000000" w:themeColor="text1"/>
          <w:sz w:val="24"/>
          <w:szCs w:val="24"/>
          <w:lang w:val="en-US" w:eastAsia="zh-CN"/>
          <w14:textFill>
            <w14:solidFill>
              <w14:schemeClr w14:val="tx1"/>
            </w14:solidFill>
          </w14:textFill>
        </w:rPr>
        <w:t>，响应后4小时上门服务，相关费用由乙方承担。如乙方不及时履行保修义务，甲方有权委托第三方进行维修，由此产生的相关费用，在支付价款中予以扣除或要求乙方支付对应货物价款。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24小时内响应</w:t>
      </w:r>
      <w:r>
        <w:rPr>
          <w:rFonts w:hint="eastAsia" w:ascii="宋体" w:hAnsi="宋体" w:eastAsia="宋体" w:cs="宋体"/>
          <w:color w:val="000000" w:themeColor="text1"/>
          <w:sz w:val="24"/>
          <w:szCs w:val="24"/>
          <w:lang w:val="en-US" w:eastAsia="zh-CN"/>
          <w14:textFill>
            <w14:solidFill>
              <w14:schemeClr w14:val="tx1"/>
            </w14:solidFill>
          </w14:textFill>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年的10个工作日内，免息支付结算总价款的10%。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 乙方出现以下违约情形之一的，甲方有权拒绝支付任何价款并解除合同</w:t>
      </w:r>
      <w:r>
        <w:rPr>
          <w:rFonts w:hint="eastAsia" w:ascii="宋体" w:hAnsi="宋体" w:eastAsia="宋体" w:cs="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8.2.1 乙方逾期</w:t>
      </w:r>
      <w:r>
        <w:rPr>
          <w:rFonts w:hint="eastAsia" w:ascii="宋体" w:hAnsi="宋体" w:eastAsia="宋体" w:cs="宋体"/>
          <w:color w:val="000000" w:themeColor="text1"/>
          <w:sz w:val="24"/>
          <w:szCs w:val="24"/>
          <w:u w:val="single"/>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如双方本合同履行中发生争议，双方应先协商解决，协商解决不成的，任何一方可向甲方所在地有管辖权的人民法院提起诉讼。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4D32D00"/>
    <w:rsid w:val="15060AC8"/>
    <w:rsid w:val="15675A4C"/>
    <w:rsid w:val="17F91BB8"/>
    <w:rsid w:val="1AF56B46"/>
    <w:rsid w:val="1E79119D"/>
    <w:rsid w:val="1F334F58"/>
    <w:rsid w:val="1F796B24"/>
    <w:rsid w:val="1FE73549"/>
    <w:rsid w:val="2038045E"/>
    <w:rsid w:val="20B41DA7"/>
    <w:rsid w:val="272B6E6C"/>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42795A"/>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48168F0"/>
    <w:rsid w:val="583A4BD7"/>
    <w:rsid w:val="59C74B1F"/>
    <w:rsid w:val="611B6B1B"/>
    <w:rsid w:val="64133D6A"/>
    <w:rsid w:val="678E4F5D"/>
    <w:rsid w:val="680E122C"/>
    <w:rsid w:val="6DE375E4"/>
    <w:rsid w:val="6E8E5287"/>
    <w:rsid w:val="6FBE332C"/>
    <w:rsid w:val="71554367"/>
    <w:rsid w:val="71584067"/>
    <w:rsid w:val="735201FF"/>
    <w:rsid w:val="737B50A4"/>
    <w:rsid w:val="73F40E72"/>
    <w:rsid w:val="74566F5C"/>
    <w:rsid w:val="750117A8"/>
    <w:rsid w:val="755B2270"/>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2024-03-05T01:04:00Z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