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（前庭功能检查系统（眼震视图仪）及眼震检查目镜医院公开挂网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前庭功能检查系统（眼震视图仪）及眼震检查目镜</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前庭功能检查系统（眼震视图仪）及眼震检查目镜</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七、标书要求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color w:val="auto"/>
          <w:sz w:val="44"/>
          <w:szCs w:val="44"/>
          <w:lang w:val="en-US" w:eastAsia="zh-CN"/>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前庭功能检查系统（眼震视图仪）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40</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眼震检查目镜</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9</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前庭功能检查系统（眼震视图仪）技术参数：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1.摄像头眼罩</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1.1.摄像头：左、右双摄像头，USB2.0传输，自动居中眼球位置；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1.2.通道：≥4通道；</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1.3.采样率：双眼测试≥100 帧/秒，捕获分辨率：≥320x240像素，100帧/秒；</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1.4.眼球追踪范围：水平±45º /垂直±25，追踪精确度：约0.33º；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1.5.眼罩: 自带遮光板及固视灯，开始/停止远程控制按钮；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1.6.红外LED灯红外照度：≥950nm，1.5 mw/cm²，双眼，各1个；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1.7.眼罩重量：≤350g （含遮光板）；</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1.8.可通过脚踏开关和遥控器控制远程控制软件；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2.冷热气刺激器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2.1.输出气流速度：大于等于8-12升 (固定流速)；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2.2.冷气输出空气温度：20到30°C（递进1°C增量）；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2.3.热气输出空气温度</w:t>
      </w:r>
      <w:bookmarkStart w:id="4" w:name="_GoBack"/>
      <w:bookmarkEnd w:id="4"/>
      <w:r>
        <w:rPr>
          <w:rFonts w:hint="eastAsia" w:asciiTheme="minorEastAsia" w:hAnsiTheme="minorEastAsia" w:eastAsiaTheme="minorEastAsia" w:cstheme="minorEastAsia"/>
          <w:b w:val="0"/>
          <w:bCs/>
          <w:color w:val="auto"/>
          <w:kern w:val="0"/>
          <w:sz w:val="24"/>
          <w:szCs w:val="24"/>
          <w:lang w:val="en-US" w:eastAsia="zh-CN" w:bidi="ar-SA"/>
        </w:rPr>
        <w:t>：40到50°C（递进1°C增量）；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2.4.温度精确度：± 0.5°C，气流稳定性：± 0.5升/分钟；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2.5.空气软管长度：≥3米，达到设置温度：＜3分钟；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2.6.耳窥镜直径：2.75、4.25 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2.7.可通过VNG软件控制冷热刺激器；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3.操作软件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测试项目包括但不限于：视频Frenzel、自发性眼震试验、凝视试验、扫视试验、平稳跟踪试验、视动性眼震试验、双温冷热试验、单温热筛查试验、静态位置试验、动态位置试验、瘘管试验、摇头试验、（需搭配转椅进行的测试）正弦谐波加速试验(SHA)、速度步进试验(STEP)、VOR抑制试验(VORS)、视觉VOR试验(VVOR)</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3.2.软件可分析温度试验的眼震峰值并由此进行自动固视抑制；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3.3.自发性眼震试验增加固视灯，无需反复移开遮光板观察眼震；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3.4.实时记录，实时分析，允许操作者提前关注异常表现；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3.5.自定义不同目的的测试序列，测试前可一键加载；测试组合可复制、导出或导入，轻松迁移，建立更高效的工作流程；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3.6.可在测试管理里更改参数作为默认设置，也可在测试界面临时更改测试参数；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3.7.可以通过遥控器、眼罩或脚踏远程控制软件；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3.8.内置房间摄像功能，在软件内查看房间视频，可记录患者情况和有声音的视频，</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3.9.≥55寸高清液晶显示器，全视野刺激，非眼动测试时全屏显示眼球图像；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3.10.软件提供自动和手动分析功能：自动分析模式以不同符号标识出正常和异常结果；手动模式可手动添加或删除眼震，调整受到干扰的眼震波斜率，并选择分析区域，即编辑测试结果，数据显示时间窗及波形纵横比例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3.11.内置语音助理，可选择语音、蜂鸣声或两者都选进行时间提示，并且可以选择计时或倒计时；还可以在位置试验时进行提示；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3.12.每个测试项目均可单独录制视频，并在软件回顾界面内打开；</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3.13.测试视频支持连续播放和逐帧播放，显示瞳孔十字准线，同步显示对应的原始波形。视频可以AVI格式输出，以供谘询或教学之用，连同视频录制的音频支持各种声音文件格式；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3.14.操作界面支持中文、英文等多国语言；</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3.15.兼容数据库，整合纯音测听、阻抗测试、诱发电位等测试结果，可实现自动联网上传、随时随地共享数据等功能；</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可自定义报告模板，无数量限制；自动将数据库中的患者信息字段导入报告，避免反复录入信息的繁琐；可打印详细的彩色报告，并导出成PDF文件。</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1.摄像头眼罩                       1个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2.冷热气刺激器                     1台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3.遥控器                           1个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4.软件和语言包                     1套</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5.操作手册                         1本</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6.触屏一体机电脑及打印机           1套</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7.55寸液晶显示器                  1台</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眼震检查目镜技术参数：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1.眼震症状检查。</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1.1.具备多种显示功能，单眼双眼图像显示。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1.2.视频数据传输，可通过存储卡或目镜主机连接电脑两种方式，进行数据传输。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1.3.支持视频录制、拍照、暂停、快进、快退、回放等功能。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1.4.目镜有触摸屏及物理按健两种操作模式，便于医生操作和佩戴者自行操作；具备眼震“Holter”的便携实用性。</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1.5.机身自带≥64GB存储卡，医生或患者可自行装卸存储卡，通过电脑随时传输、查看采集的数据。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1.6.具备临床辅助检查功能，可做BPPV、自发性试验、冷热试验。</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2.机身集成type-c接口、micro-USB接口、micro-HDMI接口，电池可装卸</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3.采集数据兼容Windows 、Android系统，具有直接识别功能。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4.目镜可外接扩展投影、电视显示，方便教学使用。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5.预留电子耳镜接口，（电子耳镜为非标配件），无需安装软件可自动切换至电子耳镜模式。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6.超长续航180小时。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7.内置双固视灯，可直接评估生理性/病理性眼震，可设置固视灯的开启侧别、开启时间及设置实时固视灯导航。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8.内嵌微型高清红外摄像头，提供实时高清双眼眼动视频。</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9.具备延时录制、延时拍照、开机自动录制功能，一键调节屏幕亮度、对比度、省电模式。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10.可远程查看患者视频/照片记录的结果，并做出快速诊断。</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11.目镜具有独立相对应型号的医疗器械注册证或备案证。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12.提供目镜独立相对应型号主要部分的检测报告。</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1.主目镜</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副</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2.头部固定带</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条</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3.眼罩</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5</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片</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4.储存卡</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张</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5.读卡器</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个</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6.擦镜布</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块</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7.除尘纸</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4</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片</w:t>
      </w:r>
      <w:r>
        <w:rPr>
          <w:rFonts w:hint="eastAsia" w:asciiTheme="minorEastAsia" w:hAnsiTheme="minorEastAsia" w:eastAsiaTheme="minorEastAsia" w:cstheme="minorEastAsia"/>
          <w:b w:val="0"/>
          <w:bCs/>
          <w:color w:val="auto"/>
          <w:kern w:val="0"/>
          <w:sz w:val="24"/>
          <w:szCs w:val="24"/>
          <w:lang w:val="en-US" w:eastAsia="zh-CN" w:bidi="ar-SA"/>
        </w:rPr>
        <w:tab/>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8.手提箱</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个</w:t>
      </w:r>
      <w:r>
        <w:rPr>
          <w:rFonts w:hint="eastAsia" w:asciiTheme="minorEastAsia" w:hAnsiTheme="minorEastAsia" w:eastAsiaTheme="minorEastAsia" w:cstheme="minorEastAsia"/>
          <w:b w:val="0"/>
          <w:bCs/>
          <w:color w:val="auto"/>
          <w:kern w:val="0"/>
          <w:sz w:val="24"/>
          <w:szCs w:val="24"/>
          <w:lang w:val="en-US" w:eastAsia="zh-CN" w:bidi="ar-SA"/>
        </w:rPr>
        <w:tab/>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前庭功能检查系统（眼震视图仪）及眼震检查目镜</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前庭功能检查系统（眼震视图仪）及眼震检查目镜</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前庭功能检查系统</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眼震检查目镜</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pP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pP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1.3 本合同</w:t>
      </w:r>
      <w:r>
        <w:rPr>
          <w:rFonts w:hint="eastAsia" w:ascii="宋体" w:hAnsi="宋体" w:eastAsia="宋体" w:cs="宋体"/>
          <w:color w:val="0000FF"/>
          <w:sz w:val="24"/>
          <w:szCs w:val="24"/>
          <w:lang w:val="en-US" w:eastAsia="zh-CN"/>
        </w:rPr>
        <w:t>设备接入甲方HIS系统、Lis系统、PACS系统的接口费由乙方负责。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en-US" w:eastAsia="zh-CN"/>
        </w:rPr>
        <w:t>本合同约定价格包括且不限于设计费、材料费、人工费、安装费、包装费、运输费、装卸费、</w:t>
      </w:r>
      <w:r>
        <w:rPr>
          <w:rFonts w:hint="eastAsia" w:ascii="宋体" w:hAnsi="宋体" w:cs="宋体"/>
          <w:color w:val="auto"/>
          <w:sz w:val="24"/>
          <w:szCs w:val="24"/>
          <w:lang w:val="en-US" w:eastAsia="zh-CN"/>
        </w:rPr>
        <w:t>接口费、</w:t>
      </w:r>
      <w:r>
        <w:rPr>
          <w:rFonts w:hint="eastAsia" w:ascii="宋体" w:hAnsi="宋体" w:eastAsia="宋体" w:cs="宋体"/>
          <w:color w:val="auto"/>
          <w:sz w:val="24"/>
          <w:szCs w:val="24"/>
          <w:lang w:val="en-US" w:eastAsia="zh-CN"/>
        </w:rPr>
        <w:t xml:space="preserve">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3D976C5"/>
    <w:rsid w:val="04653F41"/>
    <w:rsid w:val="04B72FC8"/>
    <w:rsid w:val="06E91EC4"/>
    <w:rsid w:val="0A3F4F3C"/>
    <w:rsid w:val="0E331420"/>
    <w:rsid w:val="0EDD1643"/>
    <w:rsid w:val="10914EF9"/>
    <w:rsid w:val="12080B62"/>
    <w:rsid w:val="12994AC5"/>
    <w:rsid w:val="129F447F"/>
    <w:rsid w:val="12C86253"/>
    <w:rsid w:val="15060AC8"/>
    <w:rsid w:val="15675A4C"/>
    <w:rsid w:val="15C12BFE"/>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2F991373"/>
    <w:rsid w:val="302741D2"/>
    <w:rsid w:val="308B184D"/>
    <w:rsid w:val="31FE37F9"/>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EBE7660"/>
    <w:rsid w:val="6FBE332C"/>
    <w:rsid w:val="71554367"/>
    <w:rsid w:val="71584067"/>
    <w:rsid w:val="735201FF"/>
    <w:rsid w:val="737B50A4"/>
    <w:rsid w:val="74566F5C"/>
    <w:rsid w:val="750117A8"/>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2024-03-20T01:01:51Z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