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snapToGrid w:val="0"/>
        <w:jc w:val="center"/>
        <w:rPr>
          <w:rFonts w:ascii="Arial" w:hAnsi="Arial" w:eastAsia="方正小标宋简体" w:cs="Arial"/>
          <w:color w:val="auto"/>
          <w:sz w:val="72"/>
          <w:szCs w:val="72"/>
        </w:rPr>
      </w:pPr>
      <w:bookmarkStart w:id="0" w:name="_Toc16523570"/>
    </w:p>
    <w:p>
      <w:pPr>
        <w:pStyle w:val="17"/>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7"/>
        <w:snapToGrid w:val="0"/>
        <w:jc w:val="center"/>
        <w:rPr>
          <w:rFonts w:ascii="Arial" w:hAnsi="Arial" w:eastAsia="方正小标宋简体" w:cs="Arial"/>
          <w:sz w:val="72"/>
          <w:szCs w:val="72"/>
        </w:rPr>
      </w:pPr>
    </w:p>
    <w:p>
      <w:pPr>
        <w:pStyle w:val="17"/>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7"/>
        <w:snapToGrid w:val="0"/>
        <w:jc w:val="center"/>
        <w:rPr>
          <w:rFonts w:ascii="Arial" w:hAnsi="Arial" w:eastAsia="方正小标宋简体" w:cs="Arial"/>
          <w:sz w:val="72"/>
          <w:szCs w:val="72"/>
        </w:rPr>
      </w:pPr>
    </w:p>
    <w:p>
      <w:pPr>
        <w:pStyle w:val="17"/>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7"/>
        <w:snapToGrid w:val="0"/>
        <w:jc w:val="center"/>
        <w:rPr>
          <w:rFonts w:ascii="Arial" w:hAnsi="Arial" w:eastAsia="方正小标宋简体" w:cs="Arial"/>
          <w:sz w:val="72"/>
          <w:szCs w:val="72"/>
        </w:rPr>
      </w:pPr>
    </w:p>
    <w:p>
      <w:pPr>
        <w:pStyle w:val="17"/>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7"/>
        <w:snapToGrid w:val="0"/>
        <w:jc w:val="center"/>
        <w:rPr>
          <w:rFonts w:ascii="Arial" w:hAnsi="Arial" w:eastAsia="方正小标宋简体" w:cs="Arial"/>
          <w:sz w:val="72"/>
          <w:szCs w:val="72"/>
        </w:rPr>
      </w:pPr>
    </w:p>
    <w:p>
      <w:pPr>
        <w:pStyle w:val="17"/>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7"/>
        <w:snapToGrid w:val="0"/>
        <w:jc w:val="center"/>
        <w:rPr>
          <w:rFonts w:ascii="Arial" w:hAnsi="Arial" w:cs="Arial"/>
          <w:sz w:val="32"/>
          <w:szCs w:val="32"/>
        </w:rPr>
      </w:pPr>
    </w:p>
    <w:p>
      <w:pPr>
        <w:pStyle w:val="17"/>
        <w:snapToGrid w:val="0"/>
        <w:jc w:val="center"/>
        <w:rPr>
          <w:rFonts w:ascii="Arial" w:hAnsi="Arial" w:cs="Arial"/>
          <w:sz w:val="32"/>
          <w:szCs w:val="32"/>
        </w:rPr>
      </w:pPr>
    </w:p>
    <w:p>
      <w:pPr>
        <w:pStyle w:val="17"/>
        <w:snapToGrid w:val="0"/>
        <w:jc w:val="center"/>
        <w:rPr>
          <w:rFonts w:ascii="Arial" w:hAnsi="Arial" w:cs="Arial"/>
          <w:sz w:val="32"/>
          <w:szCs w:val="32"/>
        </w:rPr>
      </w:pPr>
    </w:p>
    <w:p>
      <w:pPr>
        <w:spacing w:line="360" w:lineRule="auto"/>
        <w:rPr>
          <w:rFonts w:hint="eastAsia"/>
          <w:bCs/>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ascii="宋体" w:hAnsi="宋体"/>
          <w:sz w:val="32"/>
          <w:szCs w:val="32"/>
          <w:lang w:eastAsia="zh-CN"/>
        </w:rPr>
        <w:t>娄底市中心医院年度零散广告设计制作服务</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w:t>
      </w:r>
      <w:r>
        <w:rPr>
          <w:rFonts w:hint="eastAsia" w:ascii="Times New Roman" w:hAnsi="Times New Roman" w:eastAsia="宋体" w:cs="Times New Roman"/>
          <w:b/>
          <w:bCs/>
          <w:kern w:val="44"/>
          <w:sz w:val="32"/>
          <w:szCs w:val="32"/>
          <w:lang w:val="en-US" w:eastAsia="zh-CN" w:bidi="ar-SA"/>
        </w:rPr>
        <w:t>院内招标）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四</w:t>
      </w:r>
      <w:r>
        <w:rPr>
          <w:rFonts w:hint="eastAsia" w:ascii="宋体" w:hAnsi="宋体" w:cs="宋体"/>
          <w:bCs/>
          <w:sz w:val="32"/>
          <w:szCs w:val="32"/>
        </w:rPr>
        <w:t>年</w:t>
      </w:r>
      <w:r>
        <w:rPr>
          <w:rFonts w:hint="eastAsia" w:ascii="宋体" w:hAnsi="宋体" w:cs="宋体"/>
          <w:bCs/>
          <w:sz w:val="32"/>
          <w:szCs w:val="32"/>
          <w:lang w:val="en-US" w:eastAsia="zh-CN"/>
        </w:rPr>
        <w:t>五</w:t>
      </w:r>
      <w:r>
        <w:rPr>
          <w:rFonts w:hint="eastAsia" w:ascii="宋体" w:hAnsi="宋体" w:cs="宋体"/>
          <w:bCs/>
          <w:sz w:val="32"/>
          <w:szCs w:val="32"/>
        </w:rPr>
        <w:t>月</w:t>
      </w:r>
    </w:p>
    <w:p>
      <w:pPr>
        <w:pStyle w:val="3"/>
        <w:numPr>
          <w:ilvl w:val="0"/>
          <w:numId w:val="0"/>
        </w:numPr>
        <w:spacing w:line="240" w:lineRule="auto"/>
        <w:ind w:leftChars="0"/>
        <w:jc w:val="both"/>
        <w:rPr>
          <w:rFonts w:hint="eastAsia" w:ascii="宋体" w:hAnsi="宋体" w:cs="宋体"/>
          <w:color w:val="auto"/>
          <w:sz w:val="44"/>
          <w:szCs w:val="44"/>
          <w:lang w:val="en-US" w:eastAsia="zh-CN"/>
        </w:rPr>
      </w:pPr>
    </w:p>
    <w:p>
      <w:pPr>
        <w:pStyle w:val="3"/>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7"/>
        <w:numPr>
          <w:ilvl w:val="0"/>
          <w:numId w:val="0"/>
        </w:numPr>
        <w:tabs>
          <w:tab w:val="left" w:pos="312"/>
        </w:tabs>
        <w:snapToGrid w:val="0"/>
        <w:spacing w:line="480" w:lineRule="auto"/>
        <w:ind w:firstLine="640" w:firstLineChars="200"/>
        <w:rPr>
          <w:rFonts w:hint="eastAsia" w:asciiTheme="minorEastAsia" w:hAnsiTheme="minorEastAsia" w:eastAsiaTheme="minorEastAsia" w:cstheme="minorEastAsia"/>
          <w:bCs/>
          <w:color w:val="auto"/>
          <w:sz w:val="28"/>
          <w:szCs w:val="28"/>
          <w:lang w:val="en-US" w:eastAsia="zh-CN"/>
        </w:rPr>
      </w:pPr>
      <w:r>
        <w:rPr>
          <w:rFonts w:hint="eastAsia" w:ascii="宋体" w:hAnsi="宋体"/>
          <w:sz w:val="32"/>
          <w:szCs w:val="32"/>
          <w:u w:val="single"/>
          <w:lang w:eastAsia="zh-CN"/>
        </w:rPr>
        <w:t>娄底市中心医院年度零散广告设计制作服务</w:t>
      </w:r>
      <w:r>
        <w:rPr>
          <w:rFonts w:hint="eastAsia" w:asciiTheme="minorEastAsia" w:hAnsiTheme="minorEastAsia" w:eastAsiaTheme="minorEastAsia" w:cstheme="minorEastAsia"/>
          <w:bCs/>
          <w:color w:val="auto"/>
          <w:sz w:val="28"/>
          <w:szCs w:val="28"/>
          <w:lang w:val="en-US" w:eastAsia="zh-CN"/>
        </w:rPr>
        <w:t>进行院内挂网招标，将招标事项公告如下：</w:t>
      </w:r>
    </w:p>
    <w:p>
      <w:pPr>
        <w:pStyle w:val="17"/>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pPr>
        <w:pStyle w:val="17"/>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宋体" w:hAnsi="宋体"/>
          <w:sz w:val="32"/>
          <w:szCs w:val="32"/>
          <w:u w:val="single"/>
          <w:lang w:eastAsia="zh-CN"/>
        </w:rPr>
        <w:t>娄底市中心医院年度零散广告设计制作服务</w:t>
      </w:r>
      <w:r>
        <w:rPr>
          <w:rFonts w:hint="eastAsia" w:asciiTheme="minorEastAsia" w:hAnsiTheme="minorEastAsia" w:eastAsiaTheme="minorEastAsia" w:cstheme="minorEastAsia"/>
          <w:b w:val="0"/>
          <w:bCs/>
          <w:color w:val="auto"/>
          <w:sz w:val="28"/>
          <w:szCs w:val="28"/>
          <w:lang w:val="en-US" w:eastAsia="zh-CN"/>
        </w:rPr>
        <w:t>采购项目</w:t>
      </w:r>
    </w:p>
    <w:p>
      <w:pPr>
        <w:pStyle w:val="17"/>
        <w:numPr>
          <w:ilvl w:val="0"/>
          <w:numId w:val="1"/>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pPr>
        <w:pStyle w:val="17"/>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1.院内公开挂网招标，根据投标人的资格性文件、商务标文件，重点参照投标人企业资质、信誉、类似项目情况、技术方案、服务方案以及投标报价，综合评定，综合得分由高到低排序。</w:t>
      </w:r>
    </w:p>
    <w:p>
      <w:pPr>
        <w:pStyle w:val="17"/>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p>
      <w:pPr>
        <w:pStyle w:val="17"/>
        <w:numPr>
          <w:ilvl w:val="0"/>
          <w:numId w:val="0"/>
        </w:numPr>
        <w:tabs>
          <w:tab w:val="left" w:pos="312"/>
        </w:tabs>
        <w:snapToGrid w:val="0"/>
        <w:spacing w:line="480" w:lineRule="auto"/>
        <w:ind w:firstLine="560" w:firstLineChars="200"/>
        <w:rPr>
          <w:rFonts w:hint="default" w:asciiTheme="minorEastAsia" w:hAnsiTheme="minorEastAsia" w:eastAsiaTheme="minorEastAsia" w:cstheme="minorEastAsia"/>
          <w:bCs/>
          <w:color w:val="auto"/>
          <w:sz w:val="28"/>
          <w:szCs w:val="28"/>
          <w:lang w:val="en-US" w:eastAsia="zh-CN" w:bidi="ar-SA"/>
        </w:rPr>
      </w:pPr>
      <w:r>
        <w:rPr>
          <w:rFonts w:hint="eastAsia" w:asciiTheme="minorEastAsia" w:hAnsiTheme="minorEastAsia" w:eastAsiaTheme="minorEastAsia" w:cstheme="minorEastAsia"/>
          <w:bCs/>
          <w:color w:val="auto"/>
          <w:sz w:val="28"/>
          <w:szCs w:val="28"/>
          <w:lang w:val="en-US" w:eastAsia="zh-CN" w:bidi="ar-SA"/>
        </w:rPr>
        <w:t>3.</w:t>
      </w:r>
      <w:r>
        <w:rPr>
          <w:rFonts w:hint="default" w:asciiTheme="minorEastAsia" w:hAnsiTheme="minorEastAsia" w:eastAsiaTheme="minorEastAsia" w:cstheme="minorEastAsia"/>
          <w:bCs/>
          <w:color w:val="auto"/>
          <w:sz w:val="28"/>
          <w:szCs w:val="28"/>
          <w:lang w:val="en-US" w:eastAsia="zh-CN" w:bidi="ar-SA"/>
        </w:rPr>
        <w:t>本次招标将确定2家中标单位，中标单位的选定将基于投标单位提交的综合评分进行排名。综合评分将综合考虑投标单位的技术实力、服务质量、经验业绩、价格因素等多方面内容。排名前两位的投标单位将成为中标单位，并按以下方式分配业务量份额：</w:t>
      </w:r>
    </w:p>
    <w:p>
      <w:pPr>
        <w:pStyle w:val="17"/>
        <w:numPr>
          <w:ilvl w:val="0"/>
          <w:numId w:val="0"/>
        </w:numPr>
        <w:tabs>
          <w:tab w:val="left" w:pos="312"/>
        </w:tabs>
        <w:snapToGrid w:val="0"/>
        <w:spacing w:line="480" w:lineRule="auto"/>
        <w:ind w:firstLine="560" w:firstLineChars="200"/>
        <w:rPr>
          <w:rFonts w:hint="default" w:asciiTheme="minorEastAsia" w:hAnsiTheme="minorEastAsia" w:eastAsiaTheme="minorEastAsia" w:cstheme="minorEastAsia"/>
          <w:bCs/>
          <w:color w:val="auto"/>
          <w:sz w:val="28"/>
          <w:szCs w:val="28"/>
          <w:lang w:val="en-US" w:eastAsia="zh-CN" w:bidi="ar-SA"/>
        </w:rPr>
      </w:pPr>
      <w:r>
        <w:rPr>
          <w:rFonts w:hint="default" w:asciiTheme="minorEastAsia" w:hAnsiTheme="minorEastAsia" w:eastAsiaTheme="minorEastAsia" w:cstheme="minorEastAsia"/>
          <w:bCs/>
          <w:color w:val="auto"/>
          <w:sz w:val="28"/>
          <w:szCs w:val="28"/>
          <w:lang w:val="en-US" w:eastAsia="zh-CN" w:bidi="ar-SA"/>
        </w:rPr>
        <w:t>综合得分第一的中标单位：将获得本次招标项目总份额的60%</w:t>
      </w:r>
      <w:r>
        <w:rPr>
          <w:rFonts w:hint="eastAsia" w:asciiTheme="minorEastAsia" w:hAnsiTheme="minorEastAsia" w:eastAsiaTheme="minorEastAsia" w:cstheme="minorEastAsia"/>
          <w:bCs/>
          <w:color w:val="auto"/>
          <w:sz w:val="28"/>
          <w:szCs w:val="28"/>
          <w:lang w:val="en-US" w:eastAsia="zh-CN" w:bidi="ar-SA"/>
        </w:rPr>
        <w:t>左右</w:t>
      </w:r>
      <w:r>
        <w:rPr>
          <w:rFonts w:hint="default" w:asciiTheme="minorEastAsia" w:hAnsiTheme="minorEastAsia" w:eastAsiaTheme="minorEastAsia" w:cstheme="minorEastAsia"/>
          <w:bCs/>
          <w:color w:val="auto"/>
          <w:sz w:val="28"/>
          <w:szCs w:val="28"/>
          <w:lang w:val="en-US" w:eastAsia="zh-CN" w:bidi="ar-SA"/>
        </w:rPr>
        <w:t>业务量。</w:t>
      </w:r>
    </w:p>
    <w:p>
      <w:pPr>
        <w:pStyle w:val="17"/>
        <w:numPr>
          <w:ilvl w:val="0"/>
          <w:numId w:val="0"/>
        </w:numPr>
        <w:tabs>
          <w:tab w:val="left" w:pos="312"/>
        </w:tabs>
        <w:snapToGrid w:val="0"/>
        <w:spacing w:line="480" w:lineRule="auto"/>
        <w:ind w:firstLine="560" w:firstLineChars="200"/>
        <w:rPr>
          <w:rFonts w:hint="default" w:asciiTheme="minorEastAsia" w:hAnsiTheme="minorEastAsia" w:eastAsiaTheme="minorEastAsia" w:cstheme="minorEastAsia"/>
          <w:bCs/>
          <w:color w:val="auto"/>
          <w:sz w:val="28"/>
          <w:szCs w:val="28"/>
          <w:lang w:val="en-US" w:eastAsia="zh-CN" w:bidi="ar-SA"/>
        </w:rPr>
      </w:pPr>
      <w:r>
        <w:rPr>
          <w:rFonts w:hint="default" w:asciiTheme="minorEastAsia" w:hAnsiTheme="minorEastAsia" w:eastAsiaTheme="minorEastAsia" w:cstheme="minorEastAsia"/>
          <w:bCs/>
          <w:color w:val="auto"/>
          <w:sz w:val="28"/>
          <w:szCs w:val="28"/>
          <w:lang w:val="en-US" w:eastAsia="zh-CN" w:bidi="ar-SA"/>
        </w:rPr>
        <w:t>综合得分第二的中标单位：将获得本次招标项目总份额的40%</w:t>
      </w:r>
      <w:r>
        <w:rPr>
          <w:rFonts w:hint="eastAsia" w:asciiTheme="minorEastAsia" w:hAnsiTheme="minorEastAsia" w:eastAsiaTheme="minorEastAsia" w:cstheme="minorEastAsia"/>
          <w:bCs/>
          <w:color w:val="auto"/>
          <w:sz w:val="28"/>
          <w:szCs w:val="28"/>
          <w:lang w:val="en-US" w:eastAsia="zh-CN" w:bidi="ar-SA"/>
        </w:rPr>
        <w:t>左右</w:t>
      </w:r>
      <w:r>
        <w:rPr>
          <w:rFonts w:hint="default" w:asciiTheme="minorEastAsia" w:hAnsiTheme="minorEastAsia" w:eastAsiaTheme="minorEastAsia" w:cstheme="minorEastAsia"/>
          <w:bCs/>
          <w:color w:val="auto"/>
          <w:sz w:val="28"/>
          <w:szCs w:val="28"/>
          <w:lang w:val="en-US" w:eastAsia="zh-CN" w:bidi="ar-SA"/>
        </w:rPr>
        <w:t>业务量。</w:t>
      </w:r>
    </w:p>
    <w:p>
      <w:pPr>
        <w:pStyle w:val="17"/>
        <w:numPr>
          <w:ilvl w:val="0"/>
          <w:numId w:val="0"/>
        </w:numPr>
        <w:tabs>
          <w:tab w:val="left" w:pos="312"/>
        </w:tabs>
        <w:snapToGrid w:val="0"/>
        <w:spacing w:line="480" w:lineRule="auto"/>
        <w:ind w:firstLine="562" w:firstLineChars="200"/>
        <w:rPr>
          <w:rFonts w:hint="default" w:asciiTheme="minorEastAsia" w:hAnsiTheme="minorEastAsia" w:eastAsiaTheme="minorEastAsia" w:cstheme="minorEastAsia"/>
          <w:b/>
          <w:bCs w:val="0"/>
          <w:color w:val="auto"/>
          <w:sz w:val="28"/>
          <w:szCs w:val="28"/>
          <w:lang w:val="en-US" w:eastAsia="zh-CN" w:bidi="ar-SA"/>
        </w:rPr>
      </w:pPr>
      <w:r>
        <w:rPr>
          <w:rFonts w:hint="default" w:asciiTheme="minorEastAsia" w:hAnsiTheme="minorEastAsia" w:eastAsiaTheme="minorEastAsia" w:cstheme="minorEastAsia"/>
          <w:b/>
          <w:bCs w:val="0"/>
          <w:color w:val="auto"/>
          <w:sz w:val="28"/>
          <w:szCs w:val="28"/>
          <w:lang w:val="en-US" w:eastAsia="zh-CN" w:bidi="ar-SA"/>
        </w:rPr>
        <w:t>注意事项：</w:t>
      </w:r>
    </w:p>
    <w:p>
      <w:pPr>
        <w:pStyle w:val="17"/>
        <w:numPr>
          <w:ilvl w:val="0"/>
          <w:numId w:val="0"/>
        </w:numPr>
        <w:tabs>
          <w:tab w:val="left" w:pos="312"/>
        </w:tabs>
        <w:snapToGrid w:val="0"/>
        <w:spacing w:line="480" w:lineRule="auto"/>
        <w:ind w:firstLine="560" w:firstLineChars="200"/>
        <w:rPr>
          <w:rFonts w:hint="default" w:asciiTheme="minorEastAsia" w:hAnsiTheme="minorEastAsia" w:eastAsiaTheme="minorEastAsia" w:cstheme="minorEastAsia"/>
          <w:bCs/>
          <w:color w:val="auto"/>
          <w:sz w:val="28"/>
          <w:szCs w:val="28"/>
          <w:lang w:val="en-US" w:eastAsia="zh-CN" w:bidi="ar-SA"/>
        </w:rPr>
      </w:pPr>
      <w:r>
        <w:rPr>
          <w:rFonts w:hint="default" w:asciiTheme="minorEastAsia" w:hAnsiTheme="minorEastAsia" w:eastAsiaTheme="minorEastAsia" w:cstheme="minorEastAsia"/>
          <w:bCs/>
          <w:color w:val="auto"/>
          <w:sz w:val="28"/>
          <w:szCs w:val="28"/>
          <w:lang w:val="en-US" w:eastAsia="zh-CN" w:bidi="ar-SA"/>
        </w:rPr>
        <w:t>投标单位在提交投标文件时，应确保所提供的资料真实、准确、完整，并符合招标文件的要求。</w:t>
      </w:r>
    </w:p>
    <w:p>
      <w:pPr>
        <w:pStyle w:val="17"/>
        <w:numPr>
          <w:ilvl w:val="0"/>
          <w:numId w:val="0"/>
        </w:numPr>
        <w:tabs>
          <w:tab w:val="left" w:pos="312"/>
        </w:tabs>
        <w:snapToGrid w:val="0"/>
        <w:spacing w:line="480" w:lineRule="auto"/>
        <w:ind w:firstLine="560" w:firstLineChars="200"/>
        <w:rPr>
          <w:rFonts w:hint="default" w:asciiTheme="minorEastAsia" w:hAnsiTheme="minorEastAsia" w:eastAsiaTheme="minorEastAsia" w:cstheme="minorEastAsia"/>
          <w:bCs/>
          <w:color w:val="auto"/>
          <w:sz w:val="28"/>
          <w:szCs w:val="28"/>
          <w:lang w:val="en-US" w:eastAsia="zh-CN" w:bidi="ar-SA"/>
        </w:rPr>
      </w:pPr>
      <w:r>
        <w:rPr>
          <w:rFonts w:hint="default" w:asciiTheme="minorEastAsia" w:hAnsiTheme="minorEastAsia" w:eastAsiaTheme="minorEastAsia" w:cstheme="minorEastAsia"/>
          <w:bCs/>
          <w:color w:val="auto"/>
          <w:sz w:val="28"/>
          <w:szCs w:val="28"/>
          <w:lang w:val="en-US" w:eastAsia="zh-CN" w:bidi="ar-SA"/>
        </w:rPr>
        <w:t>中标单位在获得业务量份额后，需严格遵守合同约定，按时按质完成项目工作，否则将承担相应的违约责任。</w:t>
      </w:r>
    </w:p>
    <w:p>
      <w:pPr>
        <w:pStyle w:val="17"/>
        <w:numPr>
          <w:ilvl w:val="0"/>
          <w:numId w:val="0"/>
        </w:numPr>
        <w:tabs>
          <w:tab w:val="left" w:pos="312"/>
        </w:tabs>
        <w:snapToGrid w:val="0"/>
        <w:spacing w:line="480" w:lineRule="auto"/>
        <w:ind w:firstLine="560" w:firstLineChars="200"/>
        <w:rPr>
          <w:rFonts w:hint="default" w:asciiTheme="minorEastAsia" w:hAnsiTheme="minorEastAsia" w:eastAsiaTheme="minorEastAsia" w:cstheme="minorEastAsia"/>
          <w:bCs/>
          <w:color w:val="auto"/>
          <w:sz w:val="28"/>
          <w:szCs w:val="28"/>
          <w:lang w:val="en-US" w:eastAsia="zh-CN" w:bidi="ar-SA"/>
        </w:rPr>
      </w:pPr>
      <w:r>
        <w:rPr>
          <w:rFonts w:hint="default" w:asciiTheme="minorEastAsia" w:hAnsiTheme="minorEastAsia" w:eastAsiaTheme="minorEastAsia" w:cstheme="minorEastAsia"/>
          <w:bCs/>
          <w:color w:val="auto"/>
          <w:sz w:val="28"/>
          <w:szCs w:val="28"/>
          <w:lang w:val="en-US" w:eastAsia="zh-CN" w:bidi="ar-SA"/>
        </w:rPr>
        <w:t>招标单位保留对中标单位进行资格后审的权利，如发现中标单位在投标过程中存在虚假陈述、欺诈行为或其他不符合招标文件要求的情形，招标单位有权取消其中标资格，并追究其法律责任。</w:t>
      </w:r>
    </w:p>
    <w:bookmarkEnd w:id="0"/>
    <w:p>
      <w:pPr>
        <w:pStyle w:val="17"/>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三、投标人资格要求</w:t>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sz w:val="28"/>
          <w:szCs w:val="28"/>
          <w:lang w:val="en-US" w:eastAsia="zh-CN"/>
        </w:rPr>
        <w:t xml:space="preserve">   </w:t>
      </w:r>
      <w:r>
        <w:rPr>
          <w:rFonts w:hint="eastAsia" w:asciiTheme="minorEastAsia" w:hAnsiTheme="minorEastAsia" w:eastAsiaTheme="minorEastAsia" w:cstheme="minorEastAsia"/>
          <w:bCs/>
          <w:color w:val="auto"/>
          <w:kern w:val="0"/>
          <w:sz w:val="28"/>
          <w:szCs w:val="28"/>
          <w:lang w:val="en-US" w:eastAsia="zh-CN" w:bidi="ar-SA"/>
        </w:rPr>
        <w:t xml:space="preserve"> 1.有采购项目经营范围的法人营业执照（复印件）；税务登记证复印件，组织机构代码证（复印件）；（三证合一的只须提供一个营业执照，营业执照须具备“标识标牌牌设计，广告制作制作安装工程”经营范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2.法定代表人的有效授权书（原件）；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3.被授权代表身份证原件加复印件；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4.投标单位依法缴纳税收和社保的证明材料（复印件）；</w:t>
      </w: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5.资格证明材料承诺函。</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6.参加政府采购活动近3年内，在</w:t>
      </w:r>
      <w:r>
        <w:rPr>
          <w:rFonts w:hint="eastAsia" w:asciiTheme="minorEastAsia" w:hAnsiTheme="minorEastAsia" w:eastAsiaTheme="minorEastAsia" w:cstheme="minorEastAsia"/>
          <w:bCs/>
          <w:color w:val="auto"/>
          <w:sz w:val="28"/>
          <w:szCs w:val="28"/>
          <w:lang w:val="en-US" w:eastAsia="zh-CN"/>
        </w:rPr>
        <w:t>经营活动中没有重大违法记录，</w:t>
      </w:r>
      <w:r>
        <w:rPr>
          <w:rFonts w:hint="eastAsia" w:asciiTheme="minorEastAsia" w:hAnsiTheme="minorEastAsia" w:eastAsiaTheme="minorEastAsia" w:cstheme="minorEastAsia"/>
          <w:bCs/>
          <w:color w:val="auto"/>
          <w:kern w:val="0"/>
          <w:sz w:val="28"/>
          <w:szCs w:val="28"/>
          <w:lang w:val="en-US" w:eastAsia="zh-CN" w:bidi="ar-SA"/>
        </w:rPr>
        <w:t>无质量、安全事故发生；</w:t>
      </w:r>
    </w:p>
    <w:p>
      <w:pPr>
        <w:spacing w:line="36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7.投标人未列入经营异常名录和未列入严重违法失信企业名单（黑名单），投标人企业法人代表未被列入失信被执行人名单；投标人在“信用中国”（www.creditchina.gov.cn）、中国政府采购网（www.ccgp.gov.cn）等网站，未被列入“失信被执行人”、“重大税收违法案件当事人名单”、“政府采购严重违法失信行为记录名单”；</w:t>
      </w:r>
    </w:p>
    <w:p>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8.本项目不接受联合体投标，不得分包、转包；</w:t>
      </w:r>
    </w:p>
    <w:p>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lang w:val="en-US" w:eastAsia="zh-CN"/>
        </w:rPr>
      </w:pPr>
      <w:r>
        <w:rPr>
          <w:rFonts w:hint="eastAsia" w:asciiTheme="minorEastAsia" w:hAnsiTheme="minorEastAsia" w:eastAsiaTheme="minorEastAsia" w:cstheme="minorEastAsia"/>
          <w:bCs/>
          <w:color w:val="auto"/>
          <w:sz w:val="28"/>
          <w:szCs w:val="28"/>
          <w:lang w:val="en-US" w:eastAsia="zh-CN"/>
        </w:rPr>
        <w:t>9.单位负责人为同一人或者存在直接控股、管理关系的不同投标</w:t>
      </w:r>
    </w:p>
    <w:p>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textAlignment w:val="auto"/>
        <w:rPr>
          <w:rFonts w:hint="default" w:asciiTheme="minorEastAsia" w:hAnsiTheme="minorEastAsia" w:eastAsiaTheme="minorEastAsia" w:cstheme="minorEastAsia"/>
          <w:b w:val="0"/>
          <w:bCs/>
          <w:color w:val="auto"/>
          <w:sz w:val="28"/>
          <w:szCs w:val="28"/>
          <w:lang w:val="en-US" w:eastAsia="zh-CN" w:bidi="ar-SA"/>
        </w:rPr>
      </w:pPr>
      <w:r>
        <w:rPr>
          <w:rFonts w:hint="eastAsia" w:asciiTheme="minorEastAsia" w:hAnsiTheme="minorEastAsia" w:eastAsiaTheme="minorEastAsia" w:cstheme="minorEastAsia"/>
          <w:bCs/>
          <w:color w:val="auto"/>
          <w:sz w:val="28"/>
          <w:szCs w:val="28"/>
          <w:lang w:val="en-US" w:eastAsia="zh-CN"/>
        </w:rPr>
        <w:t>人，不得参加本次采购活动。</w:t>
      </w:r>
      <w:r>
        <w:rPr>
          <w:rFonts w:hint="eastAsia" w:asciiTheme="minorEastAsia" w:hAnsiTheme="minorEastAsia" w:eastAsiaTheme="minorEastAsia" w:cstheme="minorEastAsia"/>
          <w:b w:val="0"/>
          <w:bCs/>
          <w:color w:val="auto"/>
          <w:sz w:val="28"/>
          <w:szCs w:val="28"/>
          <w:lang w:val="en-US" w:eastAsia="zh-CN" w:bidi="ar-SA"/>
        </w:rPr>
        <w:t xml:space="preserve">  </w:t>
      </w:r>
    </w:p>
    <w:p>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1.投标报名截止时间：2024年5月23日17：30（</w:t>
      </w:r>
      <w:bookmarkStart w:id="5" w:name="_GoBack"/>
      <w:bookmarkEnd w:id="5"/>
      <w:r>
        <w:rPr>
          <w:rFonts w:hint="eastAsia" w:asciiTheme="minorEastAsia" w:hAnsiTheme="minorEastAsia" w:eastAsiaTheme="minorEastAsia" w:cstheme="minorEastAsia"/>
          <w:bCs/>
          <w:color w:val="auto"/>
          <w:sz w:val="28"/>
          <w:szCs w:val="28"/>
          <w:lang w:val="en-US" w:eastAsia="zh-CN"/>
        </w:rPr>
        <w:t>北京时间）</w:t>
      </w:r>
    </w:p>
    <w:p>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2.开标时间：2024年5月24日9:00 </w:t>
      </w:r>
    </w:p>
    <w:p>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3.开标地点：娄底市长青中街51号E区6楼评标室（远程会诊中心）</w:t>
      </w:r>
    </w:p>
    <w:p>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2.联系人及联系方式：廖海星 </w:t>
      </w:r>
      <w:r>
        <w:rPr>
          <w:rFonts w:hint="eastAsia" w:asciiTheme="minorEastAsia" w:hAnsiTheme="minorEastAsia" w:eastAsiaTheme="minorEastAsia" w:cstheme="minorEastAsia"/>
          <w:i w:val="0"/>
          <w:iCs w:val="0"/>
          <w:caps w:val="0"/>
          <w:color w:val="000000"/>
          <w:spacing w:val="0"/>
          <w:sz w:val="28"/>
          <w:szCs w:val="28"/>
        </w:rPr>
        <w:t>15873871616</w:t>
      </w:r>
    </w:p>
    <w:p>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pPr>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br w:type="page"/>
      </w:r>
    </w:p>
    <w:p>
      <w:pPr>
        <w:rPr>
          <w:rFonts w:hint="default" w:asciiTheme="minorEastAsia" w:hAnsiTheme="minorEastAsia" w:eastAsiaTheme="minorEastAsia" w:cstheme="minorEastAsia"/>
          <w:bCs/>
          <w:color w:val="auto"/>
          <w:sz w:val="28"/>
          <w:szCs w:val="28"/>
          <w:lang w:val="en-US" w:eastAsia="zh-CN"/>
        </w:rPr>
      </w:pPr>
    </w:p>
    <w:p>
      <w:pPr>
        <w:pStyle w:val="17"/>
        <w:numPr>
          <w:ilvl w:val="0"/>
          <w:numId w:val="0"/>
        </w:numPr>
        <w:tabs>
          <w:tab w:val="left" w:pos="312"/>
        </w:tabs>
        <w:snapToGrid w:val="0"/>
        <w:spacing w:line="480" w:lineRule="auto"/>
        <w:jc w:val="center"/>
        <w:rPr>
          <w:rFonts w:hint="eastAsia" w:ascii="宋体" w:hAnsi="宋体" w:eastAsia="宋体" w:cs="宋体"/>
          <w:b/>
          <w:bCs/>
          <w:color w:val="auto"/>
          <w:sz w:val="44"/>
          <w:szCs w:val="44"/>
          <w:lang w:val="en-US" w:eastAsia="zh-CN"/>
        </w:rPr>
      </w:pPr>
      <w:r>
        <w:rPr>
          <w:rFonts w:hint="eastAsia" w:ascii="宋体" w:hAnsi="宋体" w:eastAsia="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12"/>
        <w:tblW w:w="8950"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1055"/>
        <w:gridCol w:w="3177"/>
        <w:gridCol w:w="1287"/>
        <w:gridCol w:w="1610"/>
        <w:gridCol w:w="182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98" w:hRule="atLeast"/>
          <w:jc w:val="center"/>
        </w:trPr>
        <w:tc>
          <w:tcPr>
            <w:tcW w:w="105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1"/>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序号</w:t>
            </w:r>
          </w:p>
        </w:tc>
        <w:tc>
          <w:tcPr>
            <w:tcW w:w="317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1"/>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项目名称</w:t>
            </w:r>
          </w:p>
        </w:tc>
        <w:tc>
          <w:tcPr>
            <w:tcW w:w="128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1"/>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数量</w:t>
            </w:r>
          </w:p>
        </w:tc>
        <w:tc>
          <w:tcPr>
            <w:tcW w:w="16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11"/>
              <w:spacing w:before="0" w:beforeAutospacing="0" w:after="0" w:afterAutospacing="0" w:line="440" w:lineRule="exact"/>
              <w:jc w:val="both"/>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lang w:val="en-US" w:eastAsia="zh-CN"/>
              </w:rPr>
              <w:t>项目预算价</w:t>
            </w:r>
            <w:r>
              <w:rPr>
                <w:rFonts w:hint="eastAsia" w:asciiTheme="minorEastAsia" w:hAnsiTheme="minorEastAsia" w:eastAsiaTheme="minorEastAsia" w:cstheme="minorEastAsia"/>
                <w:kern w:val="2"/>
                <w:sz w:val="28"/>
                <w:szCs w:val="28"/>
              </w:rPr>
              <w:t>（元）</w:t>
            </w:r>
          </w:p>
        </w:tc>
        <w:tc>
          <w:tcPr>
            <w:tcW w:w="1821"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11"/>
              <w:spacing w:before="0" w:beforeAutospacing="0" w:after="0" w:afterAutospacing="0" w:line="440" w:lineRule="exact"/>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备注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001" w:hRule="atLeast"/>
          <w:jc w:val="center"/>
        </w:trPr>
        <w:tc>
          <w:tcPr>
            <w:tcW w:w="1055"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w:t>
            </w:r>
          </w:p>
        </w:tc>
        <w:tc>
          <w:tcPr>
            <w:tcW w:w="3177"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娄底市中心医院年度零散广告设计制作服务</w:t>
            </w:r>
          </w:p>
        </w:tc>
        <w:tc>
          <w:tcPr>
            <w:tcW w:w="1287"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见附件</w:t>
            </w:r>
          </w:p>
        </w:tc>
        <w:tc>
          <w:tcPr>
            <w:tcW w:w="161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698000.00</w:t>
            </w:r>
          </w:p>
        </w:tc>
        <w:tc>
          <w:tcPr>
            <w:tcW w:w="1821"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按合同单位据实结算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39" w:hRule="atLeast"/>
          <w:jc w:val="center"/>
        </w:trPr>
        <w:tc>
          <w:tcPr>
            <w:tcW w:w="1055" w:type="dxa"/>
            <w:tcBorders>
              <w:top w:val="single" w:color="auto" w:sz="4"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备注</w:t>
            </w:r>
          </w:p>
        </w:tc>
        <w:tc>
          <w:tcPr>
            <w:tcW w:w="7895" w:type="dxa"/>
            <w:gridSpan w:val="4"/>
            <w:tcBorders>
              <w:top w:val="single" w:color="auto" w:sz="4"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pStyle w:val="17"/>
              <w:numPr>
                <w:ilvl w:val="0"/>
                <w:numId w:val="0"/>
              </w:numPr>
              <w:tabs>
                <w:tab w:val="left" w:pos="312"/>
              </w:tabs>
              <w:snapToGrid w:val="0"/>
              <w:spacing w:line="480" w:lineRule="auto"/>
              <w:ind w:firstLine="560" w:firstLineChars="200"/>
              <w:rPr>
                <w:rFonts w:hint="default" w:eastAsia="宋体" w:asciiTheme="minorEastAsia" w:hAnsi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bidi="ar-SA"/>
              </w:rPr>
              <w:t>服务期内不定期分批次采购，随喊随到，综合得分第一的中标供应商配比占采购总量的60%左右。 综合得分第二的中标供应商配比占采购总量的40%左右。按中标单价和实际采购量结算，中标单位必须服从管理科室的份额分配。</w:t>
            </w:r>
          </w:p>
        </w:tc>
      </w:tr>
    </w:tbl>
    <w:p>
      <w:pPr>
        <w:spacing w:line="360" w:lineRule="auto"/>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tbl>
      <w:tblPr>
        <w:tblStyle w:val="12"/>
        <w:tblW w:w="1035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94"/>
        <w:gridCol w:w="1787"/>
        <w:gridCol w:w="1720"/>
        <w:gridCol w:w="1269"/>
        <w:gridCol w:w="2910"/>
        <w:gridCol w:w="588"/>
        <w:gridCol w:w="846"/>
        <w:gridCol w:w="7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4" w:hRule="atLeast"/>
          <w:jc w:val="center"/>
        </w:trPr>
        <w:tc>
          <w:tcPr>
            <w:tcW w:w="4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1793"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品名</w:t>
            </w:r>
          </w:p>
        </w:tc>
        <w:tc>
          <w:tcPr>
            <w:tcW w:w="17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实物</w:t>
            </w:r>
          </w:p>
        </w:tc>
        <w:tc>
          <w:tcPr>
            <w:tcW w:w="12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规格(mm)</w:t>
            </w:r>
          </w:p>
        </w:tc>
        <w:tc>
          <w:tcPr>
            <w:tcW w:w="29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技术要求</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w:t>
            </w:r>
          </w:p>
        </w:tc>
        <w:tc>
          <w:tcPr>
            <w:tcW w:w="8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单价（元）</w:t>
            </w:r>
          </w:p>
        </w:tc>
        <w:tc>
          <w:tcPr>
            <w:tcW w:w="7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预估数量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4" w:hRule="atLeast"/>
          <w:jc w:val="center"/>
        </w:trPr>
        <w:tc>
          <w:tcPr>
            <w:tcW w:w="4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793"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2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9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6" w:hRule="atLeast"/>
          <w:jc w:val="center"/>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7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海报</w:t>
            </w:r>
          </w:p>
        </w:tc>
        <w:tc>
          <w:tcPr>
            <w:tcW w:w="17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213995</wp:posOffset>
                  </wp:positionH>
                  <wp:positionV relativeFrom="paragraph">
                    <wp:posOffset>50165</wp:posOffset>
                  </wp:positionV>
                  <wp:extent cx="614045" cy="589280"/>
                  <wp:effectExtent l="0" t="0" r="14605" b="1270"/>
                  <wp:wrapNone/>
                  <wp:docPr id="21" name="图片_9"/>
                  <wp:cNvGraphicFramePr/>
                  <a:graphic xmlns:a="http://schemas.openxmlformats.org/drawingml/2006/main">
                    <a:graphicData uri="http://schemas.openxmlformats.org/drawingml/2006/picture">
                      <pic:pic xmlns:pic="http://schemas.openxmlformats.org/drawingml/2006/picture">
                        <pic:nvPicPr>
                          <pic:cNvPr id="21" name="图片_9"/>
                          <pic:cNvPicPr/>
                        </pic:nvPicPr>
                        <pic:blipFill>
                          <a:blip r:embed="rId8"/>
                          <a:stretch>
                            <a:fillRect/>
                          </a:stretch>
                        </pic:blipFill>
                        <pic:spPr>
                          <a:xfrm>
                            <a:off x="0" y="0"/>
                            <a:ext cx="614045" cy="589280"/>
                          </a:xfrm>
                          <a:prstGeom prst="rect">
                            <a:avLst/>
                          </a:prstGeom>
                          <a:noFill/>
                          <a:ln>
                            <a:noFill/>
                          </a:ln>
                        </pic:spPr>
                      </pic:pic>
                    </a:graphicData>
                  </a:graphic>
                </wp:anchor>
              </w:drawing>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600*900</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弘永户外背胶 180g             户外写真（不褪色）</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7" w:hRule="atLeast"/>
          <w:jc w:val="center"/>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7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室内橱窗</w:t>
            </w:r>
          </w:p>
        </w:tc>
        <w:tc>
          <w:tcPr>
            <w:tcW w:w="17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85725</wp:posOffset>
                  </wp:positionH>
                  <wp:positionV relativeFrom="paragraph">
                    <wp:posOffset>69215</wp:posOffset>
                  </wp:positionV>
                  <wp:extent cx="878840" cy="433070"/>
                  <wp:effectExtent l="0" t="0" r="16510" b="5080"/>
                  <wp:wrapNone/>
                  <wp:docPr id="27" name="图片_2"/>
                  <wp:cNvGraphicFramePr/>
                  <a:graphic xmlns:a="http://schemas.openxmlformats.org/drawingml/2006/main">
                    <a:graphicData uri="http://schemas.openxmlformats.org/drawingml/2006/picture">
                      <pic:pic xmlns:pic="http://schemas.openxmlformats.org/drawingml/2006/picture">
                        <pic:nvPicPr>
                          <pic:cNvPr id="27" name="图片_2"/>
                          <pic:cNvPicPr/>
                        </pic:nvPicPr>
                        <pic:blipFill>
                          <a:blip r:embed="rId9"/>
                          <a:stretch>
                            <a:fillRect/>
                          </a:stretch>
                        </pic:blipFill>
                        <pic:spPr>
                          <a:xfrm>
                            <a:off x="0" y="0"/>
                            <a:ext cx="878840" cy="433070"/>
                          </a:xfrm>
                          <a:prstGeom prst="rect">
                            <a:avLst/>
                          </a:prstGeom>
                          <a:noFill/>
                          <a:ln>
                            <a:noFill/>
                          </a:ln>
                        </pic:spPr>
                      </pic:pic>
                    </a:graphicData>
                  </a:graphic>
                </wp:anchor>
              </w:drawing>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1000*1000</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弘永室内背胶 180g</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平方</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9" w:hRule="atLeast"/>
          <w:jc w:val="center"/>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7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户外橱窗</w:t>
            </w:r>
          </w:p>
        </w:tc>
        <w:tc>
          <w:tcPr>
            <w:tcW w:w="17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63500</wp:posOffset>
                  </wp:positionH>
                  <wp:positionV relativeFrom="paragraph">
                    <wp:posOffset>55880</wp:posOffset>
                  </wp:positionV>
                  <wp:extent cx="808355" cy="478155"/>
                  <wp:effectExtent l="0" t="0" r="10795" b="17145"/>
                  <wp:wrapNone/>
                  <wp:docPr id="26" name="图片_8"/>
                  <wp:cNvGraphicFramePr/>
                  <a:graphic xmlns:a="http://schemas.openxmlformats.org/drawingml/2006/main">
                    <a:graphicData uri="http://schemas.openxmlformats.org/drawingml/2006/picture">
                      <pic:pic xmlns:pic="http://schemas.openxmlformats.org/drawingml/2006/picture">
                        <pic:nvPicPr>
                          <pic:cNvPr id="26" name="图片_8"/>
                          <pic:cNvPicPr/>
                        </pic:nvPicPr>
                        <pic:blipFill>
                          <a:blip r:embed="rId10"/>
                          <a:stretch>
                            <a:fillRect/>
                          </a:stretch>
                        </pic:blipFill>
                        <pic:spPr>
                          <a:xfrm>
                            <a:off x="0" y="0"/>
                            <a:ext cx="808355" cy="478155"/>
                          </a:xfrm>
                          <a:prstGeom prst="rect">
                            <a:avLst/>
                          </a:prstGeom>
                          <a:noFill/>
                          <a:ln>
                            <a:noFill/>
                          </a:ln>
                        </pic:spPr>
                      </pic:pic>
                    </a:graphicData>
                  </a:graphic>
                </wp:anchor>
              </w:drawing>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1000*1000</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3M 1220-10户外背胶180g      （不褪色）</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平方</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63</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jc w:val="center"/>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7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科室制度牌      （可更换内容）</w:t>
            </w:r>
          </w:p>
        </w:tc>
        <w:tc>
          <w:tcPr>
            <w:tcW w:w="17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286385</wp:posOffset>
                  </wp:positionH>
                  <wp:positionV relativeFrom="paragraph">
                    <wp:posOffset>57150</wp:posOffset>
                  </wp:positionV>
                  <wp:extent cx="476250" cy="601980"/>
                  <wp:effectExtent l="0" t="0" r="0" b="7620"/>
                  <wp:wrapNone/>
                  <wp:docPr id="22" name="图片_4"/>
                  <wp:cNvGraphicFramePr/>
                  <a:graphic xmlns:a="http://schemas.openxmlformats.org/drawingml/2006/main">
                    <a:graphicData uri="http://schemas.openxmlformats.org/drawingml/2006/picture">
                      <pic:pic xmlns:pic="http://schemas.openxmlformats.org/drawingml/2006/picture">
                        <pic:nvPicPr>
                          <pic:cNvPr id="22" name="图片_4"/>
                          <pic:cNvPicPr/>
                        </pic:nvPicPr>
                        <pic:blipFill>
                          <a:blip r:embed="rId11"/>
                          <a:stretch>
                            <a:fillRect/>
                          </a:stretch>
                        </pic:blipFill>
                        <pic:spPr>
                          <a:xfrm>
                            <a:off x="0" y="0"/>
                            <a:ext cx="476250" cy="601980"/>
                          </a:xfrm>
                          <a:prstGeom prst="rect">
                            <a:avLst/>
                          </a:prstGeom>
                          <a:noFill/>
                          <a:ln>
                            <a:noFill/>
                          </a:ln>
                        </pic:spPr>
                      </pic:pic>
                    </a:graphicData>
                  </a:graphic>
                </wp:anchor>
              </w:drawing>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400*600</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4cm边宽 4025掀开式超簿铝型材  配2mm有机玻璃片                 3M户外背胶贴冷板</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块</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cs="宋体"/>
                <w:i w:val="0"/>
                <w:iCs w:val="0"/>
                <w:color w:val="000000"/>
                <w:kern w:val="0"/>
                <w:sz w:val="21"/>
                <w:szCs w:val="21"/>
                <w:u w:val="none"/>
                <w:lang w:val="en-US" w:eastAsia="zh-CN" w:bidi="ar"/>
              </w:rPr>
              <w:t>100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4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793"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指示牌吊牌（双面）</w:t>
            </w:r>
          </w:p>
        </w:tc>
        <w:tc>
          <w:tcPr>
            <w:tcW w:w="17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82550</wp:posOffset>
                  </wp:positionH>
                  <wp:positionV relativeFrom="paragraph">
                    <wp:posOffset>41910</wp:posOffset>
                  </wp:positionV>
                  <wp:extent cx="838835" cy="366395"/>
                  <wp:effectExtent l="0" t="0" r="18415" b="14605"/>
                  <wp:wrapNone/>
                  <wp:docPr id="23" name="图片_15"/>
                  <wp:cNvGraphicFramePr/>
                  <a:graphic xmlns:a="http://schemas.openxmlformats.org/drawingml/2006/main">
                    <a:graphicData uri="http://schemas.openxmlformats.org/drawingml/2006/picture">
                      <pic:pic xmlns:pic="http://schemas.openxmlformats.org/drawingml/2006/picture">
                        <pic:nvPicPr>
                          <pic:cNvPr id="23" name="图片_15"/>
                          <pic:cNvPicPr/>
                        </pic:nvPicPr>
                        <pic:blipFill>
                          <a:blip r:embed="rId12"/>
                          <a:stretch>
                            <a:fillRect/>
                          </a:stretch>
                        </pic:blipFill>
                        <pic:spPr>
                          <a:xfrm>
                            <a:off x="0" y="0"/>
                            <a:ext cx="838835" cy="366395"/>
                          </a:xfrm>
                          <a:prstGeom prst="rect">
                            <a:avLst/>
                          </a:prstGeom>
                          <a:noFill/>
                          <a:ln>
                            <a:noFill/>
                          </a:ln>
                        </pic:spPr>
                      </pic:pic>
                    </a:graphicData>
                  </a:graphic>
                </wp:anchor>
              </w:drawing>
            </w:r>
          </w:p>
        </w:tc>
        <w:tc>
          <w:tcPr>
            <w:tcW w:w="12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1000*1000</w:t>
            </w:r>
          </w:p>
        </w:tc>
        <w:tc>
          <w:tcPr>
            <w:tcW w:w="29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采用3M 1220-10户外背胶        双面贴冷板</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平方</w:t>
            </w:r>
          </w:p>
        </w:tc>
        <w:tc>
          <w:tcPr>
            <w:tcW w:w="8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w:t>
            </w:r>
          </w:p>
        </w:tc>
        <w:tc>
          <w:tcPr>
            <w:tcW w:w="7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4" w:hRule="atLeast"/>
          <w:jc w:val="center"/>
        </w:trPr>
        <w:tc>
          <w:tcPr>
            <w:tcW w:w="4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793"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2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9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4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793"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禁止吸烟 小心地滑</w:t>
            </w:r>
          </w:p>
        </w:tc>
        <w:tc>
          <w:tcPr>
            <w:tcW w:w="17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114935</wp:posOffset>
                  </wp:positionH>
                  <wp:positionV relativeFrom="paragraph">
                    <wp:posOffset>65405</wp:posOffset>
                  </wp:positionV>
                  <wp:extent cx="803910" cy="424180"/>
                  <wp:effectExtent l="0" t="0" r="15240" b="13970"/>
                  <wp:wrapNone/>
                  <wp:docPr id="24" name="图片_14"/>
                  <wp:cNvGraphicFramePr/>
                  <a:graphic xmlns:a="http://schemas.openxmlformats.org/drawingml/2006/main">
                    <a:graphicData uri="http://schemas.openxmlformats.org/drawingml/2006/picture">
                      <pic:pic xmlns:pic="http://schemas.openxmlformats.org/drawingml/2006/picture">
                        <pic:nvPicPr>
                          <pic:cNvPr id="24" name="图片_14"/>
                          <pic:cNvPicPr/>
                        </pic:nvPicPr>
                        <pic:blipFill>
                          <a:blip r:embed="rId13"/>
                          <a:stretch>
                            <a:fillRect/>
                          </a:stretch>
                        </pic:blipFill>
                        <pic:spPr>
                          <a:xfrm>
                            <a:off x="0" y="0"/>
                            <a:ext cx="803910" cy="424180"/>
                          </a:xfrm>
                          <a:prstGeom prst="rect">
                            <a:avLst/>
                          </a:prstGeom>
                          <a:noFill/>
                          <a:ln>
                            <a:noFill/>
                          </a:ln>
                        </pic:spPr>
                      </pic:pic>
                    </a:graphicData>
                  </a:graphic>
                </wp:anchor>
              </w:drawing>
            </w:r>
          </w:p>
        </w:tc>
        <w:tc>
          <w:tcPr>
            <w:tcW w:w="12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400*150</w:t>
            </w:r>
          </w:p>
        </w:tc>
        <w:tc>
          <w:tcPr>
            <w:tcW w:w="29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国标3mm厚亚克力激光雕刻,内容丝印</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块</w:t>
            </w:r>
          </w:p>
        </w:tc>
        <w:tc>
          <w:tcPr>
            <w:tcW w:w="8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r>
              <w:rPr>
                <w:rFonts w:hint="eastAsia" w:ascii="宋体" w:hAnsi="宋体" w:cs="宋体"/>
                <w:i w:val="0"/>
                <w:iCs w:val="0"/>
                <w:color w:val="000000"/>
                <w:kern w:val="0"/>
                <w:sz w:val="21"/>
                <w:szCs w:val="21"/>
                <w:u w:val="none"/>
                <w:lang w:val="en-US" w:eastAsia="zh-CN" w:bidi="ar"/>
              </w:rPr>
              <w:t>5</w:t>
            </w:r>
          </w:p>
        </w:tc>
        <w:tc>
          <w:tcPr>
            <w:tcW w:w="7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4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793"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2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9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4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793"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2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9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1" w:hRule="atLeast"/>
          <w:jc w:val="center"/>
        </w:trPr>
        <w:tc>
          <w:tcPr>
            <w:tcW w:w="4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793"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三角桌牌</w:t>
            </w:r>
          </w:p>
        </w:tc>
        <w:tc>
          <w:tcPr>
            <w:tcW w:w="17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212725</wp:posOffset>
                  </wp:positionH>
                  <wp:positionV relativeFrom="paragraph">
                    <wp:posOffset>140335</wp:posOffset>
                  </wp:positionV>
                  <wp:extent cx="688975" cy="407670"/>
                  <wp:effectExtent l="0" t="0" r="15875" b="11430"/>
                  <wp:wrapNone/>
                  <wp:docPr id="25" name="图片_10"/>
                  <wp:cNvGraphicFramePr/>
                  <a:graphic xmlns:a="http://schemas.openxmlformats.org/drawingml/2006/main">
                    <a:graphicData uri="http://schemas.openxmlformats.org/drawingml/2006/picture">
                      <pic:pic xmlns:pic="http://schemas.openxmlformats.org/drawingml/2006/picture">
                        <pic:nvPicPr>
                          <pic:cNvPr id="25" name="图片_10"/>
                          <pic:cNvPicPr/>
                        </pic:nvPicPr>
                        <pic:blipFill>
                          <a:blip r:embed="rId14"/>
                          <a:stretch>
                            <a:fillRect/>
                          </a:stretch>
                        </pic:blipFill>
                        <pic:spPr>
                          <a:xfrm>
                            <a:off x="0" y="0"/>
                            <a:ext cx="688975" cy="407670"/>
                          </a:xfrm>
                          <a:prstGeom prst="rect">
                            <a:avLst/>
                          </a:prstGeom>
                          <a:noFill/>
                          <a:ln>
                            <a:noFill/>
                          </a:ln>
                        </pic:spPr>
                      </pic:pic>
                    </a:graphicData>
                  </a:graphic>
                </wp:anchor>
              </w:drawing>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200*100</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2mm厚亚克力折弯              (含180g双面内页)</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块</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4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793"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250*120</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3mm厚亚克力折弯              (含180g 双面内页)</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块</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jc w:val="center"/>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7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桌牌内页</w:t>
            </w:r>
          </w:p>
        </w:tc>
        <w:tc>
          <w:tcPr>
            <w:tcW w:w="17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84455</wp:posOffset>
                  </wp:positionH>
                  <wp:positionV relativeFrom="paragraph">
                    <wp:posOffset>72390</wp:posOffset>
                  </wp:positionV>
                  <wp:extent cx="896620" cy="250825"/>
                  <wp:effectExtent l="0" t="0" r="17780" b="15875"/>
                  <wp:wrapNone/>
                  <wp:docPr id="20" name="图片_13"/>
                  <wp:cNvGraphicFramePr/>
                  <a:graphic xmlns:a="http://schemas.openxmlformats.org/drawingml/2006/main">
                    <a:graphicData uri="http://schemas.openxmlformats.org/drawingml/2006/picture">
                      <pic:pic xmlns:pic="http://schemas.openxmlformats.org/drawingml/2006/picture">
                        <pic:nvPicPr>
                          <pic:cNvPr id="20" name="图片_13"/>
                          <pic:cNvPicPr/>
                        </pic:nvPicPr>
                        <pic:blipFill>
                          <a:blip r:embed="rId15"/>
                          <a:stretch>
                            <a:fillRect/>
                          </a:stretch>
                        </pic:blipFill>
                        <pic:spPr>
                          <a:xfrm>
                            <a:off x="0" y="0"/>
                            <a:ext cx="896620" cy="250825"/>
                          </a:xfrm>
                          <a:prstGeom prst="rect">
                            <a:avLst/>
                          </a:prstGeom>
                          <a:noFill/>
                          <a:ln>
                            <a:noFill/>
                          </a:ln>
                        </pic:spPr>
                      </pic:pic>
                    </a:graphicData>
                  </a:graphic>
                </wp:anchor>
              </w:drawing>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200*100</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采用3M 1220-10户外背胶</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块</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0" w:hRule="atLeast"/>
          <w:jc w:val="center"/>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7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不锈钢落地       宣传牌</w:t>
            </w:r>
          </w:p>
        </w:tc>
        <w:tc>
          <w:tcPr>
            <w:tcW w:w="17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217170</wp:posOffset>
                  </wp:positionH>
                  <wp:positionV relativeFrom="paragraph">
                    <wp:posOffset>61595</wp:posOffset>
                  </wp:positionV>
                  <wp:extent cx="604520" cy="687705"/>
                  <wp:effectExtent l="0" t="0" r="5080" b="17145"/>
                  <wp:wrapNone/>
                  <wp:docPr id="28" name="图片_32"/>
                  <wp:cNvGraphicFramePr/>
                  <a:graphic xmlns:a="http://schemas.openxmlformats.org/drawingml/2006/main">
                    <a:graphicData uri="http://schemas.openxmlformats.org/drawingml/2006/picture">
                      <pic:pic xmlns:pic="http://schemas.openxmlformats.org/drawingml/2006/picture">
                        <pic:nvPicPr>
                          <pic:cNvPr id="28" name="图片_32"/>
                          <pic:cNvPicPr/>
                        </pic:nvPicPr>
                        <pic:blipFill>
                          <a:blip r:embed="rId16"/>
                          <a:stretch>
                            <a:fillRect/>
                          </a:stretch>
                        </pic:blipFill>
                        <pic:spPr>
                          <a:xfrm>
                            <a:off x="0" y="0"/>
                            <a:ext cx="604520" cy="687705"/>
                          </a:xfrm>
                          <a:prstGeom prst="rect">
                            <a:avLst/>
                          </a:prstGeom>
                          <a:noFill/>
                          <a:ln>
                            <a:noFill/>
                          </a:ln>
                        </pic:spPr>
                      </pic:pic>
                    </a:graphicData>
                  </a:graphic>
                </wp:anchor>
              </w:drawing>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700*1000</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1mm厚双面304不锈钢折弯压型  50#304不锈钢  圆管支撑</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2" w:hRule="atLeast"/>
          <w:jc w:val="center"/>
        </w:trPr>
        <w:tc>
          <w:tcPr>
            <w:tcW w:w="4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793"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户外广告牌</w:t>
            </w:r>
          </w:p>
        </w:tc>
        <w:tc>
          <w:tcPr>
            <w:tcW w:w="17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58420</wp:posOffset>
                  </wp:positionH>
                  <wp:positionV relativeFrom="paragraph">
                    <wp:posOffset>82550</wp:posOffset>
                  </wp:positionV>
                  <wp:extent cx="930910" cy="633095"/>
                  <wp:effectExtent l="0" t="0" r="2540" b="14605"/>
                  <wp:wrapNone/>
                  <wp:docPr id="34" name="图片_33"/>
                  <wp:cNvGraphicFramePr/>
                  <a:graphic xmlns:a="http://schemas.openxmlformats.org/drawingml/2006/main">
                    <a:graphicData uri="http://schemas.openxmlformats.org/drawingml/2006/picture">
                      <pic:pic xmlns:pic="http://schemas.openxmlformats.org/drawingml/2006/picture">
                        <pic:nvPicPr>
                          <pic:cNvPr id="34" name="图片_33"/>
                          <pic:cNvPicPr/>
                        </pic:nvPicPr>
                        <pic:blipFill>
                          <a:blip r:embed="rId17"/>
                          <a:stretch>
                            <a:fillRect/>
                          </a:stretch>
                        </pic:blipFill>
                        <pic:spPr>
                          <a:xfrm>
                            <a:off x="0" y="0"/>
                            <a:ext cx="930910" cy="633095"/>
                          </a:xfrm>
                          <a:prstGeom prst="rect">
                            <a:avLst/>
                          </a:prstGeom>
                          <a:noFill/>
                          <a:ln>
                            <a:noFill/>
                          </a:ln>
                        </pic:spPr>
                      </pic:pic>
                    </a:graphicData>
                  </a:graphic>
                </wp:anchor>
              </w:drawing>
            </w:r>
          </w:p>
        </w:tc>
        <w:tc>
          <w:tcPr>
            <w:tcW w:w="12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1000*1000</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木龙骨架 高精度550喷绘画面</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平方</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8" w:hRule="atLeast"/>
          <w:jc w:val="center"/>
        </w:trPr>
        <w:tc>
          <w:tcPr>
            <w:tcW w:w="4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793"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7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124460</wp:posOffset>
                  </wp:positionH>
                  <wp:positionV relativeFrom="paragraph">
                    <wp:posOffset>64135</wp:posOffset>
                  </wp:positionV>
                  <wp:extent cx="789940" cy="504190"/>
                  <wp:effectExtent l="0" t="0" r="10160" b="10160"/>
                  <wp:wrapNone/>
                  <wp:docPr id="36" name="图片_36"/>
                  <wp:cNvGraphicFramePr/>
                  <a:graphic xmlns:a="http://schemas.openxmlformats.org/drawingml/2006/main">
                    <a:graphicData uri="http://schemas.openxmlformats.org/drawingml/2006/picture">
                      <pic:pic xmlns:pic="http://schemas.openxmlformats.org/drawingml/2006/picture">
                        <pic:nvPicPr>
                          <pic:cNvPr id="36" name="图片_36"/>
                          <pic:cNvPicPr/>
                        </pic:nvPicPr>
                        <pic:blipFill>
                          <a:blip r:embed="rId18"/>
                          <a:stretch>
                            <a:fillRect/>
                          </a:stretch>
                        </pic:blipFill>
                        <pic:spPr>
                          <a:xfrm>
                            <a:off x="0" y="0"/>
                            <a:ext cx="789940" cy="504190"/>
                          </a:xfrm>
                          <a:prstGeom prst="rect">
                            <a:avLst/>
                          </a:prstGeom>
                          <a:noFill/>
                          <a:ln>
                            <a:noFill/>
                          </a:ln>
                        </pic:spPr>
                      </pic:pic>
                    </a:graphicData>
                  </a:graphic>
                </wp:anchor>
              </w:drawing>
            </w:r>
          </w:p>
        </w:tc>
        <w:tc>
          <w:tcPr>
            <w:tcW w:w="12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高精度喷绘画面</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平方</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4" w:hRule="atLeast"/>
          <w:jc w:val="center"/>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7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健康教育栏</w:t>
            </w:r>
          </w:p>
        </w:tc>
        <w:tc>
          <w:tcPr>
            <w:tcW w:w="17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60325</wp:posOffset>
                  </wp:positionH>
                  <wp:positionV relativeFrom="paragraph">
                    <wp:posOffset>85090</wp:posOffset>
                  </wp:positionV>
                  <wp:extent cx="920750" cy="488950"/>
                  <wp:effectExtent l="0" t="0" r="12700" b="6350"/>
                  <wp:wrapNone/>
                  <wp:docPr id="35" name="图片_17"/>
                  <wp:cNvGraphicFramePr/>
                  <a:graphic xmlns:a="http://schemas.openxmlformats.org/drawingml/2006/main">
                    <a:graphicData uri="http://schemas.openxmlformats.org/drawingml/2006/picture">
                      <pic:pic xmlns:pic="http://schemas.openxmlformats.org/drawingml/2006/picture">
                        <pic:nvPicPr>
                          <pic:cNvPr id="35" name="图片_17"/>
                          <pic:cNvPicPr/>
                        </pic:nvPicPr>
                        <pic:blipFill>
                          <a:blip r:embed="rId19"/>
                          <a:stretch>
                            <a:fillRect/>
                          </a:stretch>
                        </pic:blipFill>
                        <pic:spPr>
                          <a:xfrm>
                            <a:off x="0" y="0"/>
                            <a:ext cx="920750" cy="488950"/>
                          </a:xfrm>
                          <a:prstGeom prst="rect">
                            <a:avLst/>
                          </a:prstGeom>
                          <a:noFill/>
                          <a:ln>
                            <a:noFill/>
                          </a:ln>
                        </pic:spPr>
                      </pic:pic>
                    </a:graphicData>
                  </a:graphic>
                </wp:anchor>
              </w:drawing>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1000*1000</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4cm边宽 4025掀开式超簿铝型材  配2mm有机玻璃片                 3M户外背胶贴冷板</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平方</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363</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2" w:hRule="atLeast"/>
          <w:jc w:val="center"/>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17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绶带</w:t>
            </w:r>
          </w:p>
        </w:tc>
        <w:tc>
          <w:tcPr>
            <w:tcW w:w="17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77470</wp:posOffset>
                  </wp:positionH>
                  <wp:positionV relativeFrom="paragraph">
                    <wp:posOffset>83185</wp:posOffset>
                  </wp:positionV>
                  <wp:extent cx="858520" cy="616585"/>
                  <wp:effectExtent l="0" t="0" r="17780" b="12065"/>
                  <wp:wrapNone/>
                  <wp:docPr id="37" name="图片_31"/>
                  <wp:cNvGraphicFramePr/>
                  <a:graphic xmlns:a="http://schemas.openxmlformats.org/drawingml/2006/main">
                    <a:graphicData uri="http://schemas.openxmlformats.org/drawingml/2006/picture">
                      <pic:pic xmlns:pic="http://schemas.openxmlformats.org/drawingml/2006/picture">
                        <pic:nvPicPr>
                          <pic:cNvPr id="37" name="图片_31"/>
                          <pic:cNvPicPr/>
                        </pic:nvPicPr>
                        <pic:blipFill>
                          <a:blip r:embed="rId20"/>
                          <a:stretch>
                            <a:fillRect/>
                          </a:stretch>
                        </pic:blipFill>
                        <pic:spPr>
                          <a:xfrm>
                            <a:off x="0" y="0"/>
                            <a:ext cx="858520" cy="616585"/>
                          </a:xfrm>
                          <a:prstGeom prst="rect">
                            <a:avLst/>
                          </a:prstGeom>
                          <a:noFill/>
                          <a:ln>
                            <a:noFill/>
                          </a:ln>
                        </pic:spPr>
                      </pic:pic>
                    </a:graphicData>
                  </a:graphic>
                </wp:anchor>
              </w:drawing>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120*1000</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高级绒布 油漆发泡丝印</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条</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3" w:hRule="atLeast"/>
          <w:jc w:val="center"/>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17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地贴</w:t>
            </w:r>
          </w:p>
        </w:tc>
        <w:tc>
          <w:tcPr>
            <w:tcW w:w="17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41910</wp:posOffset>
                  </wp:positionH>
                  <wp:positionV relativeFrom="paragraph">
                    <wp:posOffset>47625</wp:posOffset>
                  </wp:positionV>
                  <wp:extent cx="930275" cy="698500"/>
                  <wp:effectExtent l="0" t="0" r="3175" b="6350"/>
                  <wp:wrapNone/>
                  <wp:docPr id="38" name="图片_21"/>
                  <wp:cNvGraphicFramePr/>
                  <a:graphic xmlns:a="http://schemas.openxmlformats.org/drawingml/2006/main">
                    <a:graphicData uri="http://schemas.openxmlformats.org/drawingml/2006/picture">
                      <pic:pic xmlns:pic="http://schemas.openxmlformats.org/drawingml/2006/picture">
                        <pic:nvPicPr>
                          <pic:cNvPr id="38" name="图片_21"/>
                          <pic:cNvPicPr/>
                        </pic:nvPicPr>
                        <pic:blipFill>
                          <a:blip r:embed="rId21"/>
                          <a:stretch>
                            <a:fillRect/>
                          </a:stretch>
                        </pic:blipFill>
                        <pic:spPr>
                          <a:xfrm>
                            <a:off x="0" y="0"/>
                            <a:ext cx="930275" cy="698500"/>
                          </a:xfrm>
                          <a:prstGeom prst="rect">
                            <a:avLst/>
                          </a:prstGeom>
                          <a:noFill/>
                          <a:ln>
                            <a:noFill/>
                          </a:ln>
                        </pic:spPr>
                      </pic:pic>
                    </a:graphicData>
                  </a:graphic>
                </wp:anchor>
              </w:drawing>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1000*1000</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3M 2208C可移车贴 裱纳尔斜纹地板膜+切型不留痕迹（无痕贴）</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平方</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145</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cs="宋体"/>
                <w:i w:val="0"/>
                <w:iCs w:val="0"/>
                <w:color w:val="000000"/>
                <w:kern w:val="0"/>
                <w:sz w:val="21"/>
                <w:szCs w:val="21"/>
                <w:u w:val="none"/>
                <w:lang w:val="en-US" w:eastAsia="zh-CN" w:bidi="ar"/>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0" w:hRule="atLeast"/>
          <w:jc w:val="center"/>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1793" w:type="dxa"/>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指示标识         温馨提示</w:t>
            </w:r>
          </w:p>
        </w:tc>
        <w:tc>
          <w:tcPr>
            <w:tcW w:w="172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214630</wp:posOffset>
                  </wp:positionH>
                  <wp:positionV relativeFrom="paragraph">
                    <wp:posOffset>38100</wp:posOffset>
                  </wp:positionV>
                  <wp:extent cx="656590" cy="654050"/>
                  <wp:effectExtent l="0" t="0" r="10160" b="12700"/>
                  <wp:wrapNone/>
                  <wp:docPr id="39" name="图片_30"/>
                  <wp:cNvGraphicFramePr/>
                  <a:graphic xmlns:a="http://schemas.openxmlformats.org/drawingml/2006/main">
                    <a:graphicData uri="http://schemas.openxmlformats.org/drawingml/2006/picture">
                      <pic:pic xmlns:pic="http://schemas.openxmlformats.org/drawingml/2006/picture">
                        <pic:nvPicPr>
                          <pic:cNvPr id="39" name="图片_30"/>
                          <pic:cNvPicPr/>
                        </pic:nvPicPr>
                        <pic:blipFill>
                          <a:blip r:embed="rId22"/>
                          <a:stretch>
                            <a:fillRect/>
                          </a:stretch>
                        </pic:blipFill>
                        <pic:spPr>
                          <a:xfrm>
                            <a:off x="0" y="0"/>
                            <a:ext cx="656590" cy="654050"/>
                          </a:xfrm>
                          <a:prstGeom prst="rect">
                            <a:avLst/>
                          </a:prstGeom>
                          <a:noFill/>
                          <a:ln>
                            <a:noFill/>
                          </a:ln>
                        </pic:spPr>
                      </pic:pic>
                    </a:graphicData>
                  </a:graphic>
                </wp:anchor>
              </w:drawing>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1000*1000</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3M 2208C可移车贴              贴保护冷裱膜 +切型        （无痕贴）</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平方</w:t>
            </w:r>
          </w:p>
        </w:tc>
        <w:tc>
          <w:tcPr>
            <w:tcW w:w="83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108</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6" w:hRule="atLeast"/>
          <w:jc w:val="center"/>
        </w:trPr>
        <w:tc>
          <w:tcPr>
            <w:tcW w:w="4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1793"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专家介绍牌</w:t>
            </w:r>
          </w:p>
        </w:tc>
        <w:tc>
          <w:tcPr>
            <w:tcW w:w="17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96520</wp:posOffset>
                  </wp:positionH>
                  <wp:positionV relativeFrom="paragraph">
                    <wp:posOffset>23495</wp:posOffset>
                  </wp:positionV>
                  <wp:extent cx="923290" cy="560070"/>
                  <wp:effectExtent l="0" t="0" r="10160" b="11430"/>
                  <wp:wrapNone/>
                  <wp:docPr id="31" name="图片_20"/>
                  <wp:cNvGraphicFramePr/>
                  <a:graphic xmlns:a="http://schemas.openxmlformats.org/drawingml/2006/main">
                    <a:graphicData uri="http://schemas.openxmlformats.org/drawingml/2006/picture">
                      <pic:pic xmlns:pic="http://schemas.openxmlformats.org/drawingml/2006/picture">
                        <pic:nvPicPr>
                          <pic:cNvPr id="31" name="图片_20"/>
                          <pic:cNvPicPr/>
                        </pic:nvPicPr>
                        <pic:blipFill>
                          <a:blip r:embed="rId23"/>
                          <a:stretch>
                            <a:fillRect/>
                          </a:stretch>
                        </pic:blipFill>
                        <pic:spPr>
                          <a:xfrm>
                            <a:off x="0" y="0"/>
                            <a:ext cx="923290" cy="560070"/>
                          </a:xfrm>
                          <a:prstGeom prst="rect">
                            <a:avLst/>
                          </a:prstGeom>
                          <a:noFill/>
                          <a:ln>
                            <a:noFill/>
                          </a:ln>
                        </pic:spPr>
                      </pic:pic>
                    </a:graphicData>
                  </a:graphic>
                </wp:anchor>
              </w:drawing>
            </w:r>
          </w:p>
        </w:tc>
        <w:tc>
          <w:tcPr>
            <w:tcW w:w="12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800*1800</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门型展架框架                  落地式防风加重铁质            框架重12斤</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cs="宋体"/>
                <w:i w:val="0"/>
                <w:iCs w:val="0"/>
                <w:color w:val="000000"/>
                <w:kern w:val="0"/>
                <w:sz w:val="21"/>
                <w:szCs w:val="21"/>
                <w:u w:val="none"/>
                <w:lang w:val="en-US" w:eastAsia="zh-CN" w:bidi="ar"/>
              </w:rPr>
              <w:t>90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5" w:hRule="atLeast"/>
          <w:jc w:val="center"/>
        </w:trPr>
        <w:tc>
          <w:tcPr>
            <w:tcW w:w="4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793"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7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161290</wp:posOffset>
                  </wp:positionH>
                  <wp:positionV relativeFrom="paragraph">
                    <wp:posOffset>67310</wp:posOffset>
                  </wp:positionV>
                  <wp:extent cx="723900" cy="802640"/>
                  <wp:effectExtent l="0" t="0" r="0" b="16510"/>
                  <wp:wrapNone/>
                  <wp:docPr id="29" name="图片_23"/>
                  <wp:cNvGraphicFramePr/>
                  <a:graphic xmlns:a="http://schemas.openxmlformats.org/drawingml/2006/main">
                    <a:graphicData uri="http://schemas.openxmlformats.org/drawingml/2006/picture">
                      <pic:pic xmlns:pic="http://schemas.openxmlformats.org/drawingml/2006/picture">
                        <pic:nvPicPr>
                          <pic:cNvPr id="29" name="图片_23"/>
                          <pic:cNvPicPr/>
                        </pic:nvPicPr>
                        <pic:blipFill>
                          <a:blip r:embed="rId24"/>
                          <a:stretch>
                            <a:fillRect/>
                          </a:stretch>
                        </pic:blipFill>
                        <pic:spPr>
                          <a:xfrm>
                            <a:off x="0" y="0"/>
                            <a:ext cx="723900" cy="802640"/>
                          </a:xfrm>
                          <a:prstGeom prst="rect">
                            <a:avLst/>
                          </a:prstGeom>
                          <a:noFill/>
                          <a:ln>
                            <a:noFill/>
                          </a:ln>
                        </pic:spPr>
                      </pic:pic>
                    </a:graphicData>
                  </a:graphic>
                </wp:anchor>
              </w:drawing>
            </w:r>
          </w:p>
        </w:tc>
        <w:tc>
          <w:tcPr>
            <w:tcW w:w="12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德式丽屏架（插画版）          弧面铝型材立式展示牌</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1" w:hRule="atLeast"/>
          <w:jc w:val="center"/>
        </w:trPr>
        <w:tc>
          <w:tcPr>
            <w:tcW w:w="4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793"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2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门型展架画面                  3M 1220-10户外写真</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块</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1" w:hRule="atLeast"/>
          <w:jc w:val="center"/>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17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臂章</w:t>
            </w:r>
          </w:p>
        </w:tc>
        <w:tc>
          <w:tcPr>
            <w:tcW w:w="17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283210</wp:posOffset>
                  </wp:positionH>
                  <wp:positionV relativeFrom="paragraph">
                    <wp:posOffset>13335</wp:posOffset>
                  </wp:positionV>
                  <wp:extent cx="447675" cy="476885"/>
                  <wp:effectExtent l="0" t="0" r="9525" b="18415"/>
                  <wp:wrapNone/>
                  <wp:docPr id="30" name="图片_22"/>
                  <wp:cNvGraphicFramePr/>
                  <a:graphic xmlns:a="http://schemas.openxmlformats.org/drawingml/2006/main">
                    <a:graphicData uri="http://schemas.openxmlformats.org/drawingml/2006/picture">
                      <pic:pic xmlns:pic="http://schemas.openxmlformats.org/drawingml/2006/picture">
                        <pic:nvPicPr>
                          <pic:cNvPr id="30" name="图片_22"/>
                          <pic:cNvPicPr/>
                        </pic:nvPicPr>
                        <pic:blipFill>
                          <a:blip r:embed="rId25"/>
                          <a:stretch>
                            <a:fillRect/>
                          </a:stretch>
                        </pic:blipFill>
                        <pic:spPr>
                          <a:xfrm>
                            <a:off x="0" y="0"/>
                            <a:ext cx="447675" cy="476885"/>
                          </a:xfrm>
                          <a:prstGeom prst="rect">
                            <a:avLst/>
                          </a:prstGeom>
                          <a:noFill/>
                          <a:ln>
                            <a:noFill/>
                          </a:ln>
                        </pic:spPr>
                      </pic:pic>
                    </a:graphicData>
                  </a:graphic>
                </wp:anchor>
              </w:drawing>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80*120</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防水特制材质                  刺绣内容</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6" w:hRule="atLeast"/>
          <w:jc w:val="center"/>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17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院报设计</w:t>
            </w:r>
          </w:p>
        </w:tc>
        <w:tc>
          <w:tcPr>
            <w:tcW w:w="17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141605</wp:posOffset>
                  </wp:positionH>
                  <wp:positionV relativeFrom="paragraph">
                    <wp:posOffset>43815</wp:posOffset>
                  </wp:positionV>
                  <wp:extent cx="779145" cy="562610"/>
                  <wp:effectExtent l="0" t="0" r="1905" b="8890"/>
                  <wp:wrapNone/>
                  <wp:docPr id="32" name="图片_24"/>
                  <wp:cNvGraphicFramePr/>
                  <a:graphic xmlns:a="http://schemas.openxmlformats.org/drawingml/2006/main">
                    <a:graphicData uri="http://schemas.openxmlformats.org/drawingml/2006/picture">
                      <pic:pic xmlns:pic="http://schemas.openxmlformats.org/drawingml/2006/picture">
                        <pic:nvPicPr>
                          <pic:cNvPr id="32" name="图片_24"/>
                          <pic:cNvPicPr/>
                        </pic:nvPicPr>
                        <pic:blipFill>
                          <a:blip r:embed="rId26"/>
                          <a:stretch>
                            <a:fillRect/>
                          </a:stretch>
                        </pic:blipFill>
                        <pic:spPr>
                          <a:xfrm>
                            <a:off x="0" y="0"/>
                            <a:ext cx="779145" cy="562610"/>
                          </a:xfrm>
                          <a:prstGeom prst="rect">
                            <a:avLst/>
                          </a:prstGeom>
                          <a:noFill/>
                          <a:ln>
                            <a:noFill/>
                          </a:ln>
                        </pic:spPr>
                      </pic:pic>
                    </a:graphicData>
                  </a:graphic>
                </wp:anchor>
              </w:drawing>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1期</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设计报纸（8个版面）</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期</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5" w:hRule="atLeast"/>
          <w:jc w:val="center"/>
        </w:trPr>
        <w:tc>
          <w:tcPr>
            <w:tcW w:w="4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1793"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健康教育        宣传手册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127000</wp:posOffset>
                  </wp:positionH>
                  <wp:positionV relativeFrom="paragraph">
                    <wp:posOffset>48895</wp:posOffset>
                  </wp:positionV>
                  <wp:extent cx="793115" cy="508635"/>
                  <wp:effectExtent l="0" t="0" r="6985" b="5715"/>
                  <wp:wrapNone/>
                  <wp:docPr id="33" name="图片_26"/>
                  <wp:cNvGraphicFramePr/>
                  <a:graphic xmlns:a="http://schemas.openxmlformats.org/drawingml/2006/main">
                    <a:graphicData uri="http://schemas.openxmlformats.org/drawingml/2006/picture">
                      <pic:pic xmlns:pic="http://schemas.openxmlformats.org/drawingml/2006/picture">
                        <pic:nvPicPr>
                          <pic:cNvPr id="33" name="图片_26"/>
                          <pic:cNvPicPr/>
                        </pic:nvPicPr>
                        <pic:blipFill>
                          <a:blip r:embed="rId27"/>
                          <a:stretch>
                            <a:fillRect/>
                          </a:stretch>
                        </pic:blipFill>
                        <pic:spPr>
                          <a:xfrm>
                            <a:off x="0" y="0"/>
                            <a:ext cx="793115" cy="508635"/>
                          </a:xfrm>
                          <a:prstGeom prst="rect">
                            <a:avLst/>
                          </a:prstGeom>
                          <a:noFill/>
                          <a:ln>
                            <a:noFill/>
                          </a:ln>
                        </pic:spPr>
                      </pic:pic>
                    </a:graphicData>
                  </a:graphic>
                </wp:anchor>
              </w:drawing>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A4  三折页</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157g铜版纸专版印刷            压痕 弹簧折</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份</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0.1</w:t>
            </w:r>
            <w:r>
              <w:rPr>
                <w:rFonts w:hint="eastAsia" w:ascii="宋体" w:hAnsi="宋体" w:cs="宋体"/>
                <w:i w:val="0"/>
                <w:iCs w:val="0"/>
                <w:color w:val="000000"/>
                <w:kern w:val="0"/>
                <w:sz w:val="21"/>
                <w:szCs w:val="21"/>
                <w:u w:val="none"/>
                <w:lang w:val="en-US" w:eastAsia="zh-CN" w:bidi="ar"/>
              </w:rPr>
              <w:t>5</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3" w:hRule="atLeast"/>
          <w:jc w:val="center"/>
        </w:trPr>
        <w:tc>
          <w:tcPr>
            <w:tcW w:w="4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793"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155575</wp:posOffset>
                  </wp:positionH>
                  <wp:positionV relativeFrom="paragraph">
                    <wp:posOffset>37465</wp:posOffset>
                  </wp:positionV>
                  <wp:extent cx="694690" cy="616585"/>
                  <wp:effectExtent l="0" t="0" r="10160" b="12065"/>
                  <wp:wrapNone/>
                  <wp:docPr id="40" name="图片_26_SpCnt_1"/>
                  <wp:cNvGraphicFramePr/>
                  <a:graphic xmlns:a="http://schemas.openxmlformats.org/drawingml/2006/main">
                    <a:graphicData uri="http://schemas.openxmlformats.org/drawingml/2006/picture">
                      <pic:pic xmlns:pic="http://schemas.openxmlformats.org/drawingml/2006/picture">
                        <pic:nvPicPr>
                          <pic:cNvPr id="40" name="图片_26_SpCnt_1"/>
                          <pic:cNvPicPr/>
                        </pic:nvPicPr>
                        <pic:blipFill>
                          <a:blip r:embed="rId28"/>
                          <a:stretch>
                            <a:fillRect/>
                          </a:stretch>
                        </pic:blipFill>
                        <pic:spPr>
                          <a:xfrm>
                            <a:off x="0" y="0"/>
                            <a:ext cx="694690" cy="616585"/>
                          </a:xfrm>
                          <a:prstGeom prst="rect">
                            <a:avLst/>
                          </a:prstGeom>
                          <a:noFill/>
                          <a:ln>
                            <a:noFill/>
                          </a:ln>
                        </pic:spPr>
                      </pic:pic>
                    </a:graphicData>
                  </a:graphic>
                </wp:anchor>
              </w:drawing>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A4          教育处方</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黄蓝粉色纸单色印刷</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份</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0.8</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4" w:hRule="atLeast"/>
          <w:jc w:val="center"/>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17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透明玻璃贴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173990</wp:posOffset>
                  </wp:positionH>
                  <wp:positionV relativeFrom="paragraph">
                    <wp:posOffset>60325</wp:posOffset>
                  </wp:positionV>
                  <wp:extent cx="673100" cy="587375"/>
                  <wp:effectExtent l="0" t="0" r="12700" b="3175"/>
                  <wp:wrapNone/>
                  <wp:docPr id="41" name="图片_12"/>
                  <wp:cNvGraphicFramePr/>
                  <a:graphic xmlns:a="http://schemas.openxmlformats.org/drawingml/2006/main">
                    <a:graphicData uri="http://schemas.openxmlformats.org/drawingml/2006/picture">
                      <pic:pic xmlns:pic="http://schemas.openxmlformats.org/drawingml/2006/picture">
                        <pic:nvPicPr>
                          <pic:cNvPr id="41" name="图片_12"/>
                          <pic:cNvPicPr/>
                        </pic:nvPicPr>
                        <pic:blipFill>
                          <a:blip r:embed="rId29"/>
                          <a:stretch>
                            <a:fillRect/>
                          </a:stretch>
                        </pic:blipFill>
                        <pic:spPr>
                          <a:xfrm>
                            <a:off x="0" y="0"/>
                            <a:ext cx="673100" cy="587375"/>
                          </a:xfrm>
                          <a:prstGeom prst="rect">
                            <a:avLst/>
                          </a:prstGeom>
                          <a:noFill/>
                          <a:ln>
                            <a:noFill/>
                          </a:ln>
                        </pic:spPr>
                      </pic:pic>
                    </a:graphicData>
                  </a:graphic>
                </wp:anchor>
              </w:drawing>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1000*1000</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纳尔蓝钻超透膜打印</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平方</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75</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6" w:hRule="atLeast"/>
          <w:jc w:val="center"/>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7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PVC照片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349250</wp:posOffset>
                  </wp:positionH>
                  <wp:positionV relativeFrom="paragraph">
                    <wp:posOffset>36830</wp:posOffset>
                  </wp:positionV>
                  <wp:extent cx="372110" cy="503555"/>
                  <wp:effectExtent l="0" t="0" r="8890" b="10795"/>
                  <wp:wrapNone/>
                  <wp:docPr id="42" name="图片_28"/>
                  <wp:cNvGraphicFramePr/>
                  <a:graphic xmlns:a="http://schemas.openxmlformats.org/drawingml/2006/main">
                    <a:graphicData uri="http://schemas.openxmlformats.org/drawingml/2006/picture">
                      <pic:pic xmlns:pic="http://schemas.openxmlformats.org/drawingml/2006/picture">
                        <pic:nvPicPr>
                          <pic:cNvPr id="42" name="图片_28"/>
                          <pic:cNvPicPr/>
                        </pic:nvPicPr>
                        <pic:blipFill>
                          <a:blip r:embed="rId30"/>
                          <a:stretch>
                            <a:fillRect/>
                          </a:stretch>
                        </pic:blipFill>
                        <pic:spPr>
                          <a:xfrm>
                            <a:off x="0" y="0"/>
                            <a:ext cx="372110" cy="503555"/>
                          </a:xfrm>
                          <a:prstGeom prst="rect">
                            <a:avLst/>
                          </a:prstGeom>
                          <a:noFill/>
                          <a:ln>
                            <a:noFill/>
                          </a:ln>
                        </pic:spPr>
                      </pic:pic>
                    </a:graphicData>
                  </a:graphic>
                </wp:anchor>
              </w:drawing>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100*150mm</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1mm厚PVC硬片丝印                （不褪色）</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块</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9</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5" w:hRule="atLeast"/>
          <w:jc w:val="center"/>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17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23"/>
                <w:lang w:val="en-US" w:eastAsia="zh-CN" w:bidi="ar"/>
              </w:rPr>
              <w:t>移装、修改、清理标识 标牌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266700</wp:posOffset>
                  </wp:positionH>
                  <wp:positionV relativeFrom="paragraph">
                    <wp:posOffset>48260</wp:posOffset>
                  </wp:positionV>
                  <wp:extent cx="530225" cy="528320"/>
                  <wp:effectExtent l="0" t="0" r="3175" b="5080"/>
                  <wp:wrapNone/>
                  <wp:docPr id="43" name="图片_29"/>
                  <wp:cNvGraphicFramePr/>
                  <a:graphic xmlns:a="http://schemas.openxmlformats.org/drawingml/2006/main">
                    <a:graphicData uri="http://schemas.openxmlformats.org/drawingml/2006/picture">
                      <pic:pic xmlns:pic="http://schemas.openxmlformats.org/drawingml/2006/picture">
                        <pic:nvPicPr>
                          <pic:cNvPr id="43" name="图片_29"/>
                          <pic:cNvPicPr/>
                        </pic:nvPicPr>
                        <pic:blipFill>
                          <a:blip r:embed="rId31"/>
                          <a:stretch>
                            <a:fillRect/>
                          </a:stretch>
                        </pic:blipFill>
                        <pic:spPr>
                          <a:xfrm>
                            <a:off x="0" y="0"/>
                            <a:ext cx="530225" cy="528320"/>
                          </a:xfrm>
                          <a:prstGeom prst="rect">
                            <a:avLst/>
                          </a:prstGeom>
                          <a:noFill/>
                          <a:ln>
                            <a:noFill/>
                          </a:ln>
                        </pic:spPr>
                      </pic:pic>
                    </a:graphicData>
                  </a:graphic>
                </wp:anchor>
              </w:drawing>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人工</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按工作量折合计算</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人/天</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165</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19" w:hRule="atLeast"/>
          <w:jc w:val="center"/>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17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编号牌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200025</wp:posOffset>
                  </wp:positionH>
                  <wp:positionV relativeFrom="paragraph">
                    <wp:posOffset>38100</wp:posOffset>
                  </wp:positionV>
                  <wp:extent cx="774065" cy="800100"/>
                  <wp:effectExtent l="0" t="0" r="6985" b="0"/>
                  <wp:wrapNone/>
                  <wp:docPr id="44" name="图片_6"/>
                  <wp:cNvGraphicFramePr/>
                  <a:graphic xmlns:a="http://schemas.openxmlformats.org/drawingml/2006/main">
                    <a:graphicData uri="http://schemas.openxmlformats.org/drawingml/2006/picture">
                      <pic:pic xmlns:pic="http://schemas.openxmlformats.org/drawingml/2006/picture">
                        <pic:nvPicPr>
                          <pic:cNvPr id="44" name="图片_6"/>
                          <pic:cNvPicPr/>
                        </pic:nvPicPr>
                        <pic:blipFill>
                          <a:blip r:embed="rId32"/>
                          <a:stretch>
                            <a:fillRect/>
                          </a:stretch>
                        </pic:blipFill>
                        <pic:spPr>
                          <a:xfrm>
                            <a:off x="0" y="0"/>
                            <a:ext cx="774065" cy="800100"/>
                          </a:xfrm>
                          <a:prstGeom prst="rect">
                            <a:avLst/>
                          </a:prstGeom>
                          <a:noFill/>
                          <a:ln>
                            <a:noFill/>
                          </a:ln>
                        </pic:spPr>
                      </pic:pic>
                    </a:graphicData>
                  </a:graphic>
                </wp:anchor>
              </w:drawing>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110*110</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24"/>
                <w:lang w:val="en-US" w:eastAsia="zh-CN" w:bidi="ar"/>
              </w:rPr>
              <w:t xml:space="preserve">国标3mm厚亚克力激光雕刻,     </w:t>
            </w:r>
            <w:r>
              <w:rPr>
                <w:rStyle w:val="23"/>
                <w:lang w:val="en-US" w:eastAsia="zh-CN" w:bidi="ar"/>
              </w:rPr>
              <w:t>内容</w:t>
            </w:r>
            <w:r>
              <w:rPr>
                <w:rStyle w:val="24"/>
                <w:lang w:val="en-US" w:eastAsia="zh-CN" w:bidi="ar"/>
              </w:rPr>
              <w:t>丝印</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块</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cs="宋体"/>
                <w:i w:val="0"/>
                <w:iCs w:val="0"/>
                <w:color w:val="000000"/>
                <w:kern w:val="0"/>
                <w:sz w:val="21"/>
                <w:szCs w:val="21"/>
                <w:u w:val="none"/>
                <w:lang w:val="en-US" w:eastAsia="zh-CN" w:bidi="ar"/>
              </w:rPr>
              <w:t xml:space="preserve">10                                                                                                                                                                                                                                                                                                                                                                                                                                                                                                                                                                                                                                                                                                                                                                                                                                                                                                                                                                                                                                                                                                                                                                                                                                                                                                                                                                                                                                                                                                                                                                                                                                                                                                                                                                                                                                                                                                                                                                                                                                                                                                                              </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9" w:hRule="atLeast"/>
          <w:jc w:val="center"/>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17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床头卡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95250</wp:posOffset>
                  </wp:positionH>
                  <wp:positionV relativeFrom="paragraph">
                    <wp:posOffset>142875</wp:posOffset>
                  </wp:positionV>
                  <wp:extent cx="989330" cy="476250"/>
                  <wp:effectExtent l="0" t="0" r="1270" b="0"/>
                  <wp:wrapNone/>
                  <wp:docPr id="45" name="图片_34"/>
                  <wp:cNvGraphicFramePr/>
                  <a:graphic xmlns:a="http://schemas.openxmlformats.org/drawingml/2006/main">
                    <a:graphicData uri="http://schemas.openxmlformats.org/drawingml/2006/picture">
                      <pic:pic xmlns:pic="http://schemas.openxmlformats.org/drawingml/2006/picture">
                        <pic:nvPicPr>
                          <pic:cNvPr id="45" name="图片_34"/>
                          <pic:cNvPicPr/>
                        </pic:nvPicPr>
                        <pic:blipFill>
                          <a:blip r:embed="rId33"/>
                          <a:stretch>
                            <a:fillRect/>
                          </a:stretch>
                        </pic:blipFill>
                        <pic:spPr>
                          <a:xfrm>
                            <a:off x="0" y="0"/>
                            <a:ext cx="989330" cy="476250"/>
                          </a:xfrm>
                          <a:prstGeom prst="rect">
                            <a:avLst/>
                          </a:prstGeom>
                          <a:noFill/>
                          <a:ln>
                            <a:noFill/>
                          </a:ln>
                        </pic:spPr>
                      </pic:pic>
                    </a:graphicData>
                  </a:graphic>
                </wp:anchor>
              </w:drawing>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280*110</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24"/>
                <w:lang w:val="en-US" w:eastAsia="zh-CN" w:bidi="ar"/>
              </w:rPr>
              <w:t>面板国标3mm厚透明亚克力雕刻,</w:t>
            </w:r>
            <w:r>
              <w:rPr>
                <w:rStyle w:val="23"/>
                <w:lang w:val="en-US" w:eastAsia="zh-CN" w:bidi="ar"/>
              </w:rPr>
              <w:t>内容</w:t>
            </w:r>
            <w:r>
              <w:rPr>
                <w:rStyle w:val="24"/>
                <w:lang w:val="en-US" w:eastAsia="zh-CN" w:bidi="ar"/>
              </w:rPr>
              <w:t>丝印，背面丝印白色部分保持透明，中间板2mm瓷白亚克力雕刻，底板2mm瓷白亚克力雕刻</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块</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1" w:hRule="atLeast"/>
          <w:jc w:val="center"/>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17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科室牌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171450</wp:posOffset>
                  </wp:positionH>
                  <wp:positionV relativeFrom="paragraph">
                    <wp:posOffset>76200</wp:posOffset>
                  </wp:positionV>
                  <wp:extent cx="845185" cy="476250"/>
                  <wp:effectExtent l="0" t="0" r="12065" b="0"/>
                  <wp:wrapNone/>
                  <wp:docPr id="46" name="图片_43"/>
                  <wp:cNvGraphicFramePr/>
                  <a:graphic xmlns:a="http://schemas.openxmlformats.org/drawingml/2006/main">
                    <a:graphicData uri="http://schemas.openxmlformats.org/drawingml/2006/picture">
                      <pic:pic xmlns:pic="http://schemas.openxmlformats.org/drawingml/2006/picture">
                        <pic:nvPicPr>
                          <pic:cNvPr id="46" name="图片_43"/>
                          <pic:cNvPicPr/>
                        </pic:nvPicPr>
                        <pic:blipFill>
                          <a:blip r:embed="rId34"/>
                          <a:stretch>
                            <a:fillRect/>
                          </a:stretch>
                        </pic:blipFill>
                        <pic:spPr>
                          <a:xfrm>
                            <a:off x="0" y="0"/>
                            <a:ext cx="845185" cy="476250"/>
                          </a:xfrm>
                          <a:prstGeom prst="rect">
                            <a:avLst/>
                          </a:prstGeom>
                          <a:noFill/>
                          <a:ln>
                            <a:noFill/>
                          </a:ln>
                        </pic:spPr>
                      </pic:pic>
                    </a:graphicData>
                  </a:graphic>
                </wp:anchor>
              </w:drawing>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320*160</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M160专业标识铝型材分段汽车烤漆，Bg35专业标识铝型材汽车烤漆白色，bg24专业标识铝型材汽车烤漆白色，内容丝印</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块</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6" w:hRule="atLeast"/>
          <w:jc w:val="center"/>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17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病室牌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88265</wp:posOffset>
                  </wp:positionH>
                  <wp:positionV relativeFrom="paragraph">
                    <wp:posOffset>104775</wp:posOffset>
                  </wp:positionV>
                  <wp:extent cx="1016000" cy="571500"/>
                  <wp:effectExtent l="0" t="0" r="12700" b="0"/>
                  <wp:wrapNone/>
                  <wp:docPr id="2" name="图片_18"/>
                  <wp:cNvGraphicFramePr/>
                  <a:graphic xmlns:a="http://schemas.openxmlformats.org/drawingml/2006/main">
                    <a:graphicData uri="http://schemas.openxmlformats.org/drawingml/2006/picture">
                      <pic:pic xmlns:pic="http://schemas.openxmlformats.org/drawingml/2006/picture">
                        <pic:nvPicPr>
                          <pic:cNvPr id="2" name="图片_18"/>
                          <pic:cNvPicPr/>
                        </pic:nvPicPr>
                        <pic:blipFill>
                          <a:blip r:embed="rId35"/>
                          <a:stretch>
                            <a:fillRect/>
                          </a:stretch>
                        </pic:blipFill>
                        <pic:spPr>
                          <a:xfrm>
                            <a:off x="0" y="0"/>
                            <a:ext cx="1016000" cy="571500"/>
                          </a:xfrm>
                          <a:prstGeom prst="rect">
                            <a:avLst/>
                          </a:prstGeom>
                          <a:noFill/>
                          <a:ln>
                            <a:noFill/>
                          </a:ln>
                        </pic:spPr>
                      </pic:pic>
                    </a:graphicData>
                  </a:graphic>
                </wp:anchor>
              </w:drawing>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300*180</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M180专业标识铝型材面板汽车烤漆，内容丝网印，Bg24专业标识铝型材汽车烤漆白色，内容丝印</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块</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6" w:hRule="atLeast"/>
          <w:jc w:val="center"/>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w:t>
            </w:r>
          </w:p>
        </w:tc>
        <w:tc>
          <w:tcPr>
            <w:tcW w:w="17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灯箱换灯         换变压器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12065</wp:posOffset>
                  </wp:positionH>
                  <wp:positionV relativeFrom="paragraph">
                    <wp:posOffset>104775</wp:posOffset>
                  </wp:positionV>
                  <wp:extent cx="1125855" cy="285750"/>
                  <wp:effectExtent l="0" t="0" r="17145" b="0"/>
                  <wp:wrapNone/>
                  <wp:docPr id="4" name="图片_16"/>
                  <wp:cNvGraphicFramePr/>
                  <a:graphic xmlns:a="http://schemas.openxmlformats.org/drawingml/2006/main">
                    <a:graphicData uri="http://schemas.openxmlformats.org/drawingml/2006/picture">
                      <pic:pic xmlns:pic="http://schemas.openxmlformats.org/drawingml/2006/picture">
                        <pic:nvPicPr>
                          <pic:cNvPr id="4" name="图片_16"/>
                          <pic:cNvPicPr/>
                        </pic:nvPicPr>
                        <pic:blipFill>
                          <a:blip r:embed="rId36"/>
                          <a:stretch>
                            <a:fillRect/>
                          </a:stretch>
                        </pic:blipFill>
                        <pic:spPr>
                          <a:xfrm>
                            <a:off x="0" y="0"/>
                            <a:ext cx="1125855" cy="285750"/>
                          </a:xfrm>
                          <a:prstGeom prst="rect">
                            <a:avLst/>
                          </a:prstGeom>
                          <a:noFill/>
                          <a:ln>
                            <a:noFill/>
                          </a:ln>
                        </pic:spPr>
                      </pic:pic>
                    </a:graphicData>
                  </a:graphic>
                </wp:anchor>
              </w:drawing>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2000*300</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24"/>
                <w:lang w:val="en-US" w:eastAsia="zh-CN" w:bidi="ar"/>
              </w:rPr>
              <w:t>LED灯带,A6变压器，需要把灯箱面版拆下来旧的LED类带及变压器拆除</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块</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135</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8" w:hRule="atLeast"/>
          <w:jc w:val="center"/>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w:t>
            </w:r>
          </w:p>
        </w:tc>
        <w:tc>
          <w:tcPr>
            <w:tcW w:w="17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宣传栏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66675</wp:posOffset>
                  </wp:positionH>
                  <wp:positionV relativeFrom="paragraph">
                    <wp:posOffset>199390</wp:posOffset>
                  </wp:positionV>
                  <wp:extent cx="1017270" cy="572135"/>
                  <wp:effectExtent l="0" t="0" r="11430" b="18415"/>
                  <wp:wrapNone/>
                  <wp:docPr id="5" name="图片_19"/>
                  <wp:cNvGraphicFramePr/>
                  <a:graphic xmlns:a="http://schemas.openxmlformats.org/drawingml/2006/main">
                    <a:graphicData uri="http://schemas.openxmlformats.org/drawingml/2006/picture">
                      <pic:pic xmlns:pic="http://schemas.openxmlformats.org/drawingml/2006/picture">
                        <pic:nvPicPr>
                          <pic:cNvPr id="5" name="图片_19"/>
                          <pic:cNvPicPr/>
                        </pic:nvPicPr>
                        <pic:blipFill>
                          <a:blip r:embed="rId37"/>
                          <a:stretch>
                            <a:fillRect/>
                          </a:stretch>
                        </pic:blipFill>
                        <pic:spPr>
                          <a:xfrm>
                            <a:off x="0" y="0"/>
                            <a:ext cx="1017270" cy="572135"/>
                          </a:xfrm>
                          <a:prstGeom prst="rect">
                            <a:avLst/>
                          </a:prstGeom>
                          <a:noFill/>
                          <a:ln>
                            <a:noFill/>
                          </a:ln>
                        </pic:spPr>
                      </pic:pic>
                    </a:graphicData>
                  </a:graphic>
                </wp:anchor>
              </w:drawing>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2100*1000</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左边1.2mm厚304不锈钢折弯5公分厚汽车烤漆,内容丝印，右边专业标识5公分宽铝型材双层边框，盖板3mm透明亚克力，插槽配1mm透明有机片，白色铝塑板</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块</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9" w:hRule="atLeast"/>
          <w:jc w:val="center"/>
        </w:trPr>
        <w:tc>
          <w:tcPr>
            <w:tcW w:w="4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c>
          <w:tcPr>
            <w:tcW w:w="1793"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医护人员一览表</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83185</wp:posOffset>
                  </wp:positionH>
                  <wp:positionV relativeFrom="paragraph">
                    <wp:posOffset>240030</wp:posOffset>
                  </wp:positionV>
                  <wp:extent cx="1021080" cy="574040"/>
                  <wp:effectExtent l="0" t="0" r="7620" b="16510"/>
                  <wp:wrapNone/>
                  <wp:docPr id="1" name="图片_27"/>
                  <wp:cNvGraphicFramePr/>
                  <a:graphic xmlns:a="http://schemas.openxmlformats.org/drawingml/2006/main">
                    <a:graphicData uri="http://schemas.openxmlformats.org/drawingml/2006/picture">
                      <pic:pic xmlns:pic="http://schemas.openxmlformats.org/drawingml/2006/picture">
                        <pic:nvPicPr>
                          <pic:cNvPr id="1" name="图片_27"/>
                          <pic:cNvPicPr/>
                        </pic:nvPicPr>
                        <pic:blipFill>
                          <a:blip r:embed="rId38"/>
                          <a:stretch>
                            <a:fillRect/>
                          </a:stretch>
                        </pic:blipFill>
                        <pic:spPr>
                          <a:xfrm>
                            <a:off x="0" y="0"/>
                            <a:ext cx="1021080" cy="574040"/>
                          </a:xfrm>
                          <a:prstGeom prst="rect">
                            <a:avLst/>
                          </a:prstGeom>
                          <a:noFill/>
                          <a:ln>
                            <a:noFill/>
                          </a:ln>
                        </pic:spPr>
                      </pic:pic>
                    </a:graphicData>
                  </a:graphic>
                </wp:anchor>
              </w:drawing>
            </w:r>
          </w:p>
        </w:tc>
        <w:tc>
          <w:tcPr>
            <w:tcW w:w="12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2350*1000</w:t>
            </w:r>
          </w:p>
        </w:tc>
        <w:tc>
          <w:tcPr>
            <w:tcW w:w="29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左边1.2mm厚304不锈钢折弯汽车烤漆,内容丝印，右边专业标识5公分宽铝型材双层边框，盖板3mm透明亚克力，插槽配专业标识铝型材，白色铝塑板</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块</w:t>
            </w:r>
          </w:p>
        </w:tc>
        <w:tc>
          <w:tcPr>
            <w:tcW w:w="8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1400</w:t>
            </w:r>
          </w:p>
        </w:tc>
        <w:tc>
          <w:tcPr>
            <w:tcW w:w="7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6" w:hRule="atLeast"/>
          <w:jc w:val="center"/>
        </w:trPr>
        <w:tc>
          <w:tcPr>
            <w:tcW w:w="4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793"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9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3" w:hRule="atLeast"/>
          <w:jc w:val="center"/>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w:t>
            </w:r>
          </w:p>
        </w:tc>
        <w:tc>
          <w:tcPr>
            <w:tcW w:w="17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3mm亚克力标牌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400050</wp:posOffset>
                  </wp:positionH>
                  <wp:positionV relativeFrom="paragraph">
                    <wp:posOffset>57150</wp:posOffset>
                  </wp:positionV>
                  <wp:extent cx="412115" cy="581025"/>
                  <wp:effectExtent l="0" t="0" r="6985" b="9525"/>
                  <wp:wrapNone/>
                  <wp:docPr id="3" name="图片_35"/>
                  <wp:cNvGraphicFramePr/>
                  <a:graphic xmlns:a="http://schemas.openxmlformats.org/drawingml/2006/main">
                    <a:graphicData uri="http://schemas.openxmlformats.org/drawingml/2006/picture">
                      <pic:pic xmlns:pic="http://schemas.openxmlformats.org/drawingml/2006/picture">
                        <pic:nvPicPr>
                          <pic:cNvPr id="3" name="图片_35"/>
                          <pic:cNvPicPr/>
                        </pic:nvPicPr>
                        <pic:blipFill>
                          <a:blip r:embed="rId39"/>
                          <a:stretch>
                            <a:fillRect/>
                          </a:stretch>
                        </pic:blipFill>
                        <pic:spPr>
                          <a:xfrm>
                            <a:off x="0" y="0"/>
                            <a:ext cx="412115" cy="581025"/>
                          </a:xfrm>
                          <a:prstGeom prst="rect">
                            <a:avLst/>
                          </a:prstGeom>
                          <a:noFill/>
                          <a:ln>
                            <a:noFill/>
                          </a:ln>
                        </pic:spPr>
                      </pic:pic>
                    </a:graphicData>
                  </a:graphic>
                </wp:anchor>
              </w:drawing>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1000*1000</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国标3mm厚亚克力激光雕刻,   内容丝印</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平方</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2" w:hRule="atLeast"/>
          <w:jc w:val="center"/>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17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乳白Ps板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371475</wp:posOffset>
                  </wp:positionH>
                  <wp:positionV relativeFrom="paragraph">
                    <wp:posOffset>19050</wp:posOffset>
                  </wp:positionV>
                  <wp:extent cx="431165" cy="533400"/>
                  <wp:effectExtent l="0" t="0" r="6985" b="0"/>
                  <wp:wrapNone/>
                  <wp:docPr id="13" name="图片_52"/>
                  <wp:cNvGraphicFramePr/>
                  <a:graphic xmlns:a="http://schemas.openxmlformats.org/drawingml/2006/main">
                    <a:graphicData uri="http://schemas.openxmlformats.org/drawingml/2006/picture">
                      <pic:pic xmlns:pic="http://schemas.openxmlformats.org/drawingml/2006/picture">
                        <pic:nvPicPr>
                          <pic:cNvPr id="13" name="图片_52"/>
                          <pic:cNvPicPr/>
                        </pic:nvPicPr>
                        <pic:blipFill>
                          <a:blip r:embed="rId40"/>
                          <a:stretch>
                            <a:fillRect/>
                          </a:stretch>
                        </pic:blipFill>
                        <pic:spPr>
                          <a:xfrm>
                            <a:off x="0" y="0"/>
                            <a:ext cx="431165" cy="533400"/>
                          </a:xfrm>
                          <a:prstGeom prst="rect">
                            <a:avLst/>
                          </a:prstGeom>
                          <a:noFill/>
                          <a:ln>
                            <a:noFill/>
                          </a:ln>
                        </pic:spPr>
                      </pic:pic>
                    </a:graphicData>
                  </a:graphic>
                </wp:anchor>
              </w:drawing>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24"/>
                <w:lang w:val="en-US" w:eastAsia="zh-CN" w:bidi="ar"/>
              </w:rPr>
              <w:t>1000*1000</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国标1mm厚乳白Ps板雕刻，    内容丝印，表面喷光油</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平方</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72" w:hRule="atLeast"/>
          <w:jc w:val="center"/>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17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白板擦盒子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295275</wp:posOffset>
                  </wp:positionH>
                  <wp:positionV relativeFrom="paragraph">
                    <wp:posOffset>95250</wp:posOffset>
                  </wp:positionV>
                  <wp:extent cx="466725" cy="614045"/>
                  <wp:effectExtent l="0" t="0" r="9525" b="14605"/>
                  <wp:wrapNone/>
                  <wp:docPr id="14" name="图片_7"/>
                  <wp:cNvGraphicFramePr/>
                  <a:graphic xmlns:a="http://schemas.openxmlformats.org/drawingml/2006/main">
                    <a:graphicData uri="http://schemas.openxmlformats.org/drawingml/2006/picture">
                      <pic:pic xmlns:pic="http://schemas.openxmlformats.org/drawingml/2006/picture">
                        <pic:nvPicPr>
                          <pic:cNvPr id="14" name="图片_7"/>
                          <pic:cNvPicPr/>
                        </pic:nvPicPr>
                        <pic:blipFill>
                          <a:blip r:embed="rId41"/>
                          <a:stretch>
                            <a:fillRect/>
                          </a:stretch>
                        </pic:blipFill>
                        <pic:spPr>
                          <a:xfrm>
                            <a:off x="0" y="0"/>
                            <a:ext cx="466725" cy="614045"/>
                          </a:xfrm>
                          <a:prstGeom prst="rect">
                            <a:avLst/>
                          </a:prstGeom>
                          <a:noFill/>
                          <a:ln>
                            <a:noFill/>
                          </a:ln>
                        </pic:spPr>
                      </pic:pic>
                    </a:graphicData>
                  </a:graphic>
                </wp:anchor>
              </w:drawing>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130*200*50</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24"/>
                <w:lang w:val="en-US" w:eastAsia="zh-CN" w:bidi="ar"/>
              </w:rPr>
              <w:t xml:space="preserve">国标3mm厚亚克力激光雕刻,   </w:t>
            </w:r>
            <w:r>
              <w:rPr>
                <w:rStyle w:val="23"/>
                <w:lang w:val="en-US" w:eastAsia="zh-CN" w:bidi="ar"/>
              </w:rPr>
              <w:t>内容</w:t>
            </w:r>
            <w:r>
              <w:rPr>
                <w:rStyle w:val="24"/>
                <w:lang w:val="en-US" w:eastAsia="zh-CN" w:bidi="ar"/>
              </w:rPr>
              <w:t>丝印（6块亚克力组合）</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 xml:space="preserve">                                                                                                                                                                                                                                                                                                                                                                                                                                                                                                                                                                                                                                                                                                                                                                                                                                                                                                                                                                        </w:t>
            </w:r>
            <w:r>
              <w:rPr>
                <w:rFonts w:hint="eastAsia" w:ascii="宋体" w:hAnsi="宋体" w:eastAsia="宋体" w:cs="宋体"/>
                <w:i w:val="0"/>
                <w:iCs w:val="0"/>
                <w:color w:val="000000"/>
                <w:kern w:val="0"/>
                <w:sz w:val="21"/>
                <w:szCs w:val="21"/>
                <w:u w:val="none"/>
                <w:lang w:val="en-US" w:eastAsia="zh-CN" w:bidi="ar"/>
              </w:rPr>
              <w:t>70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9" w:hRule="atLeast"/>
          <w:jc w:val="center"/>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 xml:space="preserve">                                                                              </w:t>
            </w:r>
            <w:r>
              <w:rPr>
                <w:rFonts w:hint="eastAsia" w:ascii="宋体" w:hAnsi="宋体" w:eastAsia="宋体" w:cs="宋体"/>
                <w:i w:val="0"/>
                <w:iCs w:val="0"/>
                <w:color w:val="000000"/>
                <w:kern w:val="0"/>
                <w:sz w:val="21"/>
                <w:szCs w:val="21"/>
                <w:u w:val="none"/>
                <w:lang w:val="en-US" w:eastAsia="zh-CN" w:bidi="ar"/>
              </w:rPr>
              <w:t>32</w:t>
            </w:r>
          </w:p>
        </w:tc>
        <w:tc>
          <w:tcPr>
            <w:tcW w:w="17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检查化验架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295275</wp:posOffset>
                  </wp:positionH>
                  <wp:positionV relativeFrom="paragraph">
                    <wp:posOffset>57150</wp:posOffset>
                  </wp:positionV>
                  <wp:extent cx="400685" cy="590550"/>
                  <wp:effectExtent l="0" t="0" r="18415" b="0"/>
                  <wp:wrapNone/>
                  <wp:docPr id="12" name="图片_38"/>
                  <wp:cNvGraphicFramePr/>
                  <a:graphic xmlns:a="http://schemas.openxmlformats.org/drawingml/2006/main">
                    <a:graphicData uri="http://schemas.openxmlformats.org/drawingml/2006/picture">
                      <pic:pic xmlns:pic="http://schemas.openxmlformats.org/drawingml/2006/picture">
                        <pic:nvPicPr>
                          <pic:cNvPr id="12" name="图片_38"/>
                          <pic:cNvPicPr/>
                        </pic:nvPicPr>
                        <pic:blipFill>
                          <a:blip r:embed="rId42"/>
                          <a:stretch>
                            <a:fillRect/>
                          </a:stretch>
                        </pic:blipFill>
                        <pic:spPr>
                          <a:xfrm>
                            <a:off x="0" y="0"/>
                            <a:ext cx="400685" cy="590550"/>
                          </a:xfrm>
                          <a:prstGeom prst="rect">
                            <a:avLst/>
                          </a:prstGeom>
                          <a:noFill/>
                          <a:ln>
                            <a:noFill/>
                          </a:ln>
                        </pic:spPr>
                      </pic:pic>
                    </a:graphicData>
                  </a:graphic>
                </wp:anchor>
              </w:drawing>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230*380*80</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国标3mm厚亚克力激光雕刻,   内容丝印 （6块亚克力组合）</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19" w:hRule="atLeast"/>
          <w:jc w:val="center"/>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w:t>
            </w:r>
          </w:p>
        </w:tc>
        <w:tc>
          <w:tcPr>
            <w:tcW w:w="17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相片盒子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339725</wp:posOffset>
                  </wp:positionH>
                  <wp:positionV relativeFrom="paragraph">
                    <wp:posOffset>88265</wp:posOffset>
                  </wp:positionV>
                  <wp:extent cx="394970" cy="702310"/>
                  <wp:effectExtent l="0" t="0" r="5080" b="2540"/>
                  <wp:wrapNone/>
                  <wp:docPr id="9" name="图片_5"/>
                  <wp:cNvGraphicFramePr/>
                  <a:graphic xmlns:a="http://schemas.openxmlformats.org/drawingml/2006/main">
                    <a:graphicData uri="http://schemas.openxmlformats.org/drawingml/2006/picture">
                      <pic:pic xmlns:pic="http://schemas.openxmlformats.org/drawingml/2006/picture">
                        <pic:nvPicPr>
                          <pic:cNvPr id="9" name="图片_5"/>
                          <pic:cNvPicPr/>
                        </pic:nvPicPr>
                        <pic:blipFill>
                          <a:blip r:embed="rId43"/>
                          <a:stretch>
                            <a:fillRect/>
                          </a:stretch>
                        </pic:blipFill>
                        <pic:spPr>
                          <a:xfrm>
                            <a:off x="0" y="0"/>
                            <a:ext cx="394970" cy="702310"/>
                          </a:xfrm>
                          <a:prstGeom prst="rect">
                            <a:avLst/>
                          </a:prstGeom>
                          <a:noFill/>
                          <a:ln>
                            <a:noFill/>
                          </a:ln>
                        </pic:spPr>
                      </pic:pic>
                    </a:graphicData>
                  </a:graphic>
                </wp:anchor>
              </w:drawing>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150*100</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普通3mm厚亚克力激光雕刻</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cs="宋体"/>
                <w:i w:val="0"/>
                <w:iCs w:val="0"/>
                <w:color w:val="000000"/>
                <w:kern w:val="0"/>
                <w:sz w:val="21"/>
                <w:szCs w:val="21"/>
                <w:u w:val="none"/>
                <w:lang w:val="en-US" w:eastAsia="zh-CN" w:bidi="ar"/>
              </w:rPr>
              <w:t xml:space="preserve">                                                                                                                                                                                                                                                                                                                                                                                                                              8.05</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6" w:hRule="atLeast"/>
          <w:jc w:val="center"/>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17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水晶字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260350</wp:posOffset>
                  </wp:positionH>
                  <wp:positionV relativeFrom="paragraph">
                    <wp:posOffset>57150</wp:posOffset>
                  </wp:positionV>
                  <wp:extent cx="647700" cy="485775"/>
                  <wp:effectExtent l="0" t="0" r="0" b="9525"/>
                  <wp:wrapNone/>
                  <wp:docPr id="7" name="图片_42"/>
                  <wp:cNvGraphicFramePr/>
                  <a:graphic xmlns:a="http://schemas.openxmlformats.org/drawingml/2006/main">
                    <a:graphicData uri="http://schemas.openxmlformats.org/drawingml/2006/picture">
                      <pic:pic xmlns:pic="http://schemas.openxmlformats.org/drawingml/2006/picture">
                        <pic:nvPicPr>
                          <pic:cNvPr id="7" name="图片_42"/>
                          <pic:cNvPicPr/>
                        </pic:nvPicPr>
                        <pic:blipFill>
                          <a:blip r:embed="rId44"/>
                          <a:stretch>
                            <a:fillRect/>
                          </a:stretch>
                        </pic:blipFill>
                        <pic:spPr>
                          <a:xfrm>
                            <a:off x="0" y="0"/>
                            <a:ext cx="647700" cy="485775"/>
                          </a:xfrm>
                          <a:prstGeom prst="rect">
                            <a:avLst/>
                          </a:prstGeom>
                          <a:noFill/>
                          <a:ln>
                            <a:noFill/>
                          </a:ln>
                        </pic:spPr>
                      </pic:pic>
                    </a:graphicData>
                  </a:graphic>
                </wp:anchor>
              </w:drawing>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字高:100</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国标10+3mm亚克力激光雕刻</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9" w:hRule="atLeast"/>
          <w:jc w:val="center"/>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17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文化墙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318135</wp:posOffset>
                  </wp:positionH>
                  <wp:positionV relativeFrom="paragraph">
                    <wp:posOffset>28575</wp:posOffset>
                  </wp:positionV>
                  <wp:extent cx="586740" cy="439420"/>
                  <wp:effectExtent l="0" t="0" r="3810" b="17780"/>
                  <wp:wrapNone/>
                  <wp:docPr id="10" name="图片_47"/>
                  <wp:cNvGraphicFramePr/>
                  <a:graphic xmlns:a="http://schemas.openxmlformats.org/drawingml/2006/main">
                    <a:graphicData uri="http://schemas.openxmlformats.org/drawingml/2006/picture">
                      <pic:pic xmlns:pic="http://schemas.openxmlformats.org/drawingml/2006/picture">
                        <pic:nvPicPr>
                          <pic:cNvPr id="10" name="图片_47"/>
                          <pic:cNvPicPr/>
                        </pic:nvPicPr>
                        <pic:blipFill>
                          <a:blip r:embed="rId45"/>
                          <a:stretch>
                            <a:fillRect/>
                          </a:stretch>
                        </pic:blipFill>
                        <pic:spPr>
                          <a:xfrm>
                            <a:off x="0" y="0"/>
                            <a:ext cx="586740" cy="439420"/>
                          </a:xfrm>
                          <a:prstGeom prst="rect">
                            <a:avLst/>
                          </a:prstGeom>
                          <a:noFill/>
                          <a:ln>
                            <a:noFill/>
                          </a:ln>
                        </pic:spPr>
                      </pic:pic>
                    </a:graphicData>
                  </a:graphic>
                </wp:anchor>
              </w:drawing>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1000*1000</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20mm结皮板加国标2mm亚克力  切割，内容丝印</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平方</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2" w:hRule="atLeast"/>
          <w:jc w:val="center"/>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17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三角台牌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76200</wp:posOffset>
                  </wp:positionH>
                  <wp:positionV relativeFrom="paragraph">
                    <wp:posOffset>38100</wp:posOffset>
                  </wp:positionV>
                  <wp:extent cx="1021080" cy="447675"/>
                  <wp:effectExtent l="0" t="0" r="7620" b="9525"/>
                  <wp:wrapNone/>
                  <wp:docPr id="6" name="图片_46"/>
                  <wp:cNvGraphicFramePr/>
                  <a:graphic xmlns:a="http://schemas.openxmlformats.org/drawingml/2006/main">
                    <a:graphicData uri="http://schemas.openxmlformats.org/drawingml/2006/picture">
                      <pic:pic xmlns:pic="http://schemas.openxmlformats.org/drawingml/2006/picture">
                        <pic:nvPicPr>
                          <pic:cNvPr id="6" name="图片_46"/>
                          <pic:cNvPicPr/>
                        </pic:nvPicPr>
                        <pic:blipFill>
                          <a:blip r:embed="rId46"/>
                          <a:stretch>
                            <a:fillRect/>
                          </a:stretch>
                        </pic:blipFill>
                        <pic:spPr>
                          <a:xfrm>
                            <a:off x="0" y="0"/>
                            <a:ext cx="1021080" cy="447675"/>
                          </a:xfrm>
                          <a:prstGeom prst="rect">
                            <a:avLst/>
                          </a:prstGeom>
                          <a:noFill/>
                          <a:ln>
                            <a:noFill/>
                          </a:ln>
                        </pic:spPr>
                      </pic:pic>
                    </a:graphicData>
                  </a:graphic>
                </wp:anchor>
              </w:drawing>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300*150</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国标3mm厚亚克力激光雕刻，  三个面折弯</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75</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9" w:hRule="atLeast"/>
          <w:jc w:val="center"/>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w:t>
            </w:r>
          </w:p>
        </w:tc>
        <w:tc>
          <w:tcPr>
            <w:tcW w:w="17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控烟牌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152400</wp:posOffset>
                  </wp:positionH>
                  <wp:positionV relativeFrom="paragraph">
                    <wp:posOffset>28575</wp:posOffset>
                  </wp:positionV>
                  <wp:extent cx="762635" cy="409575"/>
                  <wp:effectExtent l="0" t="0" r="18415" b="9525"/>
                  <wp:wrapNone/>
                  <wp:docPr id="11" name="图片_50"/>
                  <wp:cNvGraphicFramePr/>
                  <a:graphic xmlns:a="http://schemas.openxmlformats.org/drawingml/2006/main">
                    <a:graphicData uri="http://schemas.openxmlformats.org/drawingml/2006/picture">
                      <pic:pic xmlns:pic="http://schemas.openxmlformats.org/drawingml/2006/picture">
                        <pic:nvPicPr>
                          <pic:cNvPr id="11" name="图片_50"/>
                          <pic:cNvPicPr/>
                        </pic:nvPicPr>
                        <pic:blipFill>
                          <a:blip r:embed="rId47"/>
                          <a:stretch>
                            <a:fillRect/>
                          </a:stretch>
                        </pic:blipFill>
                        <pic:spPr>
                          <a:xfrm>
                            <a:off x="0" y="0"/>
                            <a:ext cx="762635" cy="409575"/>
                          </a:xfrm>
                          <a:prstGeom prst="rect">
                            <a:avLst/>
                          </a:prstGeom>
                          <a:noFill/>
                          <a:ln>
                            <a:noFill/>
                          </a:ln>
                        </pic:spPr>
                      </pic:pic>
                    </a:graphicData>
                  </a:graphic>
                </wp:anchor>
              </w:drawing>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55*30</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国标3mm厚亚克力激光雕刻，  表面滴塑</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9" w:hRule="atLeast"/>
          <w:jc w:val="center"/>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w:t>
            </w:r>
          </w:p>
        </w:tc>
        <w:tc>
          <w:tcPr>
            <w:tcW w:w="17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院旗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295275</wp:posOffset>
                  </wp:positionH>
                  <wp:positionV relativeFrom="paragraph">
                    <wp:posOffset>28575</wp:posOffset>
                  </wp:positionV>
                  <wp:extent cx="640080" cy="409575"/>
                  <wp:effectExtent l="0" t="0" r="7620" b="9525"/>
                  <wp:wrapNone/>
                  <wp:docPr id="8" name="图片_49"/>
                  <wp:cNvGraphicFramePr/>
                  <a:graphic xmlns:a="http://schemas.openxmlformats.org/drawingml/2006/main">
                    <a:graphicData uri="http://schemas.openxmlformats.org/drawingml/2006/picture">
                      <pic:pic xmlns:pic="http://schemas.openxmlformats.org/drawingml/2006/picture">
                        <pic:nvPicPr>
                          <pic:cNvPr id="8" name="图片_49"/>
                          <pic:cNvPicPr/>
                        </pic:nvPicPr>
                        <pic:blipFill>
                          <a:blip r:embed="rId48"/>
                          <a:stretch>
                            <a:fillRect/>
                          </a:stretch>
                        </pic:blipFill>
                        <pic:spPr>
                          <a:xfrm>
                            <a:off x="0" y="0"/>
                            <a:ext cx="640080" cy="409575"/>
                          </a:xfrm>
                          <a:prstGeom prst="rect">
                            <a:avLst/>
                          </a:prstGeom>
                          <a:noFill/>
                          <a:ln>
                            <a:noFill/>
                          </a:ln>
                        </pic:spPr>
                      </pic:pic>
                    </a:graphicData>
                  </a:graphic>
                </wp:anchor>
              </w:drawing>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1920*1280</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专业旗布印刷单面</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面</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4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w:t>
            </w:r>
          </w:p>
        </w:tc>
        <w:tc>
          <w:tcPr>
            <w:tcW w:w="1793"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楼层索引          内容修改</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428625</wp:posOffset>
                  </wp:positionH>
                  <wp:positionV relativeFrom="paragraph">
                    <wp:posOffset>38100</wp:posOffset>
                  </wp:positionV>
                  <wp:extent cx="335915" cy="438150"/>
                  <wp:effectExtent l="0" t="0" r="6985" b="0"/>
                  <wp:wrapNone/>
                  <wp:docPr id="17" name="图片_40"/>
                  <wp:cNvGraphicFramePr/>
                  <a:graphic xmlns:a="http://schemas.openxmlformats.org/drawingml/2006/main">
                    <a:graphicData uri="http://schemas.openxmlformats.org/drawingml/2006/picture">
                      <pic:pic xmlns:pic="http://schemas.openxmlformats.org/drawingml/2006/picture">
                        <pic:nvPicPr>
                          <pic:cNvPr id="17" name="图片_40"/>
                          <pic:cNvPicPr/>
                        </pic:nvPicPr>
                        <pic:blipFill>
                          <a:blip r:embed="rId49"/>
                          <a:stretch>
                            <a:fillRect/>
                          </a:stretch>
                        </pic:blipFill>
                        <pic:spPr>
                          <a:xfrm>
                            <a:off x="0" y="0"/>
                            <a:ext cx="335915" cy="438150"/>
                          </a:xfrm>
                          <a:prstGeom prst="rect">
                            <a:avLst/>
                          </a:prstGeom>
                          <a:noFill/>
                          <a:ln>
                            <a:noFill/>
                          </a:ln>
                        </pic:spPr>
                      </pic:pic>
                    </a:graphicData>
                  </a:graphic>
                </wp:anchor>
              </w:drawing>
            </w:r>
          </w:p>
        </w:tc>
        <w:tc>
          <w:tcPr>
            <w:tcW w:w="12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24"/>
                <w:lang w:val="en-US" w:eastAsia="zh-CN" w:bidi="ar"/>
              </w:rPr>
              <w:t>600*100</w:t>
            </w:r>
          </w:p>
        </w:tc>
        <w:tc>
          <w:tcPr>
            <w:tcW w:w="29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国标2mm厚亚克力激光雕刻，  内容丝印</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块</w:t>
            </w:r>
          </w:p>
        </w:tc>
        <w:tc>
          <w:tcPr>
            <w:tcW w:w="8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7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2" w:hRule="atLeast"/>
          <w:jc w:val="center"/>
        </w:trPr>
        <w:tc>
          <w:tcPr>
            <w:tcW w:w="4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793"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9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7" w:hRule="atLeast"/>
          <w:jc w:val="center"/>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c>
          <w:tcPr>
            <w:tcW w:w="17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诊室门牌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400050</wp:posOffset>
                  </wp:positionH>
                  <wp:positionV relativeFrom="paragraph">
                    <wp:posOffset>57150</wp:posOffset>
                  </wp:positionV>
                  <wp:extent cx="499110" cy="628650"/>
                  <wp:effectExtent l="0" t="0" r="15240" b="0"/>
                  <wp:wrapNone/>
                  <wp:docPr id="15" name="图片_39"/>
                  <wp:cNvGraphicFramePr/>
                  <a:graphic xmlns:a="http://schemas.openxmlformats.org/drawingml/2006/main">
                    <a:graphicData uri="http://schemas.openxmlformats.org/drawingml/2006/picture">
                      <pic:pic xmlns:pic="http://schemas.openxmlformats.org/drawingml/2006/picture">
                        <pic:nvPicPr>
                          <pic:cNvPr id="15" name="图片_39"/>
                          <pic:cNvPicPr/>
                        </pic:nvPicPr>
                        <pic:blipFill>
                          <a:blip r:embed="rId50"/>
                          <a:stretch>
                            <a:fillRect/>
                          </a:stretch>
                        </pic:blipFill>
                        <pic:spPr>
                          <a:xfrm>
                            <a:off x="0" y="0"/>
                            <a:ext cx="499110" cy="628650"/>
                          </a:xfrm>
                          <a:prstGeom prst="rect">
                            <a:avLst/>
                          </a:prstGeom>
                          <a:noFill/>
                          <a:ln>
                            <a:noFill/>
                          </a:ln>
                        </pic:spPr>
                      </pic:pic>
                    </a:graphicData>
                  </a:graphic>
                </wp:anchor>
              </w:drawing>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290*180</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M300专业标识铝型材汽车烤漆,双面丝印</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块</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72.5</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8" w:hRule="atLeast"/>
          <w:jc w:val="center"/>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41</w:t>
            </w:r>
          </w:p>
        </w:tc>
        <w:tc>
          <w:tcPr>
            <w:tcW w:w="17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工作人员去向牌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190500</wp:posOffset>
                  </wp:positionH>
                  <wp:positionV relativeFrom="paragraph">
                    <wp:posOffset>57150</wp:posOffset>
                  </wp:positionV>
                  <wp:extent cx="898525" cy="571500"/>
                  <wp:effectExtent l="0" t="0" r="15875" b="0"/>
                  <wp:wrapNone/>
                  <wp:docPr id="16" name="图片_45"/>
                  <wp:cNvGraphicFramePr/>
                  <a:graphic xmlns:a="http://schemas.openxmlformats.org/drawingml/2006/main">
                    <a:graphicData uri="http://schemas.openxmlformats.org/drawingml/2006/picture">
                      <pic:pic xmlns:pic="http://schemas.openxmlformats.org/drawingml/2006/picture">
                        <pic:nvPicPr>
                          <pic:cNvPr id="16" name="图片_45"/>
                          <pic:cNvPicPr/>
                        </pic:nvPicPr>
                        <pic:blipFill>
                          <a:blip r:embed="rId51"/>
                          <a:stretch>
                            <a:fillRect/>
                          </a:stretch>
                        </pic:blipFill>
                        <pic:spPr>
                          <a:xfrm>
                            <a:off x="0" y="0"/>
                            <a:ext cx="898525" cy="571500"/>
                          </a:xfrm>
                          <a:prstGeom prst="rect">
                            <a:avLst/>
                          </a:prstGeom>
                          <a:noFill/>
                          <a:ln>
                            <a:noFill/>
                          </a:ln>
                        </pic:spPr>
                      </pic:pic>
                    </a:graphicData>
                  </a:graphic>
                </wp:anchor>
              </w:drawing>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350*200</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专业标识铝型材汽车烤漆，   内容丝印，双色板组合</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63</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4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w:t>
            </w:r>
          </w:p>
        </w:tc>
        <w:tc>
          <w:tcPr>
            <w:tcW w:w="1793"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铝型材标牌修改</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428625</wp:posOffset>
                  </wp:positionH>
                  <wp:positionV relativeFrom="paragraph">
                    <wp:posOffset>9525</wp:posOffset>
                  </wp:positionV>
                  <wp:extent cx="390525" cy="763905"/>
                  <wp:effectExtent l="0" t="0" r="9525" b="17145"/>
                  <wp:wrapNone/>
                  <wp:docPr id="19" name="图片_44"/>
                  <wp:cNvGraphicFramePr/>
                  <a:graphic xmlns:a="http://schemas.openxmlformats.org/drawingml/2006/main">
                    <a:graphicData uri="http://schemas.openxmlformats.org/drawingml/2006/picture">
                      <pic:pic xmlns:pic="http://schemas.openxmlformats.org/drawingml/2006/picture">
                        <pic:nvPicPr>
                          <pic:cNvPr id="19" name="图片_44"/>
                          <pic:cNvPicPr/>
                        </pic:nvPicPr>
                        <pic:blipFill>
                          <a:blip r:embed="rId52"/>
                          <a:stretch>
                            <a:fillRect/>
                          </a:stretch>
                        </pic:blipFill>
                        <pic:spPr>
                          <a:xfrm>
                            <a:off x="0" y="0"/>
                            <a:ext cx="390525" cy="763905"/>
                          </a:xfrm>
                          <a:prstGeom prst="rect">
                            <a:avLst/>
                          </a:prstGeom>
                          <a:noFill/>
                          <a:ln>
                            <a:noFill/>
                          </a:ln>
                        </pic:spPr>
                      </pic:pic>
                    </a:graphicData>
                  </a:graphic>
                </wp:anchor>
              </w:drawing>
            </w:r>
          </w:p>
        </w:tc>
        <w:tc>
          <w:tcPr>
            <w:tcW w:w="12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内容修改</w:t>
            </w:r>
          </w:p>
        </w:tc>
        <w:tc>
          <w:tcPr>
            <w:tcW w:w="29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楼层索引由600*40的铝型材单独小条组成，每一层为1条</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条</w:t>
            </w:r>
          </w:p>
        </w:tc>
        <w:tc>
          <w:tcPr>
            <w:tcW w:w="8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7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4" w:hRule="atLeast"/>
          <w:jc w:val="center"/>
        </w:trPr>
        <w:tc>
          <w:tcPr>
            <w:tcW w:w="4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793"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9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9" w:hRule="atLeast"/>
          <w:jc w:val="center"/>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43</w:t>
            </w:r>
          </w:p>
        </w:tc>
        <w:tc>
          <w:tcPr>
            <w:tcW w:w="17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楼层索引         铝型材喷漆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257175</wp:posOffset>
                  </wp:positionH>
                  <wp:positionV relativeFrom="paragraph">
                    <wp:posOffset>38100</wp:posOffset>
                  </wp:positionV>
                  <wp:extent cx="742950" cy="791210"/>
                  <wp:effectExtent l="0" t="0" r="0" b="8890"/>
                  <wp:wrapNone/>
                  <wp:docPr id="18" name="图片_41"/>
                  <wp:cNvGraphicFramePr/>
                  <a:graphic xmlns:a="http://schemas.openxmlformats.org/drawingml/2006/main">
                    <a:graphicData uri="http://schemas.openxmlformats.org/drawingml/2006/picture">
                      <pic:pic xmlns:pic="http://schemas.openxmlformats.org/drawingml/2006/picture">
                        <pic:nvPicPr>
                          <pic:cNvPr id="18" name="图片_41"/>
                          <pic:cNvPicPr/>
                        </pic:nvPicPr>
                        <pic:blipFill>
                          <a:blip r:embed="rId53"/>
                          <a:stretch>
                            <a:fillRect/>
                          </a:stretch>
                        </pic:blipFill>
                        <pic:spPr>
                          <a:xfrm>
                            <a:off x="0" y="0"/>
                            <a:ext cx="742950" cy="791210"/>
                          </a:xfrm>
                          <a:prstGeom prst="rect">
                            <a:avLst/>
                          </a:prstGeom>
                          <a:noFill/>
                          <a:ln>
                            <a:noFill/>
                          </a:ln>
                        </pic:spPr>
                      </pic:pic>
                    </a:graphicData>
                  </a:graphic>
                </wp:anchor>
              </w:drawing>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做油漆</w:t>
            </w:r>
          </w:p>
        </w:tc>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楼层索上的铝型材小条重做汽车烤漆</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条</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7" w:hRule="atLeast"/>
          <w:jc w:val="center"/>
        </w:trPr>
        <w:tc>
          <w:tcPr>
            <w:tcW w:w="10355" w:type="dxa"/>
            <w:gridSpan w:val="8"/>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总计：698</w:t>
            </w:r>
            <w:r>
              <w:rPr>
                <w:rFonts w:hint="eastAsia" w:ascii="宋体" w:hAnsi="宋体" w:cs="宋体"/>
                <w:i w:val="0"/>
                <w:iCs w:val="0"/>
                <w:color w:val="000000"/>
                <w:kern w:val="0"/>
                <w:sz w:val="21"/>
                <w:szCs w:val="21"/>
                <w:u w:val="none"/>
                <w:lang w:val="en-US" w:eastAsia="zh-CN" w:bidi="ar"/>
              </w:rPr>
              <w:t>000</w:t>
            </w:r>
            <w:r>
              <w:rPr>
                <w:rFonts w:hint="eastAsia" w:ascii="宋体" w:hAnsi="宋体" w:eastAsia="宋体" w:cs="宋体"/>
                <w:i w:val="0"/>
                <w:iCs w:val="0"/>
                <w:color w:val="000000"/>
                <w:kern w:val="0"/>
                <w:sz w:val="21"/>
                <w:szCs w:val="21"/>
                <w:u w:val="none"/>
                <w:lang w:val="en-US" w:eastAsia="zh-CN" w:bidi="ar"/>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3" w:hRule="atLeast"/>
          <w:jc w:val="center"/>
        </w:trPr>
        <w:tc>
          <w:tcPr>
            <w:tcW w:w="10355" w:type="dxa"/>
            <w:gridSpan w:val="8"/>
            <w:tcBorders>
              <w:top w:val="single" w:color="auto" w:sz="4" w:space="0"/>
              <w:left w:val="single" w:color="000000" w:sz="4" w:space="0"/>
              <w:bottom w:val="single" w:color="000000" w:sz="4" w:space="0"/>
              <w:right w:val="single" w:color="000000" w:sz="4" w:space="0"/>
            </w:tcBorders>
            <w:shd w:val="clear" w:color="auto" w:fill="auto"/>
            <w:vAlign w:val="center"/>
          </w:tcPr>
          <w:p>
            <w:pPr>
              <w:jc w:val="left"/>
              <w:outlineLvl w:val="0"/>
              <w:rPr>
                <w:rFonts w:ascii="宋体" w:hAnsi="宋体"/>
                <w:b/>
                <w:sz w:val="32"/>
                <w:szCs w:val="32"/>
              </w:rPr>
            </w:pPr>
            <w:r>
              <w:rPr>
                <w:rFonts w:hint="eastAsia" w:ascii="宋体" w:hAnsi="宋体"/>
                <w:b/>
                <w:sz w:val="32"/>
                <w:szCs w:val="32"/>
              </w:rPr>
              <w:t>二、商务要求</w:t>
            </w:r>
          </w:p>
          <w:p>
            <w:pPr>
              <w:spacing w:line="360" w:lineRule="auto"/>
              <w:rPr>
                <w:rFonts w:hint="eastAsia" w:ascii="宋体" w:hAnsi="宋体" w:eastAsia="宋体"/>
                <w:sz w:val="24"/>
                <w:lang w:eastAsia="zh-CN"/>
              </w:rPr>
            </w:pPr>
            <w:r>
              <w:rPr>
                <w:rFonts w:hint="eastAsia" w:ascii="Times New Roman" w:hAnsi="Times New Roman" w:eastAsia="宋体" w:cs="Times New Roman"/>
                <w:kern w:val="2"/>
                <w:sz w:val="21"/>
                <w:szCs w:val="24"/>
                <w:lang w:val="en-US" w:eastAsia="zh-CN" w:bidi="ar-SA"/>
              </w:rPr>
              <w:t>★</w:t>
            </w:r>
            <w:r>
              <w:rPr>
                <w:rFonts w:hint="eastAsia" w:ascii="宋体" w:hAnsi="宋体"/>
                <w:sz w:val="24"/>
              </w:rPr>
              <w:t>1</w:t>
            </w:r>
            <w:r>
              <w:rPr>
                <w:rFonts w:hint="eastAsia" w:ascii="宋体" w:hAnsi="宋体"/>
                <w:sz w:val="24"/>
                <w:lang w:val="en-US" w:eastAsia="zh-CN"/>
              </w:rPr>
              <w:t>.</w:t>
            </w:r>
            <w:r>
              <w:rPr>
                <w:rFonts w:hint="eastAsia" w:ascii="宋体" w:hAnsi="宋体"/>
                <w:sz w:val="24"/>
              </w:rPr>
              <w:t>承包方式：包工、包料、包工期、包质量、包解决工农矛盾、包安全文明施工、包验收、包税金等一切费用的施工总承包方式，属交钥匙工程</w:t>
            </w:r>
            <w:r>
              <w:rPr>
                <w:rFonts w:hint="eastAsia" w:ascii="宋体" w:hAnsi="宋体"/>
                <w:sz w:val="24"/>
                <w:lang w:eastAsia="zh-CN"/>
              </w:rPr>
              <w:t>；</w:t>
            </w:r>
          </w:p>
          <w:p>
            <w:pPr>
              <w:spacing w:line="360" w:lineRule="auto"/>
              <w:rPr>
                <w:rFonts w:hint="eastAsia" w:ascii="宋体" w:hAnsi="宋体" w:eastAsia="宋体"/>
                <w:sz w:val="24"/>
                <w:lang w:eastAsia="zh-CN"/>
              </w:rPr>
            </w:pPr>
            <w:r>
              <w:rPr>
                <w:rFonts w:hint="eastAsia" w:eastAsia="宋体" w:cs="Times New Roman"/>
                <w:kern w:val="2"/>
                <w:sz w:val="21"/>
                <w:szCs w:val="24"/>
                <w:lang w:val="en-US" w:eastAsia="zh-CN" w:bidi="ar-SA"/>
              </w:rPr>
              <w:t xml:space="preserve"> </w:t>
            </w:r>
            <w:r>
              <w:rPr>
                <w:rFonts w:hint="eastAsia" w:ascii="Times New Roman" w:hAnsi="Times New Roman" w:eastAsia="宋体" w:cs="Times New Roman"/>
                <w:kern w:val="2"/>
                <w:sz w:val="21"/>
                <w:szCs w:val="24"/>
                <w:lang w:val="en-US" w:eastAsia="zh-CN" w:bidi="ar-SA"/>
              </w:rPr>
              <w:t>★</w:t>
            </w:r>
            <w:r>
              <w:rPr>
                <w:rFonts w:hint="eastAsia" w:ascii="宋体" w:hAnsi="宋体" w:eastAsia="宋体"/>
                <w:sz w:val="24"/>
                <w:lang w:val="en-US" w:eastAsia="zh-CN"/>
              </w:rPr>
              <w:t>2</w:t>
            </w:r>
            <w:r>
              <w:rPr>
                <w:rFonts w:hint="eastAsia" w:ascii="宋体" w:hAnsi="宋体"/>
                <w:sz w:val="24"/>
                <w:lang w:val="en-US" w:eastAsia="zh-CN"/>
              </w:rPr>
              <w:t>.</w:t>
            </w:r>
            <w:r>
              <w:rPr>
                <w:rFonts w:hint="eastAsia" w:ascii="宋体" w:hAnsi="宋体"/>
                <w:sz w:val="24"/>
              </w:rPr>
              <w:t>付款方式：</w:t>
            </w:r>
            <w:r>
              <w:rPr>
                <w:rFonts w:hint="eastAsia" w:ascii="宋体" w:hAnsi="宋体"/>
                <w:sz w:val="24"/>
                <w:lang w:val="en-US" w:eastAsia="zh-CN"/>
              </w:rPr>
              <w:t>采购单</w:t>
            </w:r>
            <w:r>
              <w:rPr>
                <w:rFonts w:hint="eastAsia" w:ascii="宋体" w:hAnsi="宋体" w:eastAsia="宋体" w:cs="Times New Roman"/>
                <w:sz w:val="24"/>
                <w:lang w:val="en-US" w:eastAsia="zh-CN"/>
              </w:rPr>
              <w:t>位在</w:t>
            </w:r>
            <w:r>
              <w:rPr>
                <w:rFonts w:hint="eastAsia" w:ascii="宋体" w:hAnsi="宋体" w:eastAsia="宋体" w:cs="Times New Roman"/>
                <w:sz w:val="24"/>
              </w:rPr>
              <w:t>每次结算</w:t>
            </w:r>
            <w:r>
              <w:rPr>
                <w:rFonts w:hint="eastAsia" w:ascii="宋体" w:hAnsi="宋体" w:eastAsia="宋体" w:cs="Times New Roman"/>
                <w:sz w:val="24"/>
                <w:lang w:val="en-US" w:eastAsia="zh-CN"/>
              </w:rPr>
              <w:t>完成之日起30日内，将该次结算价款的95</w:t>
            </w:r>
            <w:r>
              <w:rPr>
                <w:rFonts w:hint="eastAsia" w:ascii="宋体" w:hAnsi="宋体" w:eastAsia="宋体" w:cs="Times New Roman"/>
                <w:sz w:val="24"/>
              </w:rPr>
              <w:t>%</w:t>
            </w:r>
            <w:r>
              <w:rPr>
                <w:rFonts w:hint="eastAsia" w:ascii="宋体" w:hAnsi="宋体" w:eastAsia="宋体" w:cs="Times New Roman"/>
                <w:sz w:val="24"/>
                <w:lang w:val="en-US" w:eastAsia="zh-CN"/>
              </w:rPr>
              <w:t>通过银行转账支付给中标公司；</w:t>
            </w:r>
            <w:r>
              <w:rPr>
                <w:rFonts w:hint="eastAsia" w:ascii="宋体" w:hAnsi="宋体" w:eastAsia="宋体" w:cs="Times New Roman"/>
                <w:sz w:val="24"/>
              </w:rPr>
              <w:t>余款5%</w:t>
            </w:r>
            <w:r>
              <w:rPr>
                <w:rFonts w:hint="eastAsia" w:ascii="宋体" w:hAnsi="宋体" w:eastAsia="宋体" w:cs="Times New Roman"/>
                <w:sz w:val="24"/>
                <w:lang w:val="en-US" w:eastAsia="zh-CN"/>
              </w:rPr>
              <w:t>自</w:t>
            </w:r>
            <w:r>
              <w:rPr>
                <w:rFonts w:hint="eastAsia" w:ascii="宋体" w:hAnsi="宋体"/>
                <w:sz w:val="24"/>
                <w:lang w:val="en-US" w:eastAsia="zh-CN"/>
              </w:rPr>
              <w:t>验收合格之日起满3年免息支付给中标公司</w:t>
            </w:r>
            <w:r>
              <w:rPr>
                <w:rFonts w:hint="eastAsia" w:ascii="宋体" w:hAnsi="宋体"/>
                <w:sz w:val="24"/>
                <w:lang w:eastAsia="zh-CN"/>
              </w:rPr>
              <w:t>；</w:t>
            </w:r>
          </w:p>
          <w:p>
            <w:pPr>
              <w:numPr>
                <w:ilvl w:val="0"/>
                <w:numId w:val="0"/>
              </w:numPr>
              <w:spacing w:line="360" w:lineRule="auto"/>
              <w:jc w:val="both"/>
              <w:rPr>
                <w:rFonts w:hint="eastAsia" w:ascii="宋体" w:hAnsi="宋体" w:eastAsia="宋体"/>
                <w:sz w:val="24"/>
                <w:lang w:eastAsia="zh-CN"/>
              </w:rPr>
            </w:pPr>
            <w:r>
              <w:rPr>
                <w:rFonts w:hint="eastAsia" w:ascii="Times New Roman" w:hAnsi="Times New Roman" w:eastAsia="宋体" w:cs="Times New Roman"/>
                <w:kern w:val="2"/>
                <w:sz w:val="21"/>
                <w:szCs w:val="24"/>
                <w:lang w:val="en-US" w:eastAsia="zh-CN" w:bidi="ar-SA"/>
              </w:rPr>
              <w:t>★</w:t>
            </w:r>
            <w:r>
              <w:rPr>
                <w:rFonts w:hint="eastAsia" w:ascii="宋体" w:hAnsi="宋体"/>
                <w:sz w:val="24"/>
                <w:lang w:val="en-US" w:eastAsia="zh-CN"/>
              </w:rPr>
              <w:t>3.</w:t>
            </w:r>
            <w:r>
              <w:rPr>
                <w:rFonts w:hint="eastAsia" w:ascii="宋体" w:hAnsi="宋体"/>
                <w:sz w:val="24"/>
              </w:rPr>
              <w:t>安全与质保：施工期间及质保的安全工作由中标方负责，如在施工期间及因中标方原因导致安全事故，招标方不承担任何责任</w:t>
            </w:r>
            <w:r>
              <w:rPr>
                <w:rFonts w:hint="eastAsia" w:ascii="宋体" w:hAnsi="宋体"/>
                <w:sz w:val="24"/>
                <w:lang w:eastAsia="zh-CN"/>
              </w:rPr>
              <w:t>；</w:t>
            </w:r>
          </w:p>
          <w:p>
            <w:pPr>
              <w:spacing w:line="360" w:lineRule="auto"/>
              <w:rPr>
                <w:rFonts w:ascii="宋体" w:hAnsi="宋体"/>
                <w:sz w:val="24"/>
              </w:rPr>
            </w:pPr>
            <w:r>
              <w:rPr>
                <w:rFonts w:hint="eastAsia" w:ascii="Times New Roman" w:hAnsi="Times New Roman" w:eastAsia="宋体" w:cs="Times New Roman"/>
                <w:kern w:val="2"/>
                <w:sz w:val="21"/>
                <w:szCs w:val="24"/>
                <w:lang w:val="en-US" w:eastAsia="zh-CN" w:bidi="ar-SA"/>
              </w:rPr>
              <w:t>★</w:t>
            </w:r>
            <w:r>
              <w:rPr>
                <w:rFonts w:hint="eastAsia" w:ascii="宋体" w:hAnsi="宋体"/>
                <w:sz w:val="24"/>
                <w:lang w:val="en-US" w:eastAsia="zh-CN"/>
              </w:rPr>
              <w:t>4.</w:t>
            </w:r>
            <w:r>
              <w:rPr>
                <w:rFonts w:hint="eastAsia" w:ascii="宋体" w:hAnsi="宋体"/>
                <w:sz w:val="24"/>
              </w:rPr>
              <w:t>保修：标识标牌整体质保</w:t>
            </w:r>
            <w:r>
              <w:rPr>
                <w:rFonts w:hint="eastAsia" w:ascii="宋体" w:hAnsi="宋体"/>
                <w:b w:val="0"/>
                <w:bCs w:val="0"/>
                <w:sz w:val="24"/>
                <w:lang w:eastAsia="zh-CN"/>
              </w:rPr>
              <w:t>叁</w:t>
            </w:r>
            <w:r>
              <w:rPr>
                <w:rFonts w:hint="eastAsia" w:ascii="宋体" w:hAnsi="宋体"/>
                <w:sz w:val="24"/>
              </w:rPr>
              <w:t>年。</w:t>
            </w:r>
          </w:p>
          <w:p>
            <w:pPr>
              <w:spacing w:line="360" w:lineRule="auto"/>
              <w:rPr>
                <w:rFonts w:hint="eastAsia" w:ascii="宋体" w:hAnsi="宋体" w:eastAsia="宋体"/>
                <w:sz w:val="24"/>
                <w:lang w:eastAsia="zh-CN"/>
              </w:rPr>
            </w:pPr>
            <w:r>
              <w:rPr>
                <w:rFonts w:hint="eastAsia" w:ascii="Times New Roman" w:hAnsi="Times New Roman" w:eastAsia="宋体" w:cs="Times New Roman"/>
                <w:kern w:val="2"/>
                <w:sz w:val="21"/>
                <w:szCs w:val="24"/>
                <w:lang w:val="en-US" w:eastAsia="zh-CN" w:bidi="ar-SA"/>
              </w:rPr>
              <w:t>★</w:t>
            </w:r>
            <w:r>
              <w:rPr>
                <w:rFonts w:hint="eastAsia" w:ascii="宋体" w:hAnsi="宋体"/>
                <w:sz w:val="24"/>
                <w:lang w:val="en-US" w:eastAsia="zh-CN"/>
              </w:rPr>
              <w:t>5.</w:t>
            </w:r>
            <w:r>
              <w:rPr>
                <w:rFonts w:hint="eastAsia" w:ascii="宋体" w:hAnsi="宋体"/>
                <w:sz w:val="24"/>
              </w:rPr>
              <w:t>其他：安装前组织现场验收，验收时需提供主要材料合格证</w:t>
            </w:r>
            <w:r>
              <w:rPr>
                <w:rFonts w:hint="eastAsia" w:ascii="宋体" w:hAnsi="宋体"/>
                <w:sz w:val="24"/>
                <w:lang w:eastAsia="zh-CN"/>
              </w:rPr>
              <w:t>；</w:t>
            </w:r>
          </w:p>
          <w:p>
            <w:pPr>
              <w:spacing w:line="360" w:lineRule="auto"/>
              <w:rPr>
                <w:rFonts w:hint="eastAsia" w:ascii="宋体" w:hAnsi="宋体"/>
                <w:sz w:val="24"/>
              </w:rPr>
            </w:pPr>
            <w:r>
              <w:rPr>
                <w:rFonts w:hint="eastAsia" w:ascii="Times New Roman" w:hAnsi="Times New Roman" w:eastAsia="宋体" w:cs="Times New Roman"/>
                <w:kern w:val="2"/>
                <w:sz w:val="21"/>
                <w:szCs w:val="24"/>
                <w:lang w:val="en-US" w:eastAsia="zh-CN" w:bidi="ar-SA"/>
              </w:rPr>
              <w:t>★</w:t>
            </w:r>
            <w:r>
              <w:rPr>
                <w:rFonts w:hint="eastAsia" w:ascii="宋体" w:hAnsi="宋体"/>
                <w:sz w:val="24"/>
                <w:lang w:val="en-US" w:eastAsia="zh-CN"/>
              </w:rPr>
              <w:t>6.</w:t>
            </w:r>
            <w:r>
              <w:rPr>
                <w:rFonts w:hint="eastAsia" w:ascii="宋体" w:hAnsi="宋体"/>
                <w:sz w:val="24"/>
              </w:rPr>
              <w:t>无论招标采购过程、结果如何（如开标延期、中途终止采购、流标、废标等情况），投标方均须承担自己参加招标采购活动所产生的所有费用，招标人和招标代理机构无须给予任何补偿。</w:t>
            </w:r>
          </w:p>
          <w:p>
            <w:pPr>
              <w:spacing w:line="360" w:lineRule="auto"/>
              <w:rPr>
                <w:rFonts w:hint="eastAsia" w:ascii="宋体" w:hAnsi="宋体"/>
                <w:sz w:val="24"/>
                <w:lang w:eastAsia="zh-CN"/>
              </w:rPr>
            </w:pPr>
            <w:r>
              <w:rPr>
                <w:rFonts w:hint="eastAsia" w:ascii="Times New Roman" w:hAnsi="Times New Roman" w:eastAsia="宋体" w:cs="Times New Roman"/>
                <w:kern w:val="2"/>
                <w:sz w:val="21"/>
                <w:szCs w:val="24"/>
                <w:lang w:val="en-US" w:eastAsia="zh-CN" w:bidi="ar-SA"/>
              </w:rPr>
              <w:t>★</w:t>
            </w:r>
            <w:r>
              <w:rPr>
                <w:rFonts w:hint="eastAsia" w:ascii="宋体" w:hAnsi="宋体"/>
                <w:sz w:val="24"/>
                <w:lang w:val="en-US" w:eastAsia="zh-CN"/>
              </w:rPr>
              <w:t>7.</w:t>
            </w:r>
            <w:r>
              <w:rPr>
                <w:rFonts w:hint="eastAsia" w:ascii="宋体" w:hAnsi="宋体" w:eastAsia="宋体" w:cs="宋体"/>
                <w:kern w:val="0"/>
                <w:sz w:val="22"/>
                <w:szCs w:val="22"/>
              </w:rPr>
              <w:t>质保与售后：</w:t>
            </w:r>
            <w:r>
              <w:rPr>
                <w:rFonts w:hint="eastAsia" w:ascii="宋体" w:hAnsi="宋体"/>
                <w:sz w:val="24"/>
              </w:rPr>
              <w:t>标牌标识质保3年，如质保期内出现质量问题，由中标方负责免费维修、更换或重新制作，售后服务响应时间不超过4小时</w:t>
            </w:r>
            <w:r>
              <w:rPr>
                <w:rFonts w:hint="eastAsia" w:ascii="宋体" w:hAnsi="宋体"/>
                <w:sz w:val="24"/>
                <w:lang w:eastAsia="zh-CN"/>
              </w:rPr>
              <w:t>；</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Times New Roman" w:hAnsi="Times New Roman" w:eastAsia="宋体" w:cs="Times New Roman"/>
                <w:kern w:val="2"/>
                <w:sz w:val="21"/>
                <w:szCs w:val="24"/>
                <w:lang w:val="en-US" w:eastAsia="zh-CN" w:bidi="ar-SA"/>
              </w:rPr>
              <w:t>★</w:t>
            </w:r>
            <w:r>
              <w:rPr>
                <w:rFonts w:hint="eastAsia" w:ascii="宋体" w:hAnsi="宋体"/>
                <w:sz w:val="24"/>
                <w:lang w:val="en-US" w:eastAsia="zh-CN"/>
              </w:rPr>
              <w:t>8.</w:t>
            </w:r>
            <w:r>
              <w:rPr>
                <w:rFonts w:hint="eastAsia" w:ascii="宋体" w:hAnsi="宋体"/>
                <w:sz w:val="24"/>
              </w:rPr>
              <w:t>为确保质量、防止色差，投标时须提供</w:t>
            </w:r>
            <w:r>
              <w:rPr>
                <w:rFonts w:hint="eastAsia" w:ascii="宋体" w:hAnsi="宋体"/>
                <w:sz w:val="24"/>
                <w:lang w:eastAsia="zh-CN"/>
              </w:rPr>
              <w:t>：</w:t>
            </w:r>
            <w:r>
              <w:rPr>
                <w:rFonts w:hint="eastAsia" w:ascii="宋体" w:hAnsi="宋体" w:eastAsia="宋体"/>
                <w:sz w:val="24"/>
                <w:lang w:val="en-US" w:eastAsia="zh-CN"/>
              </w:rPr>
              <w:t>①活动海报</w:t>
            </w:r>
            <w:r>
              <w:rPr>
                <w:rFonts w:hint="eastAsia" w:ascii="宋体" w:hAnsi="宋体" w:eastAsia="宋体"/>
                <w:sz w:val="24"/>
              </w:rPr>
              <w:t>②</w:t>
            </w:r>
            <w:r>
              <w:rPr>
                <w:rFonts w:hint="eastAsia" w:ascii="宋体" w:hAnsi="宋体" w:eastAsia="宋体"/>
                <w:sz w:val="24"/>
                <w:lang w:val="en-US" w:eastAsia="zh-CN"/>
              </w:rPr>
              <w:t>健康知识三折页</w:t>
            </w:r>
            <w:r>
              <w:rPr>
                <w:rFonts w:hint="eastAsia" w:ascii="宋体" w:hAnsi="宋体" w:eastAsia="宋体"/>
                <w:sz w:val="24"/>
              </w:rPr>
              <w:t>③</w:t>
            </w:r>
            <w:r>
              <w:rPr>
                <w:rFonts w:hint="eastAsia" w:ascii="宋体" w:hAnsi="宋体" w:eastAsia="宋体"/>
                <w:sz w:val="24"/>
                <w:lang w:val="en-US" w:eastAsia="zh-CN"/>
              </w:rPr>
              <w:t>科室牌</w:t>
            </w:r>
            <w:r>
              <w:rPr>
                <w:rFonts w:hint="eastAsia" w:ascii="宋体" w:hAnsi="宋体" w:eastAsia="宋体"/>
                <w:sz w:val="24"/>
              </w:rPr>
              <w:t>④</w:t>
            </w:r>
            <w:r>
              <w:rPr>
                <w:rFonts w:hint="eastAsia" w:ascii="宋体" w:hAnsi="宋体" w:eastAsia="宋体"/>
                <w:sz w:val="24"/>
                <w:lang w:val="en-US" w:eastAsia="zh-CN"/>
              </w:rPr>
              <w:t>乳白PS板</w:t>
            </w:r>
            <w:r>
              <w:rPr>
                <w:rFonts w:hint="eastAsia" w:ascii="宋体" w:hAnsi="宋体" w:eastAsia="宋体"/>
                <w:sz w:val="24"/>
              </w:rPr>
              <w:t>⑤</w:t>
            </w:r>
            <w:r>
              <w:rPr>
                <w:rFonts w:hint="eastAsia" w:ascii="宋体" w:hAnsi="宋体" w:eastAsia="宋体"/>
                <w:sz w:val="24"/>
                <w:lang w:val="en-US" w:eastAsia="zh-CN"/>
              </w:rPr>
              <w:t>地贴 五种</w:t>
            </w:r>
            <w:r>
              <w:rPr>
                <w:rFonts w:hint="eastAsia" w:ascii="宋体" w:hAnsi="宋体" w:eastAsia="宋体"/>
                <w:sz w:val="24"/>
              </w:rPr>
              <w:t>标牌标识的样品</w:t>
            </w:r>
            <w:r>
              <w:rPr>
                <w:rFonts w:hint="eastAsia" w:ascii="宋体" w:hAnsi="宋体" w:eastAsia="宋体"/>
                <w:sz w:val="24"/>
                <w:lang w:eastAsia="zh-CN"/>
              </w:rPr>
              <w:t>；</w:t>
            </w:r>
          </w:p>
        </w:tc>
      </w:tr>
    </w:tbl>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Theme="minorEastAsia" w:hAnsiTheme="minorEastAsia" w:eastAsiaTheme="minorEastAsia" w:cstheme="minorEastAsia"/>
          <w:bCs/>
          <w:color w:val="auto"/>
          <w:kern w:val="0"/>
          <w:sz w:val="28"/>
          <w:szCs w:val="28"/>
          <w:lang w:val="en-US" w:eastAsia="zh-CN" w:bidi="ar-SA"/>
        </w:rPr>
      </w:pPr>
    </w:p>
    <w:p>
      <w:pPr>
        <w:adjustRightInd w:val="0"/>
        <w:snapToGrid w:val="0"/>
        <w:spacing w:beforeLines="50" w:line="360" w:lineRule="auto"/>
        <w:jc w:val="left"/>
        <w:rPr>
          <w:rFonts w:asciiTheme="minorEastAsia" w:hAnsiTheme="minorEastAsia" w:eastAsiaTheme="minorEastAsia"/>
          <w:b/>
          <w:bCs/>
          <w:sz w:val="24"/>
        </w:rPr>
      </w:pPr>
      <w:r>
        <w:rPr>
          <w:rFonts w:hint="eastAsia" w:asciiTheme="minorEastAsia" w:hAnsiTheme="minorEastAsia" w:eastAsiaTheme="minorEastAsia" w:cstheme="minorEastAsia"/>
          <w:bCs/>
          <w:color w:val="auto"/>
          <w:kern w:val="0"/>
          <w:sz w:val="28"/>
          <w:szCs w:val="28"/>
          <w:lang w:val="en-US" w:eastAsia="zh-CN" w:bidi="ar-SA"/>
        </w:rPr>
        <w:t>三、投标报价</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投标人应以招标文件规定的供货及服务要求、责任范围和合同条件为基础进行报价。投标人的报价应包括为完成本项目所要求的全部内容可能发生的全部费用和税费、规费、保险费（如果有）等，采购人将不再支付报价以外的任何费用。</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投标人的总投标报价不得超过项目最高限价（总价限价），投标分项报价不得超过对应项的最高单价限价，投标分项报价之和必须与总投标报价相等，否则其投标无效。采购项目预算、最高限价见【采购项目表】。</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3.投标人应在分项报价明细表中对每项内容给予详细分项报价。</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4.投标人对采购项目内容只允许有一个投标报价，否则其投标无效。</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10.投标文件必须胶装并用纸质文件袋封好（一正一副），标书必须“A4规格纸张胶制（非打孔或夹装）装订成册，并编制总目录”,要求密封，否则视为符合性审查不合格，作无效投标处理，在开标现场验证时打开，采用现场开标的方式。</w:t>
      </w:r>
    </w:p>
    <w:p>
      <w:pPr>
        <w:pStyle w:val="4"/>
        <w:keepNext w:val="0"/>
        <w:keepLines w:val="0"/>
        <w:adjustRightInd w:val="0"/>
        <w:snapToGrid w:val="0"/>
        <w:spacing w:beforeLines="50" w:after="0" w:line="360" w:lineRule="auto"/>
        <w:rPr>
          <w:rFonts w:hint="eastAsia" w:asciiTheme="minorEastAsia" w:hAnsiTheme="minorEastAsia" w:eastAsiaTheme="minorEastAsia" w:cstheme="minorEastAsia"/>
          <w:b w:val="0"/>
          <w:bCs/>
          <w:color w:val="auto"/>
          <w:kern w:val="0"/>
          <w:sz w:val="28"/>
          <w:szCs w:val="28"/>
          <w:lang w:val="en-US" w:eastAsia="zh-CN" w:bidi="ar-SA"/>
        </w:rPr>
      </w:pPr>
      <w:r>
        <w:rPr>
          <w:rFonts w:hint="eastAsia" w:asciiTheme="minorEastAsia" w:hAnsiTheme="minorEastAsia" w:eastAsiaTheme="minorEastAsia" w:cstheme="minorEastAsia"/>
          <w:b w:val="0"/>
          <w:bCs/>
          <w:color w:val="auto"/>
          <w:kern w:val="0"/>
          <w:sz w:val="28"/>
          <w:szCs w:val="28"/>
          <w:lang w:val="en-US" w:eastAsia="zh-CN" w:bidi="ar-SA"/>
        </w:rPr>
        <w:t>五、投标文件的澄清</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1.对于投标文件中含义不明确、同类问题表述不一致或者有明显文字和计算错误的内容，评标委员会应当以书面形式要求投标人作出必要的澄清、说明或者补正。</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2.投标文件的投标报价出现前后不一致的，按照下列规定修正：</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（1）投标文件中开标一览表内容与投标文件中相应内容不一致的，以开标一览表为准；</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（2）大写金额和小写金额不一致的，以大写金额为准；</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（3）单价金额小数点或者百分比有明显错位的，以开标一览表的总价为准，并修改单价；</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（4）总价金额与按单价汇总金额不一致的，以单价金额计算结果为准。</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3.投标文件报价同时出现两种以上不一致的，按照前款规定的顺序修正。修正后的报价由投标人代表签字或者加盖单位章确认后产生约束力，投标人不确认的，其投标无效。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投标人的澄清、说明或者补正应当采用书面形式，并加盖公章，或者由法定代表人或其授权的代表签字，并按评标委员会的通知要求递交。投标人的澄清、说明或者补正不得超出投标文件的范围或者改变投标文件的实质性内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5.有效的书面澄清材料，是投标文件的补充材料，成为投标文件的组成部分。</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投标无效处理。</w:t>
      </w:r>
    </w:p>
    <w:p>
      <w:pPr>
        <w:rPr>
          <w:rFonts w:hint="eastAsia" w:asciiTheme="minorEastAsia" w:hAnsiTheme="minorEastAsia" w:eastAsiaTheme="minorEastAsia" w:cstheme="minorEastAsia"/>
          <w:bCs/>
          <w:color w:val="auto"/>
          <w:kern w:val="0"/>
          <w:sz w:val="28"/>
          <w:szCs w:val="28"/>
          <w:lang w:val="en-US" w:eastAsia="zh-CN" w:bidi="ar-SA"/>
        </w:rPr>
      </w:pPr>
    </w:p>
    <w:p>
      <w:pPr>
        <w:spacing w:line="360" w:lineRule="auto"/>
        <w:jc w:val="center"/>
        <w:rPr>
          <w:rFonts w:hint="eastAsia" w:ascii="宋体" w:hAnsi="宋体" w:cs="宋体"/>
          <w:color w:val="auto"/>
          <w:sz w:val="44"/>
          <w:szCs w:val="44"/>
          <w:lang w:val="en-US" w:eastAsia="zh-CN"/>
        </w:rPr>
      </w:pPr>
    </w:p>
    <w:p>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pPr>
        <w:spacing w:line="360" w:lineRule="auto"/>
        <w:jc w:val="cente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pStyle w:val="4"/>
        <w:spacing w:before="0" w:after="0"/>
        <w:jc w:val="center"/>
        <w:rPr>
          <w:rFonts w:hint="eastAsia" w:ascii="宋体" w:hAnsi="宋体"/>
          <w:sz w:val="28"/>
          <w:szCs w:val="28"/>
        </w:rPr>
      </w:pPr>
      <w:r>
        <w:rPr>
          <w:rFonts w:hint="eastAsia" w:ascii="宋体" w:hAnsi="宋体"/>
          <w:sz w:val="28"/>
          <w:szCs w:val="28"/>
        </w:rPr>
        <w:t>评</w:t>
      </w:r>
      <w:r>
        <w:rPr>
          <w:rFonts w:hint="eastAsia" w:ascii="宋体" w:hAnsi="宋体"/>
          <w:sz w:val="28"/>
          <w:szCs w:val="28"/>
          <w:lang w:eastAsia="zh-CN"/>
        </w:rPr>
        <w:t>审</w:t>
      </w:r>
      <w:r>
        <w:rPr>
          <w:rFonts w:hint="eastAsia" w:ascii="宋体" w:hAnsi="宋体"/>
          <w:sz w:val="28"/>
          <w:szCs w:val="28"/>
        </w:rPr>
        <w:t>因素及标准</w:t>
      </w:r>
    </w:p>
    <w:tbl>
      <w:tblPr>
        <w:tblStyle w:val="12"/>
        <w:tblW w:w="9214"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1276"/>
        <w:gridCol w:w="850"/>
        <w:gridCol w:w="709"/>
        <w:gridCol w:w="5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533" w:type="dxa"/>
            <w:vAlign w:val="center"/>
          </w:tcPr>
          <w:p>
            <w:pPr>
              <w:rPr>
                <w:rFonts w:ascii="宋体" w:hAnsi="宋体"/>
              </w:rPr>
            </w:pPr>
            <w:r>
              <w:rPr>
                <w:rFonts w:hint="eastAsia" w:ascii="黑体" w:hAnsi="华文中宋" w:eastAsia="黑体"/>
                <w:sz w:val="32"/>
                <w:szCs w:val="32"/>
              </w:rPr>
              <w:br w:type="page"/>
            </w:r>
            <w:r>
              <w:rPr>
                <w:rFonts w:hint="eastAsia" w:ascii="宋体" w:hAnsi="宋体"/>
              </w:rPr>
              <w:t>序号</w:t>
            </w:r>
          </w:p>
        </w:tc>
        <w:tc>
          <w:tcPr>
            <w:tcW w:w="1276" w:type="dxa"/>
            <w:vAlign w:val="center"/>
          </w:tcPr>
          <w:p>
            <w:pPr>
              <w:jc w:val="center"/>
              <w:rPr>
                <w:rFonts w:ascii="宋体" w:hAnsi="宋体"/>
              </w:rPr>
            </w:pPr>
            <w:r>
              <w:rPr>
                <w:rFonts w:hint="eastAsia" w:ascii="宋体" w:hAnsi="宋体"/>
              </w:rPr>
              <w:t>评审因素</w:t>
            </w:r>
          </w:p>
        </w:tc>
        <w:tc>
          <w:tcPr>
            <w:tcW w:w="1559" w:type="dxa"/>
            <w:gridSpan w:val="2"/>
            <w:vAlign w:val="center"/>
          </w:tcPr>
          <w:p>
            <w:pPr>
              <w:jc w:val="center"/>
              <w:rPr>
                <w:rFonts w:ascii="宋体" w:hAnsi="宋体"/>
              </w:rPr>
            </w:pPr>
            <w:r>
              <w:rPr>
                <w:rFonts w:hint="eastAsia" w:ascii="宋体" w:hAnsi="宋体"/>
              </w:rPr>
              <w:t>分值</w:t>
            </w:r>
          </w:p>
        </w:tc>
        <w:tc>
          <w:tcPr>
            <w:tcW w:w="5846" w:type="dxa"/>
            <w:vAlign w:val="center"/>
          </w:tcPr>
          <w:p>
            <w:pPr>
              <w:jc w:val="center"/>
              <w:rPr>
                <w:rFonts w:ascii="宋体" w:hAnsi="宋体"/>
              </w:rPr>
            </w:pPr>
            <w:r>
              <w:rPr>
                <w:rFonts w:hint="eastAsia" w:ascii="宋体" w:hAnsi="宋体"/>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533" w:type="dxa"/>
            <w:vAlign w:val="center"/>
          </w:tcPr>
          <w:p>
            <w:pPr>
              <w:jc w:val="center"/>
              <w:rPr>
                <w:rFonts w:ascii="宋体" w:hAnsi="宋体"/>
              </w:rPr>
            </w:pPr>
            <w:r>
              <w:rPr>
                <w:rFonts w:hint="eastAsia" w:ascii="宋体" w:hAnsi="宋体"/>
              </w:rPr>
              <w:t>1</w:t>
            </w:r>
          </w:p>
        </w:tc>
        <w:tc>
          <w:tcPr>
            <w:tcW w:w="1276" w:type="dxa"/>
            <w:vAlign w:val="center"/>
          </w:tcPr>
          <w:p>
            <w:pPr>
              <w:jc w:val="center"/>
              <w:rPr>
                <w:rFonts w:ascii="宋体" w:hAnsi="宋体"/>
              </w:rPr>
            </w:pPr>
            <w:r>
              <w:rPr>
                <w:rFonts w:hint="eastAsia" w:ascii="宋体" w:hAnsi="宋体"/>
              </w:rPr>
              <w:t>投标报价</w:t>
            </w:r>
          </w:p>
          <w:p>
            <w:pPr>
              <w:jc w:val="center"/>
              <w:rPr>
                <w:rFonts w:ascii="宋体" w:hAnsi="宋体"/>
              </w:rPr>
            </w:pPr>
          </w:p>
          <w:p>
            <w:pPr>
              <w:jc w:val="center"/>
              <w:rPr>
                <w:rFonts w:ascii="宋体" w:hAnsi="宋体"/>
              </w:rPr>
            </w:pPr>
            <w:r>
              <w:rPr>
                <w:rFonts w:hint="eastAsia" w:ascii="宋体" w:hAnsi="宋体"/>
              </w:rPr>
              <w:t>权值</w:t>
            </w:r>
            <w:r>
              <w:rPr>
                <w:rFonts w:hint="eastAsia" w:ascii="宋体" w:hAnsi="宋体"/>
                <w:lang w:val="en-US" w:eastAsia="zh-CN"/>
              </w:rPr>
              <w:t>6</w:t>
            </w:r>
            <w:r>
              <w:rPr>
                <w:rFonts w:hint="eastAsia" w:ascii="宋体" w:hAnsi="宋体"/>
              </w:rPr>
              <w:t>0%</w:t>
            </w:r>
          </w:p>
        </w:tc>
        <w:tc>
          <w:tcPr>
            <w:tcW w:w="1559" w:type="dxa"/>
            <w:gridSpan w:val="2"/>
            <w:vAlign w:val="center"/>
          </w:tcPr>
          <w:p>
            <w:pPr>
              <w:jc w:val="center"/>
              <w:rPr>
                <w:rFonts w:ascii="宋体" w:hAnsi="宋体"/>
                <w:b/>
                <w:bCs/>
              </w:rPr>
            </w:pPr>
            <w:r>
              <w:rPr>
                <w:rFonts w:hint="eastAsia" w:ascii="宋体" w:hAnsi="宋体"/>
              </w:rPr>
              <w:t xml:space="preserve"> </w:t>
            </w:r>
            <w:r>
              <w:rPr>
                <w:rFonts w:hint="eastAsia" w:ascii="宋体" w:hAnsi="宋体"/>
                <w:lang w:val="en-US" w:eastAsia="zh-CN"/>
              </w:rPr>
              <w:t>6</w:t>
            </w:r>
            <w:r>
              <w:rPr>
                <w:rFonts w:hint="eastAsia" w:ascii="宋体" w:hAnsi="宋体"/>
              </w:rPr>
              <w:t>0分</w:t>
            </w:r>
          </w:p>
        </w:tc>
        <w:tc>
          <w:tcPr>
            <w:tcW w:w="5846" w:type="dxa"/>
            <w:vAlign w:val="center"/>
          </w:tcPr>
          <w:p>
            <w:pPr>
              <w:rPr>
                <w:rFonts w:ascii="宋体" w:hAnsi="宋体"/>
              </w:rPr>
            </w:pPr>
            <w:r>
              <w:rPr>
                <w:rFonts w:hint="eastAsia" w:ascii="宋体" w:hAnsi="宋体"/>
              </w:rPr>
              <w:t>经评标委员会一致认定满足招标文件要求且投标报价最低的投标报价为评标基准价，其报价得分计为满分。其他投标人的价格得分统一按公式计算：报价得分=评标基准价÷投标报价×投标报价权重。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533" w:type="dxa"/>
            <w:vMerge w:val="restart"/>
            <w:vAlign w:val="center"/>
          </w:tcPr>
          <w:p>
            <w:pPr>
              <w:jc w:val="center"/>
              <w:rPr>
                <w:rFonts w:ascii="宋体" w:hAnsi="宋体"/>
              </w:rPr>
            </w:pPr>
            <w:r>
              <w:rPr>
                <w:rFonts w:hint="eastAsia" w:ascii="宋体" w:hAnsi="宋体"/>
              </w:rPr>
              <w:t>2</w:t>
            </w:r>
          </w:p>
        </w:tc>
        <w:tc>
          <w:tcPr>
            <w:tcW w:w="1276" w:type="dxa"/>
            <w:vMerge w:val="restart"/>
            <w:vAlign w:val="center"/>
          </w:tcPr>
          <w:p>
            <w:pPr>
              <w:jc w:val="center"/>
              <w:rPr>
                <w:rFonts w:ascii="宋体" w:hAnsi="宋体"/>
              </w:rPr>
            </w:pPr>
            <w:r>
              <w:rPr>
                <w:rFonts w:hint="eastAsia" w:ascii="宋体" w:hAnsi="宋体"/>
              </w:rPr>
              <w:t>技术部分</w:t>
            </w:r>
          </w:p>
          <w:p>
            <w:pPr>
              <w:jc w:val="center"/>
              <w:rPr>
                <w:rFonts w:ascii="宋体" w:hAnsi="宋体"/>
              </w:rPr>
            </w:pPr>
          </w:p>
          <w:p>
            <w:pPr>
              <w:jc w:val="center"/>
              <w:rPr>
                <w:rFonts w:ascii="宋体" w:hAnsi="宋体"/>
              </w:rPr>
            </w:pPr>
            <w:r>
              <w:rPr>
                <w:rFonts w:hint="eastAsia" w:ascii="宋体" w:hAnsi="宋体"/>
              </w:rPr>
              <w:t>权值</w:t>
            </w:r>
            <w:r>
              <w:rPr>
                <w:rFonts w:hint="eastAsia" w:ascii="宋体" w:hAnsi="宋体"/>
                <w:lang w:val="en-US" w:eastAsia="zh-CN"/>
              </w:rPr>
              <w:t>3</w:t>
            </w:r>
            <w:r>
              <w:rPr>
                <w:rFonts w:hint="eastAsia" w:ascii="宋体" w:hAnsi="宋体"/>
              </w:rPr>
              <w:t>0%</w:t>
            </w:r>
          </w:p>
        </w:tc>
        <w:tc>
          <w:tcPr>
            <w:tcW w:w="850" w:type="dxa"/>
            <w:vMerge w:val="restart"/>
            <w:vAlign w:val="center"/>
          </w:tcPr>
          <w:p>
            <w:pPr>
              <w:jc w:val="center"/>
              <w:rPr>
                <w:rFonts w:ascii="宋体" w:hAnsi="宋体" w:cs="宋体"/>
                <w:szCs w:val="21"/>
              </w:rPr>
            </w:pPr>
            <w:r>
              <w:rPr>
                <w:rFonts w:hint="eastAsia" w:ascii="宋体" w:hAnsi="宋体" w:cs="宋体"/>
                <w:szCs w:val="21"/>
                <w:lang w:val="en-US" w:eastAsia="zh-CN"/>
              </w:rPr>
              <w:t>3</w:t>
            </w:r>
            <w:r>
              <w:rPr>
                <w:rFonts w:hint="eastAsia" w:ascii="宋体" w:hAnsi="宋体" w:cs="宋体"/>
                <w:szCs w:val="21"/>
              </w:rPr>
              <w:t>0分</w:t>
            </w:r>
          </w:p>
        </w:tc>
        <w:tc>
          <w:tcPr>
            <w:tcW w:w="709" w:type="dxa"/>
            <w:vAlign w:val="center"/>
          </w:tcPr>
          <w:p>
            <w:pPr>
              <w:jc w:val="center"/>
              <w:rPr>
                <w:rFonts w:ascii="宋体" w:hAnsi="宋体" w:cs="宋体"/>
                <w:szCs w:val="21"/>
              </w:rPr>
            </w:pPr>
            <w:r>
              <w:rPr>
                <w:rFonts w:hint="eastAsia" w:ascii="宋体" w:hAnsi="宋体" w:cs="宋体"/>
                <w:szCs w:val="21"/>
                <w:lang w:val="en-US" w:eastAsia="zh-CN"/>
              </w:rPr>
              <w:t>10</w:t>
            </w:r>
            <w:r>
              <w:rPr>
                <w:rFonts w:hint="eastAsia" w:ascii="宋体" w:hAnsi="宋体" w:cs="宋体"/>
                <w:szCs w:val="21"/>
              </w:rPr>
              <w:t>分</w:t>
            </w:r>
          </w:p>
        </w:tc>
        <w:tc>
          <w:tcPr>
            <w:tcW w:w="5846" w:type="dxa"/>
            <w:vAlign w:val="center"/>
          </w:tcPr>
          <w:p>
            <w:pPr>
              <w:rPr>
                <w:rFonts w:ascii="宋体" w:hAnsi="宋体"/>
              </w:rPr>
            </w:pPr>
            <w:r>
              <w:rPr>
                <w:rFonts w:hint="eastAsia" w:ascii="宋体" w:hAnsi="宋体"/>
              </w:rPr>
              <w:t>完全满足招标文件采购要求的，计</w:t>
            </w:r>
            <w:r>
              <w:rPr>
                <w:rFonts w:hint="eastAsia" w:ascii="宋体" w:hAnsi="宋体"/>
                <w:lang w:val="en-US" w:eastAsia="zh-CN"/>
              </w:rPr>
              <w:t>10</w:t>
            </w:r>
            <w:r>
              <w:rPr>
                <w:rFonts w:hint="eastAsia" w:ascii="宋体" w:hAnsi="宋体"/>
              </w:rPr>
              <w:t>分，每偏离一条扣1分。扣满</w:t>
            </w:r>
            <w:r>
              <w:rPr>
                <w:rFonts w:hint="eastAsia" w:ascii="宋体" w:hAnsi="宋体"/>
                <w:lang w:val="en-US" w:eastAsia="zh-CN"/>
              </w:rPr>
              <w:t>10</w:t>
            </w:r>
            <w:r>
              <w:rPr>
                <w:rFonts w:hint="eastAsia" w:ascii="宋体" w:hAnsi="宋体"/>
              </w:rPr>
              <w:t>分为止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533" w:type="dxa"/>
            <w:vMerge w:val="continue"/>
            <w:vAlign w:val="center"/>
          </w:tcPr>
          <w:p>
            <w:pPr>
              <w:jc w:val="center"/>
              <w:rPr>
                <w:rFonts w:ascii="宋体" w:hAnsi="宋体"/>
              </w:rPr>
            </w:pPr>
          </w:p>
        </w:tc>
        <w:tc>
          <w:tcPr>
            <w:tcW w:w="1276" w:type="dxa"/>
            <w:vMerge w:val="continue"/>
            <w:vAlign w:val="center"/>
          </w:tcPr>
          <w:p>
            <w:pPr>
              <w:jc w:val="center"/>
              <w:rPr>
                <w:rFonts w:ascii="宋体" w:hAnsi="宋体"/>
              </w:rPr>
            </w:pPr>
          </w:p>
        </w:tc>
        <w:tc>
          <w:tcPr>
            <w:tcW w:w="850" w:type="dxa"/>
            <w:vMerge w:val="continue"/>
            <w:vAlign w:val="center"/>
          </w:tcPr>
          <w:p>
            <w:pPr>
              <w:jc w:val="center"/>
              <w:rPr>
                <w:rFonts w:ascii="宋体" w:hAnsi="宋体" w:cs="宋体"/>
                <w:szCs w:val="21"/>
              </w:rPr>
            </w:pPr>
          </w:p>
        </w:tc>
        <w:tc>
          <w:tcPr>
            <w:tcW w:w="709" w:type="dxa"/>
            <w:vAlign w:val="center"/>
          </w:tcPr>
          <w:p>
            <w:pPr>
              <w:jc w:val="center"/>
              <w:rPr>
                <w:rFonts w:ascii="宋体" w:hAnsi="宋体" w:cs="宋体"/>
                <w:szCs w:val="21"/>
              </w:rPr>
            </w:pPr>
            <w:r>
              <w:rPr>
                <w:rFonts w:hint="eastAsia" w:ascii="宋体" w:hAnsi="宋体" w:cs="宋体"/>
                <w:szCs w:val="21"/>
              </w:rPr>
              <w:t>1</w:t>
            </w:r>
            <w:r>
              <w:rPr>
                <w:rFonts w:hint="eastAsia" w:ascii="宋体" w:hAnsi="宋体" w:cs="宋体"/>
                <w:szCs w:val="21"/>
                <w:lang w:val="en-US" w:eastAsia="zh-CN"/>
              </w:rPr>
              <w:t>5</w:t>
            </w:r>
            <w:r>
              <w:rPr>
                <w:rFonts w:hint="eastAsia" w:ascii="宋体" w:hAnsi="宋体" w:cs="宋体"/>
                <w:szCs w:val="21"/>
              </w:rPr>
              <w:t>分</w:t>
            </w:r>
          </w:p>
        </w:tc>
        <w:tc>
          <w:tcPr>
            <w:tcW w:w="5846" w:type="dxa"/>
            <w:vAlign w:val="center"/>
          </w:tcPr>
          <w:p>
            <w:pPr>
              <w:rPr>
                <w:rFonts w:ascii="宋体" w:hAnsi="宋体"/>
              </w:rPr>
            </w:pPr>
            <w:r>
              <w:rPr>
                <w:rFonts w:hint="eastAsia" w:ascii="宋体" w:hAnsi="宋体"/>
              </w:rPr>
              <w:t>样品(需提供的样品规格详见招标文件招标文件采购清单) :从标识标牌</w:t>
            </w:r>
            <w:r>
              <w:rPr>
                <w:rFonts w:hint="eastAsia" w:ascii="宋体" w:hAnsi="宋体"/>
                <w:lang w:val="en-US" w:eastAsia="zh-CN"/>
              </w:rPr>
              <w:t>设计样式、</w:t>
            </w:r>
            <w:r>
              <w:rPr>
                <w:rFonts w:hint="eastAsia" w:ascii="宋体" w:hAnsi="宋体"/>
              </w:rPr>
              <w:t>主材的选择、制作工艺、结构合理性、外观效果、印刷效果(含油漆等)、折弯工艺、焊接处拋光工艺、产品环保性等方面</w:t>
            </w:r>
            <w:r>
              <w:rPr>
                <w:rFonts w:hint="eastAsia" w:ascii="宋体" w:hAnsi="宋体"/>
                <w:lang w:val="en-US" w:eastAsia="zh-CN"/>
              </w:rPr>
              <w:t>不符合要求的不得分。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533" w:type="dxa"/>
            <w:vMerge w:val="continue"/>
          </w:tcPr>
          <w:p>
            <w:pPr>
              <w:jc w:val="center"/>
              <w:rPr>
                <w:rFonts w:ascii="宋体" w:hAnsi="宋体"/>
              </w:rPr>
            </w:pPr>
          </w:p>
        </w:tc>
        <w:tc>
          <w:tcPr>
            <w:tcW w:w="1276" w:type="dxa"/>
            <w:vMerge w:val="continue"/>
          </w:tcPr>
          <w:p>
            <w:pPr>
              <w:rPr>
                <w:rFonts w:ascii="宋体" w:hAnsi="宋体"/>
              </w:rPr>
            </w:pPr>
          </w:p>
        </w:tc>
        <w:tc>
          <w:tcPr>
            <w:tcW w:w="850" w:type="dxa"/>
            <w:vMerge w:val="continue"/>
          </w:tcPr>
          <w:p>
            <w:pPr>
              <w:rPr>
                <w:rFonts w:ascii="宋体" w:hAnsi="宋体" w:cs="宋体"/>
                <w:szCs w:val="21"/>
              </w:rPr>
            </w:pPr>
          </w:p>
        </w:tc>
        <w:tc>
          <w:tcPr>
            <w:tcW w:w="709" w:type="dxa"/>
            <w:vAlign w:val="center"/>
          </w:tcPr>
          <w:p>
            <w:pPr>
              <w:jc w:val="center"/>
              <w:rPr>
                <w:rFonts w:ascii="宋体" w:hAnsi="宋体" w:cs="宋体"/>
                <w:szCs w:val="21"/>
              </w:rPr>
            </w:pPr>
            <w:r>
              <w:rPr>
                <w:rFonts w:hint="eastAsia" w:ascii="宋体" w:hAnsi="宋体" w:cs="宋体"/>
                <w:szCs w:val="21"/>
              </w:rPr>
              <w:t>5分</w:t>
            </w:r>
          </w:p>
        </w:tc>
        <w:tc>
          <w:tcPr>
            <w:tcW w:w="5846" w:type="dxa"/>
            <w:vAlign w:val="center"/>
          </w:tcPr>
          <w:p>
            <w:pPr>
              <w:rPr>
                <w:rFonts w:ascii="宋体" w:hAnsi="宋体"/>
                <w:highlight w:val="yellow"/>
              </w:rPr>
            </w:pPr>
            <w:r>
              <w:rPr>
                <w:rFonts w:hint="eastAsia" w:ascii="宋体" w:hAnsi="宋体" w:cs="宋体"/>
                <w:szCs w:val="21"/>
              </w:rPr>
              <w:t>针对采购人实际情况提供供货、安装、调试、验收的方案和措施:对各投标单位的方案和措施横向对比打分。相对最优的计5分，一般的计3分。没有提供的计0分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5" w:hRule="atLeast"/>
        </w:trPr>
        <w:tc>
          <w:tcPr>
            <w:tcW w:w="533" w:type="dxa"/>
            <w:vMerge w:val="restart"/>
            <w:vAlign w:val="center"/>
          </w:tcPr>
          <w:p>
            <w:pPr>
              <w:jc w:val="center"/>
              <w:rPr>
                <w:rFonts w:ascii="宋体" w:hAnsi="宋体"/>
              </w:rPr>
            </w:pPr>
            <w:r>
              <w:rPr>
                <w:rFonts w:hint="eastAsia" w:ascii="宋体" w:hAnsi="宋体"/>
              </w:rPr>
              <w:t>3</w:t>
            </w:r>
          </w:p>
        </w:tc>
        <w:tc>
          <w:tcPr>
            <w:tcW w:w="1276" w:type="dxa"/>
            <w:vMerge w:val="restart"/>
            <w:vAlign w:val="center"/>
          </w:tcPr>
          <w:p>
            <w:pPr>
              <w:jc w:val="center"/>
              <w:rPr>
                <w:rFonts w:ascii="宋体" w:hAnsi="宋体"/>
              </w:rPr>
            </w:pPr>
            <w:r>
              <w:rPr>
                <w:rFonts w:hint="eastAsia" w:ascii="宋体" w:hAnsi="宋体"/>
              </w:rPr>
              <w:t>商务部分</w:t>
            </w:r>
          </w:p>
          <w:p>
            <w:pPr>
              <w:jc w:val="center"/>
              <w:rPr>
                <w:rFonts w:ascii="宋体" w:hAnsi="宋体"/>
              </w:rPr>
            </w:pPr>
          </w:p>
          <w:p>
            <w:pPr>
              <w:jc w:val="center"/>
              <w:rPr>
                <w:rFonts w:ascii="宋体" w:hAnsi="宋体"/>
              </w:rPr>
            </w:pPr>
            <w:r>
              <w:rPr>
                <w:rFonts w:hint="eastAsia" w:ascii="宋体" w:hAnsi="宋体"/>
              </w:rPr>
              <w:t>权值10%</w:t>
            </w:r>
          </w:p>
        </w:tc>
        <w:tc>
          <w:tcPr>
            <w:tcW w:w="850" w:type="dxa"/>
            <w:vMerge w:val="restart"/>
            <w:vAlign w:val="center"/>
          </w:tcPr>
          <w:p>
            <w:pPr>
              <w:jc w:val="center"/>
              <w:rPr>
                <w:rFonts w:ascii="宋体" w:hAnsi="宋体" w:cs="宋体"/>
                <w:szCs w:val="21"/>
              </w:rPr>
            </w:pPr>
            <w:r>
              <w:rPr>
                <w:rFonts w:hint="eastAsia" w:ascii="宋体" w:hAnsi="宋体" w:cs="宋体"/>
                <w:szCs w:val="21"/>
              </w:rPr>
              <w:t>10分</w:t>
            </w:r>
          </w:p>
        </w:tc>
        <w:tc>
          <w:tcPr>
            <w:tcW w:w="709" w:type="dxa"/>
            <w:vAlign w:val="center"/>
          </w:tcPr>
          <w:p>
            <w:pPr>
              <w:jc w:val="center"/>
              <w:rPr>
                <w:rFonts w:ascii="宋体" w:hAnsi="宋体" w:cs="宋体"/>
                <w:szCs w:val="21"/>
              </w:rPr>
            </w:pPr>
            <w:r>
              <w:rPr>
                <w:rFonts w:hint="eastAsia" w:ascii="宋体" w:hAnsi="宋体" w:cs="宋体"/>
                <w:szCs w:val="21"/>
              </w:rPr>
              <w:t>6分</w:t>
            </w:r>
          </w:p>
        </w:tc>
        <w:tc>
          <w:tcPr>
            <w:tcW w:w="5846" w:type="dxa"/>
            <w:vAlign w:val="center"/>
          </w:tcPr>
          <w:p>
            <w:pPr>
              <w:pStyle w:val="10"/>
              <w:spacing w:line="240" w:lineRule="auto"/>
              <w:rPr>
                <w:rFonts w:hint="eastAsia"/>
              </w:rPr>
            </w:pPr>
            <w:r>
              <w:rPr>
                <w:rFonts w:hint="eastAsia"/>
                <w:lang w:val="en-US" w:eastAsia="zh-CN"/>
              </w:rPr>
              <w:t>近三年</w:t>
            </w:r>
            <w:r>
              <w:rPr>
                <w:rFonts w:hint="eastAsia"/>
              </w:rPr>
              <w:t>投标人从事过</w:t>
            </w:r>
            <w:r>
              <w:rPr>
                <w:rFonts w:hint="eastAsia"/>
                <w:lang w:val="en-US" w:eastAsia="zh-CN"/>
              </w:rPr>
              <w:t>同类</w:t>
            </w:r>
            <w:r>
              <w:rPr>
                <w:rFonts w:hint="eastAsia"/>
              </w:rPr>
              <w:t>广告</w:t>
            </w:r>
            <w:r>
              <w:rPr>
                <w:rFonts w:hint="eastAsia"/>
                <w:lang w:val="en-US" w:eastAsia="zh-CN"/>
              </w:rPr>
              <w:t>标识标牌</w:t>
            </w:r>
            <w:r>
              <w:rPr>
                <w:rFonts w:hint="eastAsia"/>
              </w:rPr>
              <w:t>服务合同的两家</w:t>
            </w:r>
            <w:r>
              <w:rPr>
                <w:rFonts w:hint="eastAsia"/>
                <w:lang w:val="en-US" w:eastAsia="zh-CN"/>
              </w:rPr>
              <w:t>及</w:t>
            </w:r>
            <w:r>
              <w:rPr>
                <w:rFonts w:hint="eastAsia"/>
              </w:rPr>
              <w:t>以上计</w:t>
            </w:r>
            <w:r>
              <w:t>6</w:t>
            </w:r>
            <w:r>
              <w:rPr>
                <w:rFonts w:hint="eastAsia"/>
              </w:rPr>
              <w:t>分</w:t>
            </w:r>
            <w:r>
              <w:rPr>
                <w:rFonts w:hint="eastAsia"/>
                <w:lang w:eastAsia="zh-CN"/>
              </w:rPr>
              <w:t>，</w:t>
            </w:r>
            <w:r>
              <w:rPr>
                <w:rFonts w:hint="eastAsia"/>
                <w:lang w:val="en-US" w:eastAsia="zh-CN"/>
              </w:rPr>
              <w:t>一家3分</w:t>
            </w:r>
            <w:r>
              <w:rPr>
                <w:rFonts w:hint="eastAsia"/>
              </w:rPr>
              <w:t>。</w:t>
            </w:r>
          </w:p>
          <w:p>
            <w:pPr>
              <w:rPr>
                <w:rFonts w:hint="eastAsia"/>
              </w:rPr>
            </w:pPr>
            <w:r>
              <w:rPr>
                <w:rFonts w:hint="eastAsia" w:ascii="Times New Roman" w:hAnsi="Times New Roman" w:eastAsia="宋体" w:cs="Times New Roman"/>
                <w:kern w:val="2"/>
                <w:sz w:val="21"/>
                <w:szCs w:val="24"/>
                <w:lang w:val="en-US" w:eastAsia="zh-CN" w:bidi="ar-SA"/>
              </w:rPr>
              <w:t>带“ ★”“*”号参数为重要条款不允许偏离，否则视同无效投标。技术条款偏离项数之和大于5项</w:t>
            </w:r>
            <w:r>
              <w:rPr>
                <w:rFonts w:hint="eastAsia" w:eastAsia="宋体" w:cs="Times New Roman"/>
                <w:kern w:val="2"/>
                <w:sz w:val="21"/>
                <w:szCs w:val="24"/>
                <w:lang w:val="en-US" w:eastAsia="zh-CN" w:bidi="ar-SA"/>
              </w:rPr>
              <w:t>为</w:t>
            </w:r>
            <w:r>
              <w:rPr>
                <w:rFonts w:hint="eastAsia" w:ascii="Times New Roman" w:hAnsi="Times New Roman" w:eastAsia="宋体" w:cs="Times New Roman"/>
                <w:kern w:val="2"/>
                <w:sz w:val="21"/>
                <w:szCs w:val="24"/>
                <w:lang w:val="en-US" w:eastAsia="zh-CN" w:bidi="ar-SA"/>
              </w:rPr>
              <w:t>无效投标。</w:t>
            </w:r>
          </w:p>
          <w:p>
            <w:pPr>
              <w:rPr>
                <w:rFonts w:ascii="宋体" w:hAnsi="宋体"/>
              </w:rPr>
            </w:pPr>
            <w:r>
              <w:rPr>
                <w:rFonts w:hint="eastAsia" w:ascii="宋体" w:hAnsi="宋体" w:cs="宋体"/>
                <w:color w:val="000000"/>
                <w:kern w:val="0"/>
                <w:szCs w:val="21"/>
                <w:lang w:bidi="ar"/>
              </w:rPr>
              <w:t>(</w:t>
            </w:r>
            <w:r>
              <w:rPr>
                <w:rFonts w:hint="eastAsia" w:ascii="宋体" w:hAnsi="宋体"/>
                <w:color w:val="000000"/>
                <w:kern w:val="0"/>
                <w:szCs w:val="21"/>
              </w:rPr>
              <w:t>注：类似业绩时间以合同签订日期为准。投标文件中须提供类似业绩合同复印件并加盖投标人公章，合同甲方联系人及电话备查,未提供的不计分)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6" w:hRule="atLeast"/>
        </w:trPr>
        <w:tc>
          <w:tcPr>
            <w:tcW w:w="533" w:type="dxa"/>
            <w:vMerge w:val="continue"/>
            <w:vAlign w:val="center"/>
          </w:tcPr>
          <w:p>
            <w:pPr>
              <w:jc w:val="center"/>
              <w:rPr>
                <w:rFonts w:ascii="宋体" w:hAnsi="宋体"/>
              </w:rPr>
            </w:pPr>
          </w:p>
        </w:tc>
        <w:tc>
          <w:tcPr>
            <w:tcW w:w="1276" w:type="dxa"/>
            <w:vMerge w:val="continue"/>
            <w:vAlign w:val="center"/>
          </w:tcPr>
          <w:p>
            <w:pPr>
              <w:jc w:val="center"/>
              <w:rPr>
                <w:rFonts w:ascii="宋体" w:hAnsi="宋体"/>
                <w:highlight w:val="yellow"/>
              </w:rPr>
            </w:pPr>
          </w:p>
        </w:tc>
        <w:tc>
          <w:tcPr>
            <w:tcW w:w="850" w:type="dxa"/>
            <w:vMerge w:val="continue"/>
            <w:vAlign w:val="center"/>
          </w:tcPr>
          <w:p>
            <w:pPr>
              <w:jc w:val="center"/>
              <w:rPr>
                <w:rFonts w:ascii="宋体" w:hAnsi="宋体"/>
                <w:highlight w:val="yellow"/>
              </w:rPr>
            </w:pPr>
          </w:p>
        </w:tc>
        <w:tc>
          <w:tcPr>
            <w:tcW w:w="709" w:type="dxa"/>
            <w:vAlign w:val="center"/>
          </w:tcPr>
          <w:p>
            <w:pPr>
              <w:jc w:val="center"/>
              <w:rPr>
                <w:rFonts w:ascii="宋体" w:hAnsi="宋体"/>
              </w:rPr>
            </w:pPr>
            <w:r>
              <w:rPr>
                <w:rFonts w:ascii="宋体" w:hAnsi="宋体"/>
              </w:rPr>
              <w:t>4</w:t>
            </w:r>
            <w:r>
              <w:rPr>
                <w:rFonts w:hint="eastAsia" w:ascii="宋体" w:hAnsi="宋体"/>
              </w:rPr>
              <w:t>分</w:t>
            </w:r>
          </w:p>
        </w:tc>
        <w:tc>
          <w:tcPr>
            <w:tcW w:w="5846" w:type="dxa"/>
            <w:vAlign w:val="center"/>
          </w:tcPr>
          <w:p>
            <w:pPr>
              <w:rPr>
                <w:rFonts w:ascii="宋体" w:hAnsi="宋体"/>
              </w:rPr>
            </w:pPr>
            <w:r>
              <w:rPr>
                <w:rFonts w:hint="eastAsia" w:ascii="宋体" w:hAnsi="宋体"/>
              </w:rPr>
              <w:t>全年全天候响应，售后服务保障能力、相关承诺横向比较酌情打分，主要考察服务网点距离，响应时间。</w:t>
            </w:r>
          </w:p>
          <w:p>
            <w:pPr>
              <w:rPr>
                <w:rFonts w:ascii="宋体" w:hAnsi="宋体"/>
              </w:rPr>
            </w:pPr>
            <w:r>
              <w:rPr>
                <w:rFonts w:hint="eastAsia" w:ascii="宋体" w:hAnsi="宋体"/>
              </w:rPr>
              <w:t>接到采购人服务通知电话后在：</w:t>
            </w:r>
          </w:p>
          <w:p>
            <w:pPr>
              <w:rPr>
                <w:rFonts w:ascii="宋体" w:hAnsi="宋体"/>
              </w:rPr>
            </w:pPr>
            <w:r>
              <w:rPr>
                <w:rFonts w:hint="eastAsia" w:ascii="宋体" w:hAnsi="宋体"/>
              </w:rPr>
              <w:t>半小时到达现场沟通的计</w:t>
            </w:r>
            <w:r>
              <w:rPr>
                <w:rFonts w:ascii="宋体" w:hAnsi="宋体"/>
              </w:rPr>
              <w:t>4</w:t>
            </w:r>
            <w:r>
              <w:rPr>
                <w:rFonts w:hint="eastAsia" w:ascii="宋体" w:hAnsi="宋体"/>
              </w:rPr>
              <w:t>分</w:t>
            </w:r>
          </w:p>
          <w:p>
            <w:pPr>
              <w:rPr>
                <w:rFonts w:ascii="宋体" w:hAnsi="宋体"/>
              </w:rPr>
            </w:pPr>
            <w:r>
              <w:rPr>
                <w:rFonts w:hint="eastAsia" w:ascii="宋体" w:hAnsi="宋体"/>
              </w:rPr>
              <w:t>1小时到达现场沟通的计</w:t>
            </w:r>
            <w:r>
              <w:rPr>
                <w:rFonts w:ascii="宋体" w:hAnsi="宋体"/>
              </w:rPr>
              <w:t>3</w:t>
            </w:r>
            <w:r>
              <w:rPr>
                <w:rFonts w:hint="eastAsia" w:ascii="宋体" w:hAnsi="宋体"/>
              </w:rPr>
              <w:t>分</w:t>
            </w:r>
          </w:p>
          <w:p>
            <w:pPr>
              <w:rPr>
                <w:rFonts w:ascii="宋体" w:hAnsi="宋体"/>
              </w:rPr>
            </w:pPr>
            <w:r>
              <w:rPr>
                <w:rFonts w:hint="eastAsia" w:ascii="宋体" w:hAnsi="宋体"/>
              </w:rPr>
              <w:t>2小时到达现场沟通的计2分</w:t>
            </w:r>
          </w:p>
          <w:p>
            <w:pPr>
              <w:rPr>
                <w:rFonts w:ascii="宋体" w:hAnsi="宋体"/>
              </w:rPr>
            </w:pPr>
            <w:r>
              <w:rPr>
                <w:rFonts w:hint="eastAsia" w:ascii="宋体" w:hAnsi="宋体"/>
              </w:rPr>
              <w:t>超过2小时的不计分</w:t>
            </w:r>
          </w:p>
        </w:tc>
      </w:tr>
    </w:tbl>
    <w:p>
      <w:pPr>
        <w:spacing w:before="120" w:beforeLines="50" w:after="120" w:afterLines="50" w:line="360" w:lineRule="auto"/>
        <w:rPr>
          <w:rFonts w:hint="eastAsia" w:ascii="宋体" w:hAnsi="宋体" w:cs="宋体"/>
          <w:color w:val="auto"/>
          <w:sz w:val="28"/>
          <w:szCs w:val="28"/>
        </w:rPr>
      </w:pPr>
    </w:p>
    <w:p>
      <w:pPr>
        <w:spacing w:before="120" w:beforeLines="50" w:after="120" w:afterLines="50" w:line="360" w:lineRule="auto"/>
        <w:rPr>
          <w:rFonts w:hint="eastAsia" w:ascii="宋体" w:hAnsi="宋体" w:cs="宋体"/>
          <w:color w:val="auto"/>
          <w:sz w:val="28"/>
          <w:szCs w:val="28"/>
        </w:rPr>
      </w:pPr>
      <w:r>
        <w:rPr>
          <w:rFonts w:hint="eastAsia" w:ascii="宋体" w:hAnsi="宋体" w:cs="宋体"/>
          <w:color w:val="auto"/>
          <w:sz w:val="28"/>
          <w:szCs w:val="28"/>
        </w:rPr>
        <w:t>注：（1）评标委员会对投标人评分的算数平均值即为该投标人的最终评标得分（不得去</w:t>
      </w:r>
      <w:r>
        <w:rPr>
          <w:rFonts w:hint="eastAsia" w:ascii="宋体" w:hAnsi="宋体" w:cs="宋体"/>
          <w:color w:val="auto"/>
          <w:sz w:val="28"/>
          <w:szCs w:val="28"/>
          <w:lang w:val="en-US" w:eastAsia="zh-CN"/>
        </w:rPr>
        <w:t>掉</w:t>
      </w:r>
      <w:r>
        <w:rPr>
          <w:rFonts w:hint="eastAsia" w:ascii="宋体" w:hAnsi="宋体" w:cs="宋体"/>
          <w:color w:val="auto"/>
          <w:sz w:val="28"/>
          <w:szCs w:val="28"/>
        </w:rPr>
        <w:t>评分项目的最高得分和最低得分），评分分值计算保留小数点后两位，小数点后第三位“四舍五入”。</w:t>
      </w:r>
    </w:p>
    <w:p>
      <w:pPr>
        <w:numPr>
          <w:ilvl w:val="0"/>
          <w:numId w:val="2"/>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评标结果按评审后得分由高到低顺序排列；综合得分相同的，按投标报价由低到高顺序排列；综合得分且投标报价得分相同的，按技术得分由高到低顺序排列。</w:t>
      </w:r>
    </w:p>
    <w:p>
      <w:pPr>
        <w:numPr>
          <w:ilvl w:val="0"/>
          <w:numId w:val="2"/>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投标人投标文件中提供的资料应真实、清晰，如经评委一致认定投标文件提供的资料不清晰、模糊不清的，该项资料所对应的评分分值为0分</w:t>
      </w:r>
      <w:r>
        <w:rPr>
          <w:rFonts w:hint="eastAsia" w:ascii="宋体" w:hAnsi="宋体" w:cs="宋体"/>
          <w:color w:val="auto"/>
          <w:sz w:val="28"/>
          <w:szCs w:val="28"/>
          <w:lang w:eastAsia="zh-CN"/>
        </w:rPr>
        <w:t>。</w:t>
      </w:r>
    </w:p>
    <w:p>
      <w:pPr>
        <w:pStyle w:val="20"/>
        <w:rPr>
          <w:color w:val="auto"/>
        </w:rPr>
      </w:pPr>
    </w:p>
    <w:p>
      <w:pPr>
        <w:rPr>
          <w:color w:val="auto"/>
        </w:rPr>
      </w:pPr>
      <w:r>
        <w:rPr>
          <w:color w:val="auto"/>
        </w:rPr>
        <w:br w:type="page"/>
      </w:r>
    </w:p>
    <w:p>
      <w:pPr>
        <w:pStyle w:val="20"/>
        <w:rPr>
          <w:color w:val="auto"/>
        </w:rPr>
      </w:pPr>
    </w:p>
    <w:p>
      <w:pPr>
        <w:pStyle w:val="20"/>
        <w:widowControl w:val="0"/>
        <w:numPr>
          <w:ilvl w:val="0"/>
          <w:numId w:val="0"/>
        </w:numPr>
        <w:jc w:val="both"/>
        <w:rPr>
          <w:color w:val="auto"/>
          <w:sz w:val="28"/>
          <w:szCs w:val="28"/>
        </w:rPr>
      </w:pPr>
    </w:p>
    <w:p>
      <w:pPr>
        <w:pStyle w:val="20"/>
        <w:widowControl w:val="0"/>
        <w:numPr>
          <w:ilvl w:val="0"/>
          <w:numId w:val="0"/>
        </w:numPr>
        <w:jc w:val="both"/>
        <w:rPr>
          <w:color w:val="auto"/>
          <w:sz w:val="28"/>
          <w:szCs w:val="28"/>
        </w:rPr>
      </w:pPr>
    </w:p>
    <w:p>
      <w:pPr>
        <w:pStyle w:val="3"/>
        <w:numPr>
          <w:ilvl w:val="0"/>
          <w:numId w:val="3"/>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3"/>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21"/>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20"/>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76514128"/>
      <w:bookmarkStart w:id="4" w:name="_Toc486424819"/>
    </w:p>
    <w:p>
      <w:pPr>
        <w:pStyle w:val="20"/>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2"/>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6"/>
        <w:gridCol w:w="2026"/>
        <w:gridCol w:w="1521"/>
        <w:gridCol w:w="1608"/>
        <w:gridCol w:w="1513"/>
        <w:gridCol w:w="106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212"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91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212" w:type="pct"/>
            <w:noWrap w:val="0"/>
            <w:vAlign w:val="center"/>
          </w:tcPr>
          <w:p>
            <w:pPr>
              <w:adjustRightInd w:val="0"/>
              <w:snapToGrid w:val="0"/>
              <w:spacing w:before="50" w:line="360" w:lineRule="auto"/>
              <w:ind w:left="-88" w:leftChars="-42"/>
              <w:jc w:val="center"/>
              <w:rPr>
                <w:color w:val="auto"/>
                <w:szCs w:val="21"/>
              </w:rPr>
            </w:pPr>
          </w:p>
        </w:tc>
        <w:tc>
          <w:tcPr>
            <w:tcW w:w="91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212" w:type="pct"/>
            <w:noWrap w:val="0"/>
            <w:vAlign w:val="center"/>
          </w:tcPr>
          <w:p>
            <w:pPr>
              <w:adjustRightInd w:val="0"/>
              <w:snapToGrid w:val="0"/>
              <w:spacing w:before="50" w:line="360" w:lineRule="auto"/>
              <w:ind w:left="-88" w:leftChars="-42"/>
              <w:jc w:val="center"/>
              <w:rPr>
                <w:color w:val="auto"/>
                <w:szCs w:val="21"/>
              </w:rPr>
            </w:pPr>
          </w:p>
        </w:tc>
        <w:tc>
          <w:tcPr>
            <w:tcW w:w="91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212" w:type="pct"/>
            <w:noWrap w:val="0"/>
            <w:vAlign w:val="center"/>
          </w:tcPr>
          <w:p>
            <w:pPr>
              <w:adjustRightInd w:val="0"/>
              <w:snapToGrid w:val="0"/>
              <w:spacing w:before="50" w:line="360" w:lineRule="auto"/>
              <w:ind w:left="-88" w:leftChars="-42"/>
              <w:jc w:val="center"/>
              <w:rPr>
                <w:color w:val="auto"/>
                <w:szCs w:val="21"/>
              </w:rPr>
            </w:pPr>
          </w:p>
        </w:tc>
        <w:tc>
          <w:tcPr>
            <w:tcW w:w="91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17"/>
      </w:pPr>
    </w:p>
    <w:p>
      <w:pPr>
        <w:spacing w:before="120" w:beforeLines="50" w:after="120" w:afterLines="50" w:line="276" w:lineRule="auto"/>
        <w:rPr>
          <w:rFonts w:hint="eastAsia" w:eastAsia="宋体"/>
          <w:b/>
          <w:bCs/>
          <w:color w:val="auto"/>
          <w:sz w:val="28"/>
          <w:szCs w:val="28"/>
          <w:lang w:eastAsia="zh-CN"/>
        </w:rPr>
      </w:pPr>
    </w:p>
    <w:p>
      <w:pPr>
        <w:pStyle w:val="20"/>
        <w:rPr>
          <w:rFonts w:hint="eastAsia"/>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21"/>
        <w:rPr>
          <w:color w:val="auto"/>
        </w:rPr>
      </w:pPr>
    </w:p>
    <w:p>
      <w:pPr>
        <w:pStyle w:val="21"/>
        <w:rPr>
          <w:color w:val="auto"/>
        </w:rPr>
      </w:pPr>
    </w:p>
    <w:p>
      <w:pPr>
        <w:pStyle w:val="21"/>
        <w:rPr>
          <w:color w:val="auto"/>
        </w:rPr>
      </w:pPr>
    </w:p>
    <w:p>
      <w:pPr>
        <w:pStyle w:val="21"/>
        <w:rPr>
          <w:color w:val="auto"/>
        </w:rPr>
      </w:pPr>
    </w:p>
    <w:p>
      <w:pPr>
        <w:pStyle w:val="22"/>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21"/>
        <w:rPr>
          <w:color w:val="auto"/>
        </w:rPr>
      </w:pPr>
    </w:p>
    <w:p>
      <w:pPr>
        <w:pStyle w:val="21"/>
        <w:rPr>
          <w:rFonts w:hint="eastAsia"/>
          <w:color w:val="auto"/>
        </w:rPr>
      </w:pPr>
    </w:p>
    <w:p>
      <w:pPr>
        <w:pStyle w:val="21"/>
        <w:rPr>
          <w:color w:val="auto"/>
        </w:rPr>
      </w:pPr>
    </w:p>
    <w:p>
      <w:pPr>
        <w:pStyle w:val="21"/>
        <w:rPr>
          <w:color w:val="auto"/>
        </w:rPr>
      </w:pPr>
    </w:p>
    <w:p>
      <w:pPr>
        <w:pStyle w:val="21"/>
        <w:rPr>
          <w:color w:val="auto"/>
        </w:rPr>
      </w:pPr>
    </w:p>
    <w:p>
      <w:pPr>
        <w:pStyle w:val="21"/>
        <w:rPr>
          <w:color w:val="auto"/>
        </w:rPr>
      </w:pPr>
    </w:p>
    <w:p>
      <w:pPr>
        <w:pStyle w:val="21"/>
        <w:rPr>
          <w:color w:val="auto"/>
        </w:rPr>
      </w:pPr>
    </w:p>
    <w:p>
      <w:pPr>
        <w:pStyle w:val="21"/>
        <w:rPr>
          <w:rFonts w:hint="eastAsia"/>
          <w:color w:val="auto"/>
        </w:rPr>
      </w:pPr>
    </w:p>
    <w:p>
      <w:pPr>
        <w:pStyle w:val="22"/>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22"/>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22"/>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20"/>
        <w:rPr>
          <w:rFonts w:hint="eastAsia"/>
          <w:lang w:eastAsia="zh-CN"/>
        </w:rPr>
      </w:pPr>
    </w:p>
    <w:p>
      <w:pPr>
        <w:pStyle w:val="22"/>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22"/>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22"/>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22"/>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4"/>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r>
        <w:rPr>
          <w:rFonts w:hint="eastAsia" w:ascii="宋体" w:hAnsi="宋体" w:cs="宋体"/>
          <w:color w:val="auto"/>
          <w:sz w:val="24"/>
          <w:lang w:eastAsia="zh-CN"/>
        </w:rPr>
        <w:t>。</w:t>
      </w:r>
    </w:p>
    <w:p/>
    <w:p/>
    <w:p>
      <w:pPr>
        <w:keepNext w:val="0"/>
        <w:keepLines w:val="0"/>
        <w:pageBreakBefore w:val="0"/>
        <w:widowControl w:val="0"/>
        <w:kinsoku/>
        <w:wordWrap/>
        <w:overflowPunct/>
        <w:topLinePunct w:val="0"/>
        <w:autoSpaceDE/>
        <w:autoSpaceDN/>
        <w:bidi w:val="0"/>
        <w:adjustRightInd w:val="0"/>
        <w:snapToGrid w:val="0"/>
        <w:spacing w:line="480" w:lineRule="exact"/>
        <w:ind w:right="0" w:firstLine="6600" w:firstLineChars="2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合同编号：</w:t>
      </w:r>
    </w:p>
    <w:p>
      <w:pPr>
        <w:keepNext w:val="0"/>
        <w:keepLines w:val="0"/>
        <w:pageBreakBefore w:val="0"/>
        <w:widowControl w:val="0"/>
        <w:shd w:val="clear" w:color="auto" w:fill="auto"/>
        <w:kinsoku/>
        <w:wordWrap/>
        <w:overflowPunct/>
        <w:topLinePunct w:val="0"/>
        <w:autoSpaceDE/>
        <w:autoSpaceDN/>
        <w:bidi w:val="0"/>
        <w:spacing w:line="480" w:lineRule="exact"/>
        <w:ind w:right="0"/>
        <w:jc w:val="center"/>
        <w:textAlignment w:val="auto"/>
        <w:rPr>
          <w:rFonts w:hint="eastAsia" w:ascii="仿宋" w:hAnsi="仿宋" w:eastAsia="仿宋" w:cs="仿宋"/>
          <w:b/>
          <w:bCs/>
          <w:color w:val="auto"/>
          <w:sz w:val="40"/>
          <w:szCs w:val="40"/>
        </w:rPr>
      </w:pPr>
      <w:r>
        <w:rPr>
          <w:rFonts w:hint="eastAsia" w:ascii="仿宋" w:hAnsi="仿宋" w:eastAsia="仿宋" w:cs="仿宋"/>
          <w:b/>
          <w:bCs/>
          <w:color w:val="auto"/>
          <w:sz w:val="40"/>
          <w:szCs w:val="40"/>
        </w:rPr>
        <w:t>娄底市中心医院</w:t>
      </w:r>
      <w:r>
        <w:rPr>
          <w:rFonts w:hint="eastAsia" w:ascii="仿宋" w:hAnsi="仿宋" w:eastAsia="仿宋" w:cs="仿宋"/>
          <w:b/>
          <w:bCs/>
          <w:color w:val="auto"/>
          <w:sz w:val="40"/>
          <w:szCs w:val="40"/>
          <w:lang w:eastAsia="zh-CN"/>
        </w:rPr>
        <w:t>年度零散</w:t>
      </w:r>
      <w:r>
        <w:rPr>
          <w:rFonts w:hint="eastAsia" w:ascii="仿宋" w:hAnsi="仿宋" w:eastAsia="仿宋" w:cs="仿宋"/>
          <w:b/>
          <w:bCs/>
          <w:color w:val="auto"/>
          <w:sz w:val="40"/>
          <w:szCs w:val="40"/>
        </w:rPr>
        <w:t>广告设计制作服务合同</w:t>
      </w:r>
    </w:p>
    <w:p>
      <w:pPr>
        <w:keepNext w:val="0"/>
        <w:keepLines w:val="0"/>
        <w:pageBreakBefore w:val="0"/>
        <w:widowControl w:val="0"/>
        <w:kinsoku/>
        <w:wordWrap/>
        <w:overflowPunct/>
        <w:topLinePunct w:val="0"/>
        <w:autoSpaceDE/>
        <w:autoSpaceDN/>
        <w:bidi w:val="0"/>
        <w:adjustRightInd/>
        <w:snapToGrid/>
        <w:spacing w:line="480" w:lineRule="exact"/>
        <w:ind w:right="0" w:firstLine="320" w:firstLineChars="100"/>
        <w:textAlignment w:val="auto"/>
        <w:rPr>
          <w:rFonts w:hint="eastAsia" w:ascii="仿宋" w:hAnsi="仿宋" w:eastAsia="仿宋" w:cs="仿宋"/>
          <w:color w:val="auto"/>
          <w:sz w:val="32"/>
          <w:szCs w:val="32"/>
        </w:rPr>
      </w:pPr>
    </w:p>
    <w:p>
      <w:pPr>
        <w:keepNext w:val="0"/>
        <w:keepLines w:val="0"/>
        <w:pageBreakBefore w:val="0"/>
        <w:widowControl w:val="0"/>
        <w:kinsoku/>
        <w:wordWrap/>
        <w:overflowPunct/>
        <w:topLinePunct w:val="0"/>
        <w:autoSpaceDE/>
        <w:autoSpaceDN/>
        <w:bidi w:val="0"/>
        <w:adjustRightInd/>
        <w:snapToGrid/>
        <w:spacing w:line="480" w:lineRule="exact"/>
        <w:ind w:right="0" w:firstLine="321" w:firstLineChars="1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甲方：</w:t>
      </w:r>
      <w:r>
        <w:rPr>
          <w:rFonts w:hint="eastAsia" w:ascii="仿宋" w:hAnsi="仿宋" w:eastAsia="仿宋" w:cs="仿宋"/>
          <w:color w:val="auto"/>
          <w:sz w:val="32"/>
          <w:szCs w:val="32"/>
        </w:rPr>
        <w:t>娄底市中心医院</w:t>
      </w:r>
    </w:p>
    <w:p>
      <w:pPr>
        <w:keepNext w:val="0"/>
        <w:keepLines w:val="0"/>
        <w:pageBreakBefore w:val="0"/>
        <w:widowControl w:val="0"/>
        <w:kinsoku/>
        <w:wordWrap/>
        <w:overflowPunct/>
        <w:topLinePunct w:val="0"/>
        <w:autoSpaceDE/>
        <w:autoSpaceDN/>
        <w:bidi w:val="0"/>
        <w:adjustRightInd/>
        <w:snapToGrid/>
        <w:spacing w:line="480" w:lineRule="exact"/>
        <w:ind w:right="0" w:firstLine="320" w:firstLineChars="10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ind w:right="0" w:firstLine="321" w:firstLineChars="1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乙方：</w:t>
      </w:r>
    </w:p>
    <w:p>
      <w:pPr>
        <w:keepNext w:val="0"/>
        <w:keepLines w:val="0"/>
        <w:pageBreakBefore w:val="0"/>
        <w:widowControl w:val="0"/>
        <w:kinsoku/>
        <w:wordWrap/>
        <w:overflowPunct/>
        <w:topLinePunct w:val="0"/>
        <w:autoSpaceDE/>
        <w:autoSpaceDN/>
        <w:bidi w:val="0"/>
        <w:adjustRightInd/>
        <w:snapToGrid/>
        <w:spacing w:line="480" w:lineRule="exact"/>
        <w:ind w:right="0" w:firstLine="320" w:firstLineChars="1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统一社会信用代码：</w:t>
      </w:r>
    </w:p>
    <w:p>
      <w:pPr>
        <w:pageBreakBefore w:val="0"/>
        <w:widowControl w:val="0"/>
        <w:kinsoku/>
        <w:wordWrap/>
        <w:overflowPunct/>
        <w:topLinePunct w:val="0"/>
        <w:autoSpaceDE/>
        <w:autoSpaceDN/>
        <w:bidi w:val="0"/>
        <w:spacing w:line="480" w:lineRule="exact"/>
        <w:ind w:right="0" w:firstLine="640" w:firstLineChars="200"/>
        <w:rPr>
          <w:rFonts w:hint="eastAsia" w:ascii="仿宋" w:hAnsi="仿宋" w:eastAsia="仿宋" w:cs="仿宋"/>
          <w:color w:val="auto"/>
          <w:sz w:val="32"/>
          <w:szCs w:val="32"/>
          <w:lang w:val="en-US" w:eastAsia="zh-CN"/>
        </w:rPr>
      </w:pP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u w:val="none"/>
          <w:lang w:val="en-US" w:eastAsia="zh-CN"/>
        </w:rPr>
        <w:t>甲方通过医院公开挂网方式选定</w:t>
      </w:r>
      <w:r>
        <w:rPr>
          <w:rFonts w:hint="eastAsia" w:ascii="仿宋" w:hAnsi="仿宋" w:eastAsia="仿宋" w:cs="仿宋"/>
          <w:color w:val="auto"/>
          <w:sz w:val="32"/>
          <w:szCs w:val="32"/>
          <w:u w:val="none"/>
        </w:rPr>
        <w:t>乙方</w:t>
      </w:r>
      <w:r>
        <w:rPr>
          <w:rFonts w:hint="eastAsia" w:ascii="仿宋" w:hAnsi="仿宋" w:eastAsia="仿宋" w:cs="仿宋"/>
          <w:color w:val="auto"/>
          <w:sz w:val="32"/>
          <w:szCs w:val="32"/>
          <w:u w:val="none"/>
          <w:lang w:val="en-US" w:eastAsia="zh-CN"/>
        </w:rPr>
        <w:t>作为</w:t>
      </w:r>
      <w:r>
        <w:rPr>
          <w:rFonts w:hint="eastAsia" w:ascii="仿宋" w:hAnsi="仿宋" w:eastAsia="仿宋" w:cs="仿宋"/>
          <w:color w:val="auto"/>
          <w:sz w:val="32"/>
          <w:szCs w:val="32"/>
          <w:u w:val="none"/>
        </w:rPr>
        <w:t>娄底市中心医院</w:t>
      </w:r>
      <w:r>
        <w:rPr>
          <w:rFonts w:hint="eastAsia" w:ascii="仿宋" w:hAnsi="仿宋" w:eastAsia="仿宋" w:cs="仿宋"/>
          <w:color w:val="auto"/>
          <w:sz w:val="32"/>
          <w:szCs w:val="32"/>
          <w:u w:val="none"/>
          <w:lang w:eastAsia="zh-CN"/>
        </w:rPr>
        <w:t>年度零散</w:t>
      </w:r>
      <w:r>
        <w:rPr>
          <w:rFonts w:hint="eastAsia" w:ascii="仿宋" w:hAnsi="仿宋" w:eastAsia="仿宋" w:cs="仿宋"/>
          <w:color w:val="auto"/>
          <w:sz w:val="32"/>
          <w:szCs w:val="32"/>
          <w:u w:val="none"/>
        </w:rPr>
        <w:t>广告设计制作服务</w:t>
      </w:r>
      <w:r>
        <w:rPr>
          <w:rFonts w:hint="eastAsia" w:ascii="仿宋" w:hAnsi="仿宋" w:eastAsia="仿宋" w:cs="仿宋"/>
          <w:color w:val="auto"/>
          <w:sz w:val="32"/>
          <w:szCs w:val="32"/>
          <w:u w:val="none"/>
          <w:lang w:val="en-US" w:eastAsia="zh-CN"/>
        </w:rPr>
        <w:t>单位</w:t>
      </w:r>
      <w:r>
        <w:rPr>
          <w:rFonts w:hint="eastAsia" w:ascii="仿宋" w:hAnsi="仿宋" w:eastAsia="仿宋" w:cs="仿宋"/>
          <w:color w:val="auto"/>
          <w:sz w:val="32"/>
          <w:szCs w:val="32"/>
          <w:u w:val="none"/>
          <w:lang w:eastAsia="zh-CN"/>
        </w:rPr>
        <w:t>。</w:t>
      </w:r>
      <w:r>
        <w:rPr>
          <w:rFonts w:hint="eastAsia" w:ascii="仿宋" w:hAnsi="仿宋" w:eastAsia="仿宋" w:cs="仿宋"/>
          <w:color w:val="auto"/>
          <w:sz w:val="32"/>
          <w:szCs w:val="32"/>
          <w:u w:val="none"/>
          <w:lang w:val="en-US" w:eastAsia="zh-CN"/>
        </w:rPr>
        <w:t>现甲、乙双方</w:t>
      </w:r>
      <w:r>
        <w:rPr>
          <w:rFonts w:hint="eastAsia" w:ascii="仿宋" w:hAnsi="仿宋" w:eastAsia="仿宋" w:cs="仿宋"/>
          <w:color w:val="auto"/>
          <w:sz w:val="32"/>
          <w:szCs w:val="32"/>
          <w:u w:val="none"/>
        </w:rPr>
        <w:t>依照《中华人民共和国</w:t>
      </w:r>
      <w:r>
        <w:rPr>
          <w:rFonts w:hint="eastAsia" w:ascii="仿宋" w:hAnsi="仿宋" w:eastAsia="仿宋" w:cs="仿宋"/>
          <w:color w:val="auto"/>
          <w:sz w:val="32"/>
          <w:szCs w:val="32"/>
          <w:u w:val="none"/>
          <w:lang w:val="en-US" w:eastAsia="zh-CN"/>
        </w:rPr>
        <w:t>民</w:t>
      </w:r>
      <w:r>
        <w:rPr>
          <w:rFonts w:hint="eastAsia" w:ascii="仿宋" w:hAnsi="仿宋" w:eastAsia="仿宋" w:cs="仿宋"/>
          <w:color w:val="auto"/>
          <w:sz w:val="32"/>
          <w:szCs w:val="32"/>
          <w:u w:val="none"/>
        </w:rPr>
        <w:t>法</w:t>
      </w:r>
      <w:r>
        <w:rPr>
          <w:rFonts w:hint="eastAsia" w:ascii="仿宋" w:hAnsi="仿宋" w:eastAsia="仿宋" w:cs="仿宋"/>
          <w:color w:val="auto"/>
          <w:sz w:val="32"/>
          <w:szCs w:val="32"/>
          <w:u w:val="none"/>
          <w:lang w:val="en-US" w:eastAsia="zh-CN"/>
        </w:rPr>
        <w:t>典</w:t>
      </w:r>
      <w:r>
        <w:rPr>
          <w:rFonts w:hint="eastAsia" w:ascii="仿宋" w:hAnsi="仿宋" w:eastAsia="仿宋" w:cs="仿宋"/>
          <w:color w:val="auto"/>
          <w:sz w:val="32"/>
          <w:szCs w:val="32"/>
          <w:u w:val="none"/>
        </w:rPr>
        <w:t>》</w:t>
      </w:r>
      <w:r>
        <w:rPr>
          <w:rFonts w:hint="eastAsia" w:ascii="仿宋" w:hAnsi="仿宋" w:eastAsia="仿宋" w:cs="仿宋"/>
          <w:color w:val="auto"/>
          <w:sz w:val="32"/>
          <w:szCs w:val="32"/>
          <w:u w:val="none"/>
          <w:lang w:val="en-US" w:eastAsia="zh-CN"/>
        </w:rPr>
        <w:t>《中华人民共和国政府采购法》等</w:t>
      </w:r>
      <w:r>
        <w:rPr>
          <w:rFonts w:hint="eastAsia" w:ascii="仿宋" w:hAnsi="仿宋" w:eastAsia="仿宋" w:cs="仿宋"/>
          <w:color w:val="auto"/>
          <w:sz w:val="32"/>
          <w:szCs w:val="32"/>
          <w:u w:val="none"/>
        </w:rPr>
        <w:t>有关法律法规，遵循平等、自愿、公平和诚实信用的原则，就娄底市中心医院</w:t>
      </w:r>
      <w:r>
        <w:rPr>
          <w:rFonts w:hint="eastAsia" w:ascii="仿宋" w:hAnsi="仿宋" w:eastAsia="仿宋" w:cs="仿宋"/>
          <w:color w:val="auto"/>
          <w:sz w:val="32"/>
          <w:szCs w:val="32"/>
          <w:u w:val="none"/>
          <w:lang w:eastAsia="zh-CN"/>
        </w:rPr>
        <w:t>年度零散</w:t>
      </w:r>
      <w:r>
        <w:rPr>
          <w:rFonts w:hint="eastAsia" w:ascii="仿宋" w:hAnsi="仿宋" w:eastAsia="仿宋" w:cs="仿宋"/>
          <w:color w:val="auto"/>
          <w:sz w:val="32"/>
          <w:szCs w:val="32"/>
          <w:u w:val="none"/>
        </w:rPr>
        <w:t>广告设计制作服务的相</w:t>
      </w:r>
      <w:r>
        <w:rPr>
          <w:rFonts w:hint="eastAsia" w:ascii="仿宋" w:hAnsi="仿宋" w:eastAsia="仿宋" w:cs="仿宋"/>
          <w:color w:val="auto"/>
          <w:sz w:val="32"/>
          <w:szCs w:val="32"/>
        </w:rPr>
        <w:t>关事项</w:t>
      </w:r>
      <w:r>
        <w:rPr>
          <w:rFonts w:hint="eastAsia" w:ascii="仿宋" w:hAnsi="仿宋" w:eastAsia="仿宋" w:cs="仿宋"/>
          <w:color w:val="auto"/>
          <w:sz w:val="32"/>
          <w:szCs w:val="32"/>
          <w:lang w:val="en-US" w:eastAsia="zh-CN"/>
        </w:rPr>
        <w:t>充分</w:t>
      </w:r>
      <w:r>
        <w:rPr>
          <w:rFonts w:hint="eastAsia" w:ascii="仿宋" w:hAnsi="仿宋" w:eastAsia="仿宋" w:cs="仿宋"/>
          <w:color w:val="auto"/>
          <w:sz w:val="32"/>
          <w:szCs w:val="32"/>
        </w:rPr>
        <w:t>协商</w:t>
      </w:r>
      <w:r>
        <w:rPr>
          <w:rFonts w:hint="eastAsia" w:ascii="仿宋" w:hAnsi="仿宋" w:eastAsia="仿宋" w:cs="仿宋"/>
          <w:color w:val="auto"/>
          <w:sz w:val="32"/>
          <w:szCs w:val="32"/>
          <w:lang w:val="en-US" w:eastAsia="zh-CN"/>
        </w:rPr>
        <w:t>一致</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特</w:t>
      </w:r>
      <w:r>
        <w:rPr>
          <w:rFonts w:hint="eastAsia" w:ascii="仿宋" w:hAnsi="仿宋" w:eastAsia="仿宋" w:cs="仿宋"/>
          <w:color w:val="auto"/>
          <w:sz w:val="32"/>
          <w:szCs w:val="32"/>
          <w:lang w:eastAsia="zh-CN"/>
        </w:rPr>
        <w:t>订立本合同，</w:t>
      </w:r>
      <w:r>
        <w:rPr>
          <w:rFonts w:hint="eastAsia" w:ascii="仿宋" w:hAnsi="仿宋" w:eastAsia="仿宋" w:cs="仿宋"/>
          <w:color w:val="auto"/>
          <w:sz w:val="32"/>
          <w:szCs w:val="32"/>
          <w:lang w:val="en-US" w:eastAsia="zh-CN"/>
        </w:rPr>
        <w:t>以资共同遵守</w:t>
      </w:r>
      <w:r>
        <w:rPr>
          <w:rFonts w:hint="eastAsia" w:ascii="仿宋" w:hAnsi="仿宋" w:eastAsia="仿宋" w:cs="仿宋"/>
          <w:color w:val="auto"/>
          <w:sz w:val="32"/>
          <w:szCs w:val="32"/>
          <w:lang w:eastAsia="zh-CN"/>
        </w:rPr>
        <w:t>。</w:t>
      </w:r>
    </w:p>
    <w:p>
      <w:pPr>
        <w:pageBreakBefore w:val="0"/>
        <w:widowControl w:val="0"/>
        <w:kinsoku/>
        <w:wordWrap/>
        <w:overflowPunct/>
        <w:topLinePunct w:val="0"/>
        <w:autoSpaceDE/>
        <w:autoSpaceDN/>
        <w:bidi w:val="0"/>
        <w:adjustRightInd w:val="0"/>
        <w:snapToGrid w:val="0"/>
        <w:spacing w:line="480" w:lineRule="exact"/>
        <w:ind w:right="0"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lang w:val="en-US" w:eastAsia="zh-CN"/>
        </w:rPr>
        <w:t>一、</w:t>
      </w:r>
      <w:r>
        <w:rPr>
          <w:rFonts w:hint="eastAsia" w:ascii="仿宋" w:hAnsi="仿宋" w:eastAsia="仿宋" w:cs="仿宋"/>
          <w:b/>
          <w:bCs/>
          <w:color w:val="auto"/>
          <w:sz w:val="32"/>
          <w:szCs w:val="32"/>
          <w:lang w:eastAsia="zh-CN"/>
        </w:rPr>
        <w:t>服务项目</w:t>
      </w:r>
      <w:r>
        <w:rPr>
          <w:rFonts w:hint="eastAsia" w:ascii="仿宋" w:hAnsi="仿宋" w:eastAsia="仿宋" w:cs="仿宋"/>
          <w:b/>
          <w:bCs/>
          <w:color w:val="auto"/>
          <w:sz w:val="32"/>
          <w:szCs w:val="32"/>
        </w:rPr>
        <w:t>名称</w:t>
      </w: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eastAsia" w:ascii="仿宋" w:hAnsi="仿宋" w:eastAsia="仿宋" w:cs="仿宋"/>
          <w:b/>
          <w:color w:val="auto"/>
          <w:sz w:val="32"/>
          <w:szCs w:val="32"/>
          <w:lang w:val="en-US" w:eastAsia="zh-CN"/>
        </w:rPr>
      </w:pPr>
      <w:r>
        <w:rPr>
          <w:rFonts w:hint="eastAsia" w:ascii="仿宋" w:hAnsi="仿宋" w:eastAsia="仿宋" w:cs="仿宋"/>
          <w:color w:val="auto"/>
          <w:sz w:val="32"/>
          <w:szCs w:val="32"/>
        </w:rPr>
        <w:t>娄底市中心医院</w:t>
      </w:r>
      <w:r>
        <w:rPr>
          <w:rFonts w:hint="eastAsia" w:ascii="仿宋" w:hAnsi="仿宋" w:eastAsia="仿宋" w:cs="仿宋"/>
          <w:color w:val="auto"/>
          <w:sz w:val="32"/>
          <w:szCs w:val="32"/>
          <w:lang w:eastAsia="zh-CN"/>
        </w:rPr>
        <w:t>年度零散</w:t>
      </w:r>
      <w:r>
        <w:rPr>
          <w:rFonts w:hint="eastAsia" w:ascii="仿宋" w:hAnsi="仿宋" w:eastAsia="仿宋" w:cs="仿宋"/>
          <w:color w:val="auto"/>
          <w:sz w:val="32"/>
          <w:szCs w:val="32"/>
        </w:rPr>
        <w:t>广告设计制作服务</w:t>
      </w:r>
      <w:r>
        <w:rPr>
          <w:rFonts w:hint="eastAsia" w:ascii="仿宋" w:hAnsi="仿宋" w:eastAsia="仿宋" w:cs="仿宋"/>
          <w:color w:val="auto"/>
          <w:sz w:val="32"/>
          <w:szCs w:val="32"/>
          <w:lang w:val="en-US" w:eastAsia="zh-CN"/>
        </w:rPr>
        <w:t>项目。</w:t>
      </w:r>
    </w:p>
    <w:p>
      <w:pPr>
        <w:pageBreakBefore w:val="0"/>
        <w:widowControl w:val="0"/>
        <w:kinsoku/>
        <w:wordWrap/>
        <w:overflowPunct/>
        <w:topLinePunct w:val="0"/>
        <w:autoSpaceDE/>
        <w:autoSpaceDN/>
        <w:bidi w:val="0"/>
        <w:adjustRightInd w:val="0"/>
        <w:snapToGrid w:val="0"/>
        <w:spacing w:line="480" w:lineRule="exact"/>
        <w:ind w:right="0" w:firstLine="643" w:firstLineChars="200"/>
        <w:rPr>
          <w:rFonts w:hint="eastAsia" w:ascii="仿宋" w:hAnsi="仿宋" w:eastAsia="仿宋" w:cs="仿宋"/>
          <w:b/>
          <w:color w:val="auto"/>
          <w:sz w:val="32"/>
          <w:szCs w:val="32"/>
          <w:lang w:val="en-US" w:eastAsia="zh-CN"/>
        </w:rPr>
      </w:pPr>
      <w:r>
        <w:rPr>
          <w:rFonts w:hint="eastAsia" w:ascii="仿宋" w:hAnsi="仿宋" w:eastAsia="仿宋" w:cs="仿宋"/>
          <w:b/>
          <w:color w:val="auto"/>
          <w:sz w:val="32"/>
          <w:szCs w:val="32"/>
          <w:lang w:val="en-US" w:eastAsia="zh-CN"/>
        </w:rPr>
        <w:t>二、服务内容</w:t>
      </w: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乙方提供娄底市中心医院年度零散广告的宣传设计、制作、安装等服务，具体项目的服务内容及制作方案以甲方通知为准；医院新建大楼及金额较大（</w:t>
      </w:r>
      <w:r>
        <w:rPr>
          <w:rFonts w:hint="eastAsia" w:ascii="仿宋" w:hAnsi="仿宋" w:eastAsia="仿宋" w:cs="仿宋"/>
          <w:color w:val="auto"/>
          <w:sz w:val="32"/>
          <w:szCs w:val="32"/>
          <w:u w:val="single"/>
          <w:lang w:val="en-US" w:eastAsia="zh-CN"/>
        </w:rPr>
        <w:t xml:space="preserve">    </w:t>
      </w:r>
      <w:r>
        <w:rPr>
          <w:rFonts w:hint="eastAsia" w:ascii="仿宋" w:hAnsi="仿宋" w:eastAsia="仿宋" w:cs="仿宋"/>
          <w:color w:val="auto"/>
          <w:sz w:val="32"/>
          <w:szCs w:val="32"/>
          <w:lang w:val="en-US" w:eastAsia="zh-CN"/>
        </w:rPr>
        <w:t>元以上）的单个项目不属本合同约定范围内服务内容。</w:t>
      </w:r>
    </w:p>
    <w:p>
      <w:pPr>
        <w:pageBreakBefore w:val="0"/>
        <w:widowControl w:val="0"/>
        <w:kinsoku/>
        <w:wordWrap/>
        <w:overflowPunct/>
        <w:topLinePunct w:val="0"/>
        <w:autoSpaceDE/>
        <w:autoSpaceDN/>
        <w:bidi w:val="0"/>
        <w:adjustRightInd w:val="0"/>
        <w:snapToGrid w:val="0"/>
        <w:spacing w:line="480" w:lineRule="exact"/>
        <w:ind w:right="0" w:firstLine="643" w:firstLineChars="200"/>
        <w:rPr>
          <w:rFonts w:hint="eastAsia" w:ascii="仿宋" w:hAnsi="仿宋" w:eastAsia="仿宋" w:cs="仿宋"/>
          <w:b/>
          <w:color w:val="auto"/>
          <w:sz w:val="32"/>
          <w:szCs w:val="32"/>
          <w:lang w:eastAsia="zh-CN"/>
        </w:rPr>
      </w:pPr>
      <w:r>
        <w:rPr>
          <w:rFonts w:hint="eastAsia" w:ascii="仿宋" w:hAnsi="仿宋" w:eastAsia="仿宋" w:cs="仿宋"/>
          <w:b/>
          <w:color w:val="auto"/>
          <w:sz w:val="32"/>
          <w:szCs w:val="32"/>
          <w:lang w:val="en-US" w:eastAsia="zh-CN"/>
        </w:rPr>
        <w:t>三</w:t>
      </w:r>
      <w:r>
        <w:rPr>
          <w:rFonts w:hint="eastAsia" w:ascii="仿宋" w:hAnsi="仿宋" w:eastAsia="仿宋" w:cs="仿宋"/>
          <w:b/>
          <w:color w:val="auto"/>
          <w:sz w:val="32"/>
          <w:szCs w:val="32"/>
        </w:rPr>
        <w:t>、服务</w:t>
      </w:r>
      <w:r>
        <w:rPr>
          <w:rFonts w:hint="eastAsia" w:ascii="仿宋" w:hAnsi="仿宋" w:eastAsia="仿宋" w:cs="仿宋"/>
          <w:b/>
          <w:color w:val="auto"/>
          <w:sz w:val="32"/>
          <w:szCs w:val="32"/>
          <w:lang w:val="en-US" w:eastAsia="zh-CN"/>
        </w:rPr>
        <w:t>期限</w:t>
      </w: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rPr>
        <w:t>服务</w:t>
      </w:r>
      <w:r>
        <w:rPr>
          <w:rFonts w:hint="eastAsia" w:ascii="仿宋" w:hAnsi="仿宋" w:eastAsia="仿宋" w:cs="仿宋"/>
          <w:color w:val="auto"/>
          <w:sz w:val="32"/>
          <w:szCs w:val="32"/>
          <w:lang w:val="en-US" w:eastAsia="zh-CN"/>
        </w:rPr>
        <w:t>期限为</w:t>
      </w:r>
      <w:r>
        <w:rPr>
          <w:rFonts w:hint="eastAsia" w:ascii="仿宋" w:hAnsi="仿宋" w:eastAsia="仿宋" w:cs="仿宋"/>
          <w:color w:val="auto"/>
          <w:sz w:val="32"/>
          <w:szCs w:val="32"/>
          <w:u w:val="none"/>
          <w:lang w:val="en-US" w:eastAsia="zh-CN"/>
        </w:rPr>
        <w:t>一</w:t>
      </w:r>
      <w:r>
        <w:rPr>
          <w:rFonts w:hint="eastAsia" w:ascii="仿宋" w:hAnsi="仿宋" w:eastAsia="仿宋" w:cs="仿宋"/>
          <w:color w:val="auto"/>
          <w:sz w:val="32"/>
          <w:szCs w:val="32"/>
        </w:rPr>
        <w:t>年</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自2024年4月24日起至2025年4月23日止。</w:t>
      </w:r>
    </w:p>
    <w:p>
      <w:pPr>
        <w:pageBreakBefore w:val="0"/>
        <w:widowControl w:val="0"/>
        <w:kinsoku/>
        <w:wordWrap/>
        <w:overflowPunct/>
        <w:topLinePunct w:val="0"/>
        <w:autoSpaceDE/>
        <w:autoSpaceDN/>
        <w:bidi w:val="0"/>
        <w:adjustRightInd w:val="0"/>
        <w:snapToGrid w:val="0"/>
        <w:spacing w:line="480" w:lineRule="exact"/>
        <w:ind w:right="0" w:firstLine="643" w:firstLineChars="200"/>
        <w:rPr>
          <w:rFonts w:hint="eastAsia" w:ascii="仿宋" w:hAnsi="仿宋" w:eastAsia="仿宋" w:cs="仿宋"/>
          <w:b/>
          <w:color w:val="auto"/>
          <w:sz w:val="32"/>
          <w:szCs w:val="32"/>
          <w:lang w:val="en-US"/>
        </w:rPr>
      </w:pPr>
      <w:r>
        <w:rPr>
          <w:rFonts w:hint="eastAsia" w:ascii="仿宋" w:hAnsi="仿宋" w:eastAsia="仿宋" w:cs="仿宋"/>
          <w:b/>
          <w:color w:val="auto"/>
          <w:sz w:val="32"/>
          <w:szCs w:val="32"/>
          <w:lang w:val="en-US" w:eastAsia="zh-CN"/>
        </w:rPr>
        <w:t>四</w:t>
      </w:r>
      <w:r>
        <w:rPr>
          <w:rFonts w:hint="eastAsia" w:ascii="仿宋" w:hAnsi="仿宋" w:eastAsia="仿宋" w:cs="仿宋"/>
          <w:b/>
          <w:color w:val="auto"/>
          <w:sz w:val="32"/>
          <w:szCs w:val="32"/>
        </w:rPr>
        <w:t>、</w:t>
      </w:r>
      <w:r>
        <w:rPr>
          <w:rFonts w:hint="eastAsia" w:ascii="仿宋" w:hAnsi="仿宋" w:eastAsia="仿宋" w:cs="仿宋"/>
          <w:b/>
          <w:color w:val="auto"/>
          <w:sz w:val="32"/>
          <w:szCs w:val="32"/>
          <w:lang w:val="en-US" w:eastAsia="zh-CN"/>
        </w:rPr>
        <w:t>服务费标准</w:t>
      </w: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4.1 本合同为固定单价合同，服务费标准详见附件。</w:t>
      </w: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eastAsia" w:ascii="仿宋" w:hAnsi="仿宋" w:eastAsia="仿宋" w:cs="仿宋"/>
          <w:color w:val="auto"/>
          <w:sz w:val="32"/>
          <w:szCs w:val="32"/>
          <w:lang w:val="en-US" w:eastAsia="zh-CN"/>
        </w:rPr>
      </w:pP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4.2 乙方服务费用</w:t>
      </w:r>
      <w:r>
        <w:rPr>
          <w:rFonts w:hint="eastAsia" w:ascii="仿宋" w:hAnsi="仿宋" w:eastAsia="仿宋" w:cs="仿宋"/>
          <w:color w:val="auto"/>
          <w:sz w:val="32"/>
          <w:szCs w:val="32"/>
        </w:rPr>
        <w:t>包括但不限于设计</w:t>
      </w:r>
      <w:r>
        <w:rPr>
          <w:rFonts w:hint="eastAsia" w:ascii="仿宋" w:hAnsi="仿宋" w:eastAsia="仿宋" w:cs="仿宋"/>
          <w:color w:val="auto"/>
          <w:sz w:val="32"/>
          <w:szCs w:val="32"/>
          <w:lang w:val="en-US" w:eastAsia="zh-CN"/>
        </w:rPr>
        <w:t>费</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材料费、制作费、装卸费、运输费</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安装</w:t>
      </w:r>
      <w:r>
        <w:rPr>
          <w:rFonts w:hint="eastAsia" w:ascii="仿宋" w:hAnsi="仿宋" w:eastAsia="仿宋" w:cs="仿宋"/>
          <w:color w:val="auto"/>
          <w:sz w:val="32"/>
          <w:szCs w:val="32"/>
          <w:lang w:val="en-US" w:eastAsia="zh-CN"/>
        </w:rPr>
        <w:t>人工</w:t>
      </w:r>
      <w:r>
        <w:rPr>
          <w:rFonts w:hint="eastAsia" w:ascii="仿宋" w:hAnsi="仿宋" w:eastAsia="仿宋" w:cs="仿宋"/>
          <w:color w:val="auto"/>
          <w:sz w:val="32"/>
          <w:szCs w:val="32"/>
        </w:rPr>
        <w:t>费、</w:t>
      </w:r>
      <w:r>
        <w:rPr>
          <w:rFonts w:hint="eastAsia" w:ascii="仿宋" w:hAnsi="仿宋" w:eastAsia="仿宋" w:cs="仿宋"/>
          <w:color w:val="auto"/>
          <w:sz w:val="32"/>
          <w:szCs w:val="32"/>
          <w:lang w:val="en-US" w:eastAsia="zh-CN"/>
        </w:rPr>
        <w:t>设施设备费、</w:t>
      </w:r>
      <w:r>
        <w:rPr>
          <w:rFonts w:hint="eastAsia" w:ascii="仿宋_GB2312" w:eastAsia="仿宋_GB2312"/>
          <w:color w:val="auto"/>
          <w:sz w:val="32"/>
          <w:szCs w:val="32"/>
          <w:lang w:eastAsia="zh-CN"/>
        </w:rPr>
        <w:t>垃圾处理费、</w:t>
      </w:r>
      <w:r>
        <w:rPr>
          <w:rFonts w:hint="eastAsia" w:ascii="仿宋" w:hAnsi="仿宋" w:eastAsia="仿宋" w:cs="仿宋"/>
          <w:color w:val="auto"/>
          <w:sz w:val="32"/>
          <w:szCs w:val="32"/>
          <w:lang w:val="en-US" w:eastAsia="zh-CN"/>
        </w:rPr>
        <w:t>安全措施费、</w:t>
      </w:r>
      <w:r>
        <w:rPr>
          <w:rFonts w:hint="eastAsia" w:ascii="仿宋" w:hAnsi="仿宋" w:eastAsia="仿宋" w:cs="仿宋"/>
          <w:color w:val="auto"/>
          <w:sz w:val="32"/>
          <w:szCs w:val="32"/>
        </w:rPr>
        <w:t>报批手续费、</w:t>
      </w:r>
      <w:r>
        <w:rPr>
          <w:rFonts w:hint="eastAsia" w:ascii="仿宋" w:hAnsi="仿宋" w:eastAsia="仿宋" w:cs="仿宋"/>
          <w:color w:val="auto"/>
          <w:sz w:val="32"/>
          <w:szCs w:val="32"/>
          <w:lang w:eastAsia="zh-CN"/>
        </w:rPr>
        <w:t>售后</w:t>
      </w:r>
      <w:r>
        <w:rPr>
          <w:rFonts w:hint="eastAsia" w:ascii="仿宋" w:hAnsi="仿宋" w:eastAsia="仿宋" w:cs="仿宋"/>
          <w:color w:val="auto"/>
          <w:sz w:val="32"/>
          <w:szCs w:val="32"/>
        </w:rPr>
        <w:t>服务</w:t>
      </w:r>
      <w:r>
        <w:rPr>
          <w:rFonts w:hint="eastAsia" w:ascii="仿宋" w:hAnsi="仿宋" w:eastAsia="仿宋" w:cs="仿宋"/>
          <w:color w:val="auto"/>
          <w:sz w:val="32"/>
          <w:szCs w:val="32"/>
          <w:lang w:eastAsia="zh-CN"/>
        </w:rPr>
        <w:t>维护</w:t>
      </w:r>
      <w:r>
        <w:rPr>
          <w:rFonts w:hint="eastAsia" w:ascii="仿宋" w:hAnsi="仿宋" w:eastAsia="仿宋" w:cs="仿宋"/>
          <w:color w:val="auto"/>
          <w:sz w:val="32"/>
          <w:szCs w:val="32"/>
        </w:rPr>
        <w:t>费</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税费</w:t>
      </w:r>
      <w:r>
        <w:rPr>
          <w:rFonts w:hint="eastAsia" w:ascii="仿宋" w:hAnsi="仿宋" w:eastAsia="仿宋" w:cs="仿宋"/>
          <w:color w:val="auto"/>
          <w:sz w:val="32"/>
          <w:szCs w:val="32"/>
        </w:rPr>
        <w:t>等所有费用</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不因物价、市场价格波动做任何调整</w:t>
      </w:r>
      <w:r>
        <w:rPr>
          <w:rFonts w:hint="eastAsia" w:ascii="仿宋" w:hAnsi="仿宋" w:eastAsia="仿宋" w:cs="仿宋"/>
          <w:color w:val="auto"/>
          <w:sz w:val="32"/>
          <w:szCs w:val="32"/>
        </w:rPr>
        <w:t>。</w:t>
      </w:r>
    </w:p>
    <w:p>
      <w:pPr>
        <w:pageBreakBefore w:val="0"/>
        <w:widowControl w:val="0"/>
        <w:kinsoku/>
        <w:wordWrap/>
        <w:overflowPunct/>
        <w:topLinePunct w:val="0"/>
        <w:autoSpaceDE/>
        <w:autoSpaceDN/>
        <w:bidi w:val="0"/>
        <w:adjustRightInd w:val="0"/>
        <w:snapToGrid w:val="0"/>
        <w:spacing w:line="480" w:lineRule="exact"/>
        <w:ind w:right="0" w:firstLine="643" w:firstLineChars="200"/>
        <w:rPr>
          <w:rFonts w:hint="eastAsia" w:ascii="仿宋" w:hAnsi="仿宋" w:eastAsia="仿宋" w:cs="仿宋"/>
          <w:b/>
          <w:color w:val="auto"/>
          <w:sz w:val="32"/>
          <w:szCs w:val="32"/>
        </w:rPr>
      </w:pPr>
      <w:r>
        <w:rPr>
          <w:rFonts w:hint="eastAsia" w:ascii="仿宋" w:hAnsi="仿宋" w:eastAsia="仿宋" w:cs="仿宋"/>
          <w:b/>
          <w:bCs/>
          <w:color w:val="auto"/>
          <w:sz w:val="32"/>
          <w:szCs w:val="32"/>
          <w:lang w:val="en-US" w:eastAsia="zh-CN"/>
        </w:rPr>
        <w:t>五</w:t>
      </w:r>
      <w:r>
        <w:rPr>
          <w:rFonts w:hint="eastAsia" w:ascii="仿宋" w:hAnsi="仿宋" w:eastAsia="仿宋" w:cs="仿宋"/>
          <w:b/>
          <w:bCs/>
          <w:color w:val="auto"/>
          <w:sz w:val="32"/>
          <w:szCs w:val="32"/>
        </w:rPr>
        <w:t>、</w:t>
      </w:r>
      <w:r>
        <w:rPr>
          <w:rFonts w:hint="eastAsia" w:ascii="仿宋" w:hAnsi="仿宋" w:eastAsia="仿宋" w:cs="仿宋"/>
          <w:b/>
          <w:color w:val="auto"/>
          <w:sz w:val="32"/>
          <w:szCs w:val="32"/>
        </w:rPr>
        <w:t>技术要求及制作工艺相关标准</w:t>
      </w:r>
    </w:p>
    <w:p>
      <w:pPr>
        <w:keepNext w:val="0"/>
        <w:keepLines w:val="0"/>
        <w:pageBreakBefore w:val="0"/>
        <w:widowControl w:val="0"/>
        <w:kinsoku/>
        <w:wordWrap/>
        <w:overflowPunct/>
        <w:topLinePunct w:val="0"/>
        <w:autoSpaceDE/>
        <w:autoSpaceDN/>
        <w:bidi w:val="0"/>
        <w:adjustRightInd w:val="0"/>
        <w:snapToGrid w:val="0"/>
        <w:spacing w:line="480" w:lineRule="exact"/>
        <w:ind w:right="0"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标牌材质、工艺、颜色及规格符合医院</w:t>
      </w:r>
      <w:r>
        <w:rPr>
          <w:rFonts w:hint="eastAsia" w:ascii="仿宋" w:hAnsi="仿宋" w:eastAsia="仿宋" w:cs="仿宋"/>
          <w:color w:val="auto"/>
          <w:sz w:val="32"/>
          <w:szCs w:val="32"/>
          <w:lang w:val="en-US" w:eastAsia="zh-CN"/>
        </w:rPr>
        <w:t>采购文件</w:t>
      </w:r>
      <w:r>
        <w:rPr>
          <w:rFonts w:hint="eastAsia" w:ascii="仿宋" w:hAnsi="仿宋" w:eastAsia="仿宋" w:cs="仿宋"/>
          <w:color w:val="auto"/>
          <w:sz w:val="32"/>
          <w:szCs w:val="32"/>
        </w:rPr>
        <w:t>要求</w:t>
      </w:r>
      <w:r>
        <w:rPr>
          <w:rFonts w:hint="eastAsia" w:ascii="仿宋" w:hAnsi="仿宋" w:eastAsia="仿宋" w:cs="仿宋"/>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right="0" w:rightChars="0" w:firstLine="643" w:firstLineChars="200"/>
        <w:textAlignment w:val="auto"/>
        <w:rPr>
          <w:rFonts w:hint="eastAsia" w:ascii="仿宋" w:hAnsi="仿宋" w:eastAsia="仿宋" w:cs="仿宋"/>
          <w:b/>
          <w:color w:val="auto"/>
          <w:sz w:val="32"/>
          <w:szCs w:val="32"/>
          <w:lang w:val="en-US" w:eastAsia="zh-CN"/>
        </w:rPr>
      </w:pPr>
      <w:r>
        <w:rPr>
          <w:rFonts w:hint="eastAsia" w:ascii="仿宋" w:hAnsi="仿宋" w:eastAsia="仿宋" w:cs="仿宋"/>
          <w:b/>
          <w:color w:val="auto"/>
          <w:kern w:val="2"/>
          <w:sz w:val="32"/>
          <w:szCs w:val="32"/>
          <w:lang w:val="en-US" w:eastAsia="zh-CN" w:bidi="ar-SA"/>
        </w:rPr>
        <w:t>六、</w:t>
      </w:r>
      <w:r>
        <w:rPr>
          <w:rFonts w:hint="eastAsia" w:ascii="仿宋" w:hAnsi="仿宋" w:eastAsia="仿宋" w:cs="仿宋"/>
          <w:b/>
          <w:color w:val="auto"/>
          <w:sz w:val="32"/>
          <w:szCs w:val="32"/>
          <w:lang w:val="en-US" w:eastAsia="zh-CN"/>
        </w:rPr>
        <w:t>甲方的权利义务</w:t>
      </w:r>
    </w:p>
    <w:p>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right="0" w:firstLine="640" w:firstLineChars="200"/>
        <w:jc w:val="both"/>
        <w:textAlignment w:val="auto"/>
        <w:rPr>
          <w:rFonts w:hint="eastAsia" w:ascii="仿宋" w:hAnsi="仿宋" w:eastAsia="仿宋" w:cs="仿宋"/>
          <w:color w:val="auto"/>
          <w:sz w:val="32"/>
          <w:szCs w:val="32"/>
        </w:rPr>
      </w:pPr>
      <w:r>
        <w:rPr>
          <w:rFonts w:hint="eastAsia" w:ascii="仿宋" w:hAnsi="仿宋" w:eastAsia="仿宋" w:cs="仿宋"/>
          <w:b w:val="0"/>
          <w:bCs/>
          <w:color w:val="auto"/>
          <w:sz w:val="32"/>
          <w:szCs w:val="32"/>
          <w:lang w:val="en-US" w:eastAsia="zh-CN"/>
        </w:rPr>
        <w:t xml:space="preserve">6.1 </w:t>
      </w:r>
      <w:r>
        <w:rPr>
          <w:rFonts w:hint="eastAsia" w:ascii="仿宋" w:hAnsi="仿宋" w:eastAsia="仿宋" w:cs="仿宋"/>
          <w:color w:val="auto"/>
          <w:sz w:val="32"/>
          <w:szCs w:val="32"/>
        </w:rPr>
        <w:t>甲方做好施工配合协调</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确保施工场地具备开工条件，提供施工用电、用水及接口。</w:t>
      </w:r>
    </w:p>
    <w:p>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right="0" w:firstLine="640" w:firstLineChars="200"/>
        <w:jc w:val="both"/>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6.2 </w:t>
      </w:r>
      <w:r>
        <w:rPr>
          <w:rFonts w:hint="eastAsia" w:ascii="仿宋_GB2312" w:eastAsia="仿宋_GB2312"/>
          <w:color w:val="auto"/>
          <w:sz w:val="32"/>
          <w:szCs w:val="32"/>
          <w:u w:val="none"/>
          <w:lang w:val="en-US" w:eastAsia="zh-CN"/>
        </w:rPr>
        <w:t>甲方指派</w:t>
      </w:r>
      <w:r>
        <w:rPr>
          <w:rFonts w:hint="eastAsia" w:ascii="仿宋_GB2312" w:eastAsia="仿宋_GB2312"/>
          <w:color w:val="auto"/>
          <w:sz w:val="32"/>
          <w:szCs w:val="32"/>
          <w:u w:val="single"/>
          <w:lang w:val="en-US" w:eastAsia="zh-CN"/>
        </w:rPr>
        <w:t xml:space="preserve">        </w:t>
      </w:r>
      <w:r>
        <w:rPr>
          <w:rFonts w:hint="eastAsia" w:ascii="仿宋_GB2312" w:eastAsia="仿宋_GB2312"/>
          <w:color w:val="auto"/>
          <w:sz w:val="32"/>
          <w:szCs w:val="32"/>
          <w:u w:val="none"/>
          <w:lang w:val="en-US" w:eastAsia="zh-CN"/>
        </w:rPr>
        <w:t>（电话：</w:t>
      </w:r>
      <w:r>
        <w:rPr>
          <w:rFonts w:hint="eastAsia" w:ascii="仿宋_GB2312" w:eastAsia="仿宋_GB2312"/>
          <w:color w:val="auto"/>
          <w:sz w:val="32"/>
          <w:szCs w:val="32"/>
          <w:u w:val="single"/>
          <w:lang w:val="en-US" w:eastAsia="zh-CN"/>
        </w:rPr>
        <w:t xml:space="preserve">       </w:t>
      </w:r>
      <w:r>
        <w:rPr>
          <w:rFonts w:hint="eastAsia" w:ascii="仿宋_GB2312" w:eastAsia="仿宋_GB2312"/>
          <w:color w:val="auto"/>
          <w:sz w:val="32"/>
          <w:szCs w:val="32"/>
          <w:u w:val="none"/>
          <w:lang w:val="en-US" w:eastAsia="zh-CN"/>
        </w:rPr>
        <w:t>）作为联系人，负责服务</w:t>
      </w:r>
      <w:r>
        <w:rPr>
          <w:rFonts w:hint="eastAsia" w:ascii="仿宋_GB2312" w:eastAsia="仿宋_GB2312"/>
          <w:color w:val="auto"/>
          <w:sz w:val="32"/>
          <w:szCs w:val="32"/>
          <w:u w:val="none"/>
          <w:lang w:eastAsia="zh-CN"/>
        </w:rPr>
        <w:t>质量跟踪检查及质量监督。</w:t>
      </w:r>
    </w:p>
    <w:p>
      <w:pPr>
        <w:keepNext w:val="0"/>
        <w:keepLines w:val="0"/>
        <w:pageBreakBefore w:val="0"/>
        <w:widowControl w:val="0"/>
        <w:kinsoku/>
        <w:wordWrap/>
        <w:overflowPunct/>
        <w:topLinePunct w:val="0"/>
        <w:autoSpaceDE/>
        <w:autoSpaceDN/>
        <w:bidi w:val="0"/>
        <w:adjustRightInd w:val="0"/>
        <w:snapToGrid w:val="0"/>
        <w:spacing w:line="480" w:lineRule="exact"/>
        <w:ind w:right="0" w:firstLine="643" w:firstLineChars="200"/>
        <w:textAlignment w:val="auto"/>
        <w:rPr>
          <w:rFonts w:hint="default" w:ascii="仿宋" w:hAnsi="仿宋" w:eastAsia="仿宋" w:cs="仿宋"/>
          <w:b/>
          <w:color w:val="auto"/>
          <w:sz w:val="32"/>
          <w:szCs w:val="32"/>
          <w:lang w:val="en-US"/>
        </w:rPr>
      </w:pPr>
      <w:r>
        <w:rPr>
          <w:rFonts w:hint="eastAsia" w:ascii="仿宋" w:hAnsi="仿宋" w:eastAsia="仿宋" w:cs="仿宋"/>
          <w:b/>
          <w:color w:val="auto"/>
          <w:sz w:val="32"/>
          <w:szCs w:val="32"/>
          <w:lang w:val="en-US" w:eastAsia="zh-CN"/>
        </w:rPr>
        <w:t>七</w:t>
      </w:r>
      <w:r>
        <w:rPr>
          <w:rFonts w:hint="eastAsia" w:ascii="仿宋" w:hAnsi="仿宋" w:eastAsia="仿宋" w:cs="仿宋"/>
          <w:b/>
          <w:color w:val="auto"/>
          <w:sz w:val="32"/>
          <w:szCs w:val="32"/>
        </w:rPr>
        <w:t>、</w:t>
      </w:r>
      <w:r>
        <w:rPr>
          <w:rFonts w:hint="eastAsia" w:ascii="仿宋" w:hAnsi="仿宋" w:eastAsia="仿宋" w:cs="仿宋"/>
          <w:b/>
          <w:color w:val="auto"/>
          <w:sz w:val="32"/>
          <w:szCs w:val="32"/>
          <w:lang w:val="en-US" w:eastAsia="zh-CN"/>
        </w:rPr>
        <w:t>乙方的权利义务</w:t>
      </w:r>
    </w:p>
    <w:p>
      <w:pPr>
        <w:keepNext w:val="0"/>
        <w:keepLines w:val="0"/>
        <w:pageBreakBefore w:val="0"/>
        <w:widowControl w:val="0"/>
        <w:kinsoku/>
        <w:wordWrap/>
        <w:overflowPunct/>
        <w:topLinePunct w:val="0"/>
        <w:autoSpaceDE/>
        <w:autoSpaceDN/>
        <w:bidi w:val="0"/>
        <w:adjustRightInd w:val="0"/>
        <w:snapToGrid w:val="0"/>
        <w:spacing w:line="480" w:lineRule="exact"/>
        <w:ind w:righ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7.1 应在每次</w:t>
      </w:r>
      <w:r>
        <w:rPr>
          <w:rFonts w:hint="eastAsia" w:ascii="仿宋" w:hAnsi="仿宋" w:eastAsia="仿宋" w:cs="仿宋"/>
          <w:color w:val="auto"/>
          <w:sz w:val="32"/>
          <w:szCs w:val="32"/>
          <w:lang w:eastAsia="zh-CN"/>
        </w:rPr>
        <w:t>接</w:t>
      </w:r>
      <w:r>
        <w:rPr>
          <w:rFonts w:hint="eastAsia" w:ascii="仿宋" w:hAnsi="仿宋" w:eastAsia="仿宋" w:cs="仿宋"/>
          <w:color w:val="auto"/>
          <w:sz w:val="32"/>
          <w:szCs w:val="32"/>
          <w:lang w:val="en-US" w:eastAsia="zh-CN"/>
        </w:rPr>
        <w:t>到甲方广告制作安装</w:t>
      </w:r>
      <w:r>
        <w:rPr>
          <w:rFonts w:hint="eastAsia" w:ascii="仿宋" w:hAnsi="仿宋" w:eastAsia="仿宋" w:cs="仿宋"/>
          <w:color w:val="auto"/>
          <w:sz w:val="32"/>
          <w:szCs w:val="32"/>
        </w:rPr>
        <w:t>通知</w:t>
      </w:r>
      <w:r>
        <w:rPr>
          <w:rFonts w:hint="eastAsia" w:ascii="仿宋" w:hAnsi="仿宋" w:eastAsia="仿宋" w:cs="仿宋"/>
          <w:color w:val="auto"/>
          <w:sz w:val="32"/>
          <w:szCs w:val="32"/>
          <w:lang w:val="en-US" w:eastAsia="zh-CN"/>
        </w:rPr>
        <w:t>后</w:t>
      </w:r>
      <w:r>
        <w:rPr>
          <w:rFonts w:hint="eastAsia" w:ascii="仿宋" w:hAnsi="仿宋" w:eastAsia="仿宋" w:cs="仿宋"/>
          <w:color w:val="auto"/>
          <w:sz w:val="32"/>
          <w:szCs w:val="32"/>
        </w:rPr>
        <w:t>30分钟内响应</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并在甲方每次通知规定的时间完成制作安装。</w:t>
      </w:r>
    </w:p>
    <w:p>
      <w:pPr>
        <w:keepNext w:val="0"/>
        <w:keepLines w:val="0"/>
        <w:pageBreakBefore w:val="0"/>
        <w:widowControl w:val="0"/>
        <w:kinsoku/>
        <w:wordWrap/>
        <w:overflowPunct/>
        <w:topLinePunct w:val="0"/>
        <w:autoSpaceDE/>
        <w:autoSpaceDN/>
        <w:bidi w:val="0"/>
        <w:adjustRightInd w:val="0"/>
        <w:snapToGrid w:val="0"/>
        <w:spacing w:line="480" w:lineRule="exact"/>
        <w:ind w:righ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 xml:space="preserve">7.2 </w:t>
      </w:r>
      <w:r>
        <w:rPr>
          <w:rFonts w:hint="eastAsia" w:ascii="仿宋" w:hAnsi="仿宋" w:eastAsia="仿宋" w:cs="仿宋"/>
          <w:color w:val="auto"/>
          <w:sz w:val="32"/>
          <w:szCs w:val="32"/>
        </w:rPr>
        <w:t>严格按</w:t>
      </w:r>
      <w:r>
        <w:rPr>
          <w:rFonts w:hint="eastAsia" w:ascii="仿宋" w:hAnsi="仿宋" w:eastAsia="仿宋" w:cs="仿宋"/>
          <w:color w:val="auto"/>
          <w:sz w:val="32"/>
          <w:szCs w:val="32"/>
          <w:lang w:val="en-US" w:eastAsia="zh-CN"/>
        </w:rPr>
        <w:t>甲方采购文件</w:t>
      </w:r>
      <w:r>
        <w:rPr>
          <w:rFonts w:hint="eastAsia" w:ascii="仿宋" w:hAnsi="仿宋" w:eastAsia="仿宋" w:cs="仿宋"/>
          <w:color w:val="auto"/>
          <w:sz w:val="32"/>
          <w:szCs w:val="32"/>
        </w:rPr>
        <w:t>注明的材质、规格及工艺进行制作</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不得自行更改，确与实际情况不符需要变更时应及时通知甲方，经甲方书面确认后方可实施变更</w:t>
      </w:r>
      <w:r>
        <w:rPr>
          <w:rFonts w:hint="eastAsia" w:ascii="仿宋" w:hAnsi="仿宋" w:eastAsia="仿宋" w:cs="仿宋"/>
          <w:color w:val="auto"/>
          <w:sz w:val="32"/>
          <w:szCs w:val="32"/>
        </w:rPr>
        <w:t>。如甲方需要增加制作数量或对部分内容进行修改，乙方</w:t>
      </w:r>
      <w:r>
        <w:rPr>
          <w:rFonts w:hint="eastAsia" w:ascii="仿宋" w:hAnsi="仿宋" w:eastAsia="仿宋" w:cs="仿宋"/>
          <w:color w:val="auto"/>
          <w:sz w:val="32"/>
          <w:szCs w:val="32"/>
          <w:lang w:val="en-US" w:eastAsia="zh-CN"/>
        </w:rPr>
        <w:t>须</w:t>
      </w:r>
      <w:r>
        <w:rPr>
          <w:rFonts w:hint="eastAsia" w:ascii="仿宋" w:hAnsi="仿宋" w:eastAsia="仿宋" w:cs="仿宋"/>
          <w:color w:val="auto"/>
          <w:sz w:val="32"/>
          <w:szCs w:val="32"/>
        </w:rPr>
        <w:t>积极配合</w:t>
      </w:r>
      <w:r>
        <w:rPr>
          <w:rFonts w:hint="eastAsia" w:ascii="仿宋" w:hAnsi="仿宋" w:eastAsia="仿宋" w:cs="仿宋"/>
          <w:color w:val="auto"/>
          <w:sz w:val="32"/>
          <w:szCs w:val="32"/>
          <w:lang w:eastAsia="zh-CN"/>
        </w:rPr>
        <w:t>，在</w:t>
      </w:r>
      <w:r>
        <w:rPr>
          <w:rFonts w:hint="eastAsia" w:ascii="仿宋" w:hAnsi="仿宋" w:eastAsia="仿宋" w:cs="仿宋"/>
          <w:color w:val="auto"/>
          <w:sz w:val="32"/>
          <w:szCs w:val="32"/>
          <w:lang w:val="en-US" w:eastAsia="zh-CN"/>
        </w:rPr>
        <w:t>制作完成</w:t>
      </w:r>
      <w:r>
        <w:rPr>
          <w:rFonts w:hint="eastAsia" w:ascii="仿宋" w:hAnsi="仿宋" w:eastAsia="仿宋" w:cs="仿宋"/>
          <w:color w:val="auto"/>
          <w:sz w:val="32"/>
          <w:szCs w:val="32"/>
          <w:lang w:eastAsia="zh-CN"/>
        </w:rPr>
        <w:t>前向甲方提供效果图并经甲方确认方可</w:t>
      </w:r>
      <w:r>
        <w:rPr>
          <w:rFonts w:hint="eastAsia" w:ascii="仿宋" w:hAnsi="仿宋" w:eastAsia="仿宋" w:cs="仿宋"/>
          <w:color w:val="auto"/>
          <w:sz w:val="32"/>
          <w:szCs w:val="32"/>
          <w:lang w:val="en-US" w:eastAsia="zh-CN"/>
        </w:rPr>
        <w:t>制作</w:t>
      </w:r>
      <w:r>
        <w:rPr>
          <w:rFonts w:hint="eastAsia" w:ascii="仿宋" w:hAnsi="仿宋" w:eastAsia="仿宋" w:cs="仿宋"/>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480" w:lineRule="exact"/>
        <w:ind w:right="0" w:firstLine="640" w:firstLineChars="20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7.3 乙方负责规划许可并承担通过行政审批的全部费用。</w:t>
      </w: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 xml:space="preserve">7.4 </w:t>
      </w:r>
      <w:r>
        <w:rPr>
          <w:rFonts w:hint="eastAsia" w:ascii="仿宋" w:hAnsi="仿宋" w:eastAsia="仿宋" w:cs="仿宋"/>
          <w:color w:val="auto"/>
          <w:sz w:val="32"/>
          <w:szCs w:val="32"/>
        </w:rPr>
        <w:t>负责组织</w:t>
      </w:r>
      <w:r>
        <w:rPr>
          <w:rFonts w:hint="eastAsia" w:ascii="仿宋" w:hAnsi="仿宋" w:eastAsia="仿宋" w:cs="仿宋"/>
          <w:color w:val="auto"/>
          <w:sz w:val="32"/>
          <w:szCs w:val="32"/>
          <w:lang w:val="en-US" w:eastAsia="zh-CN"/>
        </w:rPr>
        <w:t>安装施工</w:t>
      </w:r>
      <w:r>
        <w:rPr>
          <w:rFonts w:hint="eastAsia" w:ascii="仿宋" w:hAnsi="仿宋" w:eastAsia="仿宋" w:cs="仿宋"/>
          <w:color w:val="auto"/>
          <w:sz w:val="32"/>
          <w:szCs w:val="32"/>
        </w:rPr>
        <w:t>管理，按质量进度完成</w:t>
      </w:r>
      <w:r>
        <w:rPr>
          <w:rFonts w:hint="eastAsia" w:ascii="仿宋" w:hAnsi="仿宋" w:eastAsia="仿宋" w:cs="仿宋"/>
          <w:color w:val="auto"/>
          <w:sz w:val="32"/>
          <w:szCs w:val="32"/>
          <w:lang w:val="en-US" w:eastAsia="zh-CN"/>
        </w:rPr>
        <w:t>安装</w:t>
      </w:r>
      <w:r>
        <w:rPr>
          <w:rFonts w:hint="eastAsia" w:ascii="仿宋" w:hAnsi="仿宋" w:eastAsia="仿宋" w:cs="仿宋"/>
          <w:color w:val="auto"/>
          <w:sz w:val="32"/>
          <w:szCs w:val="32"/>
        </w:rPr>
        <w:t>施工，并与甲方协调好</w:t>
      </w:r>
      <w:r>
        <w:rPr>
          <w:rFonts w:hint="eastAsia" w:ascii="仿宋" w:hAnsi="仿宋" w:eastAsia="仿宋" w:cs="仿宋"/>
          <w:color w:val="auto"/>
          <w:sz w:val="32"/>
          <w:szCs w:val="32"/>
          <w:lang w:val="en-US" w:eastAsia="zh-CN"/>
        </w:rPr>
        <w:t>安装</w:t>
      </w:r>
      <w:r>
        <w:rPr>
          <w:rFonts w:hint="eastAsia" w:ascii="仿宋" w:hAnsi="仿宋" w:eastAsia="仿宋" w:cs="仿宋"/>
          <w:color w:val="auto"/>
          <w:sz w:val="32"/>
          <w:szCs w:val="32"/>
        </w:rPr>
        <w:t>施工现场关系。出现与其他工种交叉时，服从甲方的协调安排。</w:t>
      </w: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7</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 xml:space="preserve">5 </w:t>
      </w:r>
      <w:r>
        <w:rPr>
          <w:rFonts w:hint="eastAsia" w:ascii="仿宋" w:hAnsi="仿宋" w:eastAsia="仿宋" w:cs="仿宋"/>
          <w:color w:val="auto"/>
          <w:sz w:val="32"/>
          <w:szCs w:val="32"/>
        </w:rPr>
        <w:t>严格</w:t>
      </w:r>
      <w:r>
        <w:rPr>
          <w:rFonts w:hint="eastAsia" w:ascii="仿宋" w:hAnsi="仿宋" w:eastAsia="仿宋" w:cs="仿宋"/>
          <w:color w:val="auto"/>
          <w:sz w:val="32"/>
          <w:szCs w:val="32"/>
          <w:lang w:eastAsia="zh-CN"/>
        </w:rPr>
        <w:t>按照</w:t>
      </w:r>
      <w:r>
        <w:rPr>
          <w:rFonts w:hint="eastAsia" w:ascii="仿宋" w:hAnsi="仿宋" w:eastAsia="仿宋" w:cs="仿宋"/>
          <w:color w:val="auto"/>
          <w:sz w:val="32"/>
          <w:szCs w:val="32"/>
        </w:rPr>
        <w:t>国家有关施工规范、质量标准进行</w:t>
      </w:r>
      <w:r>
        <w:rPr>
          <w:rFonts w:hint="eastAsia" w:ascii="仿宋" w:hAnsi="仿宋" w:eastAsia="仿宋" w:cs="仿宋"/>
          <w:color w:val="auto"/>
          <w:sz w:val="32"/>
          <w:szCs w:val="32"/>
          <w:lang w:val="en-US" w:eastAsia="zh-CN"/>
        </w:rPr>
        <w:t>安装</w:t>
      </w:r>
      <w:r>
        <w:rPr>
          <w:rFonts w:hint="eastAsia" w:ascii="仿宋" w:hAnsi="仿宋" w:eastAsia="仿宋" w:cs="仿宋"/>
          <w:color w:val="auto"/>
          <w:sz w:val="32"/>
          <w:szCs w:val="32"/>
        </w:rPr>
        <w:t>施工。凡不符合有关技术标准和设计施工规范等要求返工造成的经济损失由乙方负责。</w:t>
      </w: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7.6 安装施工所需设施设备及材料由乙方自备并自行保管。因安装施工产生的杂物和垃圾由乙方进行清运出场并承担由此产生的全部费用。</w:t>
      </w: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 xml:space="preserve">7.7 </w:t>
      </w:r>
      <w:r>
        <w:rPr>
          <w:rFonts w:hint="eastAsia" w:ascii="仿宋" w:hAnsi="仿宋" w:eastAsia="仿宋" w:cs="仿宋"/>
          <w:color w:val="auto"/>
          <w:sz w:val="32"/>
          <w:szCs w:val="32"/>
          <w:lang w:eastAsia="zh-CN"/>
        </w:rPr>
        <w:t>每月对所制作安装的广告进行一次维护和检查，如遇大风大雨</w:t>
      </w:r>
      <w:r>
        <w:rPr>
          <w:rFonts w:hint="eastAsia" w:ascii="仿宋" w:hAnsi="仿宋" w:eastAsia="仿宋" w:cs="仿宋"/>
          <w:color w:val="auto"/>
          <w:sz w:val="32"/>
          <w:szCs w:val="32"/>
          <w:lang w:val="en-US" w:eastAsia="zh-CN"/>
        </w:rPr>
        <w:t>等恶劣天气</w:t>
      </w:r>
      <w:r>
        <w:rPr>
          <w:rFonts w:hint="eastAsia" w:ascii="仿宋" w:hAnsi="仿宋" w:eastAsia="仿宋" w:cs="仿宋"/>
          <w:color w:val="auto"/>
          <w:sz w:val="32"/>
          <w:szCs w:val="32"/>
          <w:lang w:eastAsia="zh-CN"/>
        </w:rPr>
        <w:t>应</w:t>
      </w:r>
      <w:r>
        <w:rPr>
          <w:rFonts w:hint="eastAsia" w:ascii="仿宋" w:hAnsi="仿宋" w:eastAsia="仿宋" w:cs="仿宋"/>
          <w:color w:val="auto"/>
          <w:sz w:val="32"/>
          <w:szCs w:val="32"/>
          <w:lang w:val="en-US" w:eastAsia="zh-CN"/>
        </w:rPr>
        <w:t>及</w:t>
      </w:r>
      <w:r>
        <w:rPr>
          <w:rFonts w:hint="eastAsia" w:ascii="仿宋" w:hAnsi="仿宋" w:eastAsia="仿宋" w:cs="仿宋"/>
          <w:color w:val="auto"/>
          <w:sz w:val="32"/>
          <w:szCs w:val="32"/>
          <w:lang w:eastAsia="zh-CN"/>
        </w:rPr>
        <w:t>时检查和维护，发现隐患及时排除，</w:t>
      </w:r>
      <w:r>
        <w:rPr>
          <w:rFonts w:hint="eastAsia" w:ascii="仿宋" w:hAnsi="仿宋" w:eastAsia="仿宋" w:cs="仿宋"/>
          <w:color w:val="auto"/>
          <w:sz w:val="32"/>
          <w:szCs w:val="32"/>
          <w:lang w:val="en-US" w:eastAsia="zh-CN"/>
        </w:rPr>
        <w:t>且每次</w:t>
      </w:r>
      <w:r>
        <w:rPr>
          <w:rFonts w:hint="eastAsia" w:ascii="仿宋" w:hAnsi="仿宋" w:eastAsia="仿宋" w:cs="仿宋"/>
          <w:color w:val="auto"/>
          <w:sz w:val="32"/>
          <w:szCs w:val="32"/>
          <w:lang w:eastAsia="zh-CN"/>
        </w:rPr>
        <w:t>维护和检查</w:t>
      </w:r>
      <w:r>
        <w:rPr>
          <w:rFonts w:hint="eastAsia" w:ascii="仿宋" w:hAnsi="仿宋" w:eastAsia="仿宋" w:cs="仿宋"/>
          <w:color w:val="auto"/>
          <w:sz w:val="32"/>
          <w:szCs w:val="32"/>
          <w:lang w:val="en-US" w:eastAsia="zh-CN"/>
        </w:rPr>
        <w:t>均须向甲方提供书面记录。</w:t>
      </w:r>
      <w:r>
        <w:rPr>
          <w:rFonts w:hint="eastAsia" w:ascii="仿宋" w:hAnsi="仿宋" w:eastAsia="仿宋" w:cs="仿宋"/>
          <w:color w:val="auto"/>
          <w:sz w:val="32"/>
          <w:szCs w:val="32"/>
          <w:lang w:eastAsia="zh-CN"/>
        </w:rPr>
        <w:t>如</w:t>
      </w:r>
      <w:r>
        <w:rPr>
          <w:rFonts w:hint="eastAsia" w:ascii="仿宋" w:hAnsi="仿宋" w:eastAsia="仿宋" w:cs="仿宋"/>
          <w:color w:val="auto"/>
          <w:sz w:val="32"/>
          <w:szCs w:val="32"/>
          <w:lang w:val="en-US" w:eastAsia="zh-CN"/>
        </w:rPr>
        <w:t>乙方制作安装的广告在质保期内发生质量或安装问题，</w:t>
      </w:r>
      <w:r>
        <w:rPr>
          <w:rFonts w:hint="eastAsia" w:ascii="仿宋" w:hAnsi="仿宋" w:eastAsia="仿宋" w:cs="仿宋"/>
          <w:color w:val="auto"/>
          <w:sz w:val="32"/>
          <w:szCs w:val="32"/>
          <w:lang w:eastAsia="zh-CN"/>
        </w:rPr>
        <w:t>致</w:t>
      </w:r>
      <w:r>
        <w:rPr>
          <w:rFonts w:hint="eastAsia" w:ascii="仿宋" w:hAnsi="仿宋" w:eastAsia="仿宋" w:cs="仿宋"/>
          <w:color w:val="auto"/>
          <w:sz w:val="32"/>
          <w:szCs w:val="32"/>
          <w:lang w:val="en-US" w:eastAsia="zh-CN"/>
        </w:rPr>
        <w:t>甲方、乙方或</w:t>
      </w:r>
      <w:r>
        <w:rPr>
          <w:rFonts w:hint="eastAsia" w:ascii="仿宋" w:hAnsi="仿宋" w:eastAsia="仿宋" w:cs="仿宋"/>
          <w:color w:val="auto"/>
          <w:sz w:val="32"/>
          <w:szCs w:val="32"/>
          <w:lang w:eastAsia="zh-CN"/>
        </w:rPr>
        <w:t>第三</w:t>
      </w:r>
      <w:r>
        <w:rPr>
          <w:rFonts w:hint="eastAsia" w:ascii="仿宋" w:hAnsi="仿宋" w:eastAsia="仿宋" w:cs="仿宋"/>
          <w:color w:val="auto"/>
          <w:sz w:val="32"/>
          <w:szCs w:val="32"/>
          <w:lang w:val="en-US" w:eastAsia="zh-CN"/>
        </w:rPr>
        <w:t>方遭受人身、财产损失</w:t>
      </w:r>
      <w:r>
        <w:rPr>
          <w:rFonts w:hint="eastAsia" w:ascii="仿宋" w:hAnsi="仿宋" w:eastAsia="仿宋" w:cs="仿宋"/>
          <w:color w:val="auto"/>
          <w:sz w:val="32"/>
          <w:szCs w:val="32"/>
          <w:lang w:eastAsia="zh-CN"/>
        </w:rPr>
        <w:t>，由乙方承担全部责任</w:t>
      </w:r>
      <w:r>
        <w:rPr>
          <w:rFonts w:hint="eastAsia" w:ascii="仿宋" w:hAnsi="仿宋" w:eastAsia="仿宋" w:cs="仿宋"/>
          <w:color w:val="auto"/>
          <w:sz w:val="32"/>
          <w:szCs w:val="32"/>
          <w:lang w:val="en-US" w:eastAsia="zh-CN"/>
        </w:rPr>
        <w:t>和经济赔偿</w:t>
      </w:r>
      <w:r>
        <w:rPr>
          <w:rFonts w:hint="eastAsia" w:ascii="仿宋" w:hAnsi="仿宋" w:eastAsia="仿宋" w:cs="仿宋"/>
          <w:color w:val="auto"/>
          <w:sz w:val="32"/>
          <w:szCs w:val="32"/>
          <w:lang w:eastAsia="zh-CN"/>
        </w:rPr>
        <w:t>。</w:t>
      </w: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7.8 因乙方履行本合同约定不到位导致甲方被处以罚款等</w:t>
      </w:r>
      <w:r>
        <w:rPr>
          <w:rFonts w:hint="eastAsia" w:ascii="仿宋" w:hAnsi="仿宋" w:eastAsia="仿宋" w:cs="仿宋"/>
          <w:color w:val="auto"/>
          <w:sz w:val="32"/>
          <w:szCs w:val="32"/>
          <w:lang w:eastAsia="zh-CN"/>
        </w:rPr>
        <w:t>行政处罚</w:t>
      </w:r>
      <w:r>
        <w:rPr>
          <w:rFonts w:hint="eastAsia" w:ascii="仿宋" w:hAnsi="仿宋" w:eastAsia="仿宋" w:cs="仿宋"/>
          <w:color w:val="auto"/>
          <w:sz w:val="32"/>
          <w:szCs w:val="32"/>
          <w:lang w:val="en-US" w:eastAsia="zh-CN"/>
        </w:rPr>
        <w:t>的</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乙方应足额赔偿甲方的罚款损失</w:t>
      </w:r>
      <w:r>
        <w:rPr>
          <w:rFonts w:hint="eastAsia" w:ascii="仿宋" w:hAnsi="仿宋" w:eastAsia="仿宋" w:cs="仿宋"/>
          <w:color w:val="auto"/>
          <w:sz w:val="32"/>
          <w:szCs w:val="32"/>
          <w:lang w:eastAsia="zh-CN"/>
        </w:rPr>
        <w:t>。</w:t>
      </w: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 xml:space="preserve">7.9 </w:t>
      </w:r>
      <w:r>
        <w:rPr>
          <w:rFonts w:hint="eastAsia" w:ascii="仿宋" w:hAnsi="仿宋" w:eastAsia="仿宋" w:cs="仿宋"/>
          <w:color w:val="auto"/>
          <w:sz w:val="32"/>
          <w:szCs w:val="32"/>
          <w:lang w:eastAsia="zh-CN"/>
        </w:rPr>
        <w:t>负责协调处理广告所引发的所有纠纷，</w:t>
      </w:r>
      <w:r>
        <w:rPr>
          <w:rFonts w:hint="eastAsia" w:ascii="仿宋_GB2312" w:eastAsia="仿宋_GB2312"/>
          <w:color w:val="auto"/>
          <w:sz w:val="32"/>
          <w:szCs w:val="32"/>
          <w:lang w:val="en-US" w:eastAsia="zh-CN"/>
        </w:rPr>
        <w:t>确保不影响甲方正常工作秩序</w:t>
      </w:r>
      <w:r>
        <w:rPr>
          <w:rFonts w:hint="eastAsia" w:ascii="仿宋" w:hAnsi="仿宋" w:eastAsia="仿宋" w:cs="仿宋"/>
          <w:color w:val="auto"/>
          <w:sz w:val="32"/>
          <w:szCs w:val="32"/>
          <w:lang w:eastAsia="zh-CN"/>
        </w:rPr>
        <w:t>。</w:t>
      </w:r>
    </w:p>
    <w:p>
      <w:pPr>
        <w:pStyle w:val="3"/>
        <w:pageBreakBefore w:val="0"/>
        <w:widowControl w:val="0"/>
        <w:kinsoku/>
        <w:wordWrap/>
        <w:overflowPunct/>
        <w:topLinePunct w:val="0"/>
        <w:autoSpaceDE/>
        <w:autoSpaceDN/>
        <w:bidi w:val="0"/>
        <w:adjustRightInd w:val="0"/>
        <w:spacing w:before="0" w:after="0" w:line="480" w:lineRule="exact"/>
        <w:ind w:right="0" w:firstLine="640" w:firstLineChars="200"/>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32"/>
          <w:szCs w:val="32"/>
          <w:lang w:val="en-US" w:eastAsia="zh-CN" w:bidi="ar-SA"/>
        </w:rPr>
        <w:t>7.10 乙方指派</w:t>
      </w:r>
      <w:r>
        <w:rPr>
          <w:rFonts w:hint="eastAsia" w:ascii="仿宋" w:hAnsi="仿宋" w:eastAsia="仿宋" w:cs="仿宋"/>
          <w:b w:val="0"/>
          <w:color w:val="auto"/>
          <w:kern w:val="2"/>
          <w:sz w:val="32"/>
          <w:szCs w:val="32"/>
          <w:u w:val="single"/>
          <w:lang w:val="en-US" w:eastAsia="zh-CN" w:bidi="ar-SA"/>
        </w:rPr>
        <w:t xml:space="preserve">     </w:t>
      </w:r>
      <w:r>
        <w:rPr>
          <w:rFonts w:hint="eastAsia" w:ascii="仿宋" w:hAnsi="仿宋" w:eastAsia="仿宋" w:cs="仿宋"/>
          <w:b w:val="0"/>
          <w:color w:val="auto"/>
          <w:kern w:val="2"/>
          <w:sz w:val="32"/>
          <w:szCs w:val="32"/>
          <w:lang w:val="en-US" w:eastAsia="zh-CN" w:bidi="ar-SA"/>
        </w:rPr>
        <w:t>（电话：</w:t>
      </w:r>
      <w:r>
        <w:rPr>
          <w:rFonts w:hint="eastAsia" w:ascii="仿宋" w:hAnsi="仿宋" w:eastAsia="仿宋" w:cs="仿宋"/>
          <w:b w:val="0"/>
          <w:color w:val="auto"/>
          <w:kern w:val="2"/>
          <w:sz w:val="32"/>
          <w:szCs w:val="32"/>
          <w:u w:val="single"/>
          <w:lang w:val="en-US" w:eastAsia="zh-CN" w:bidi="ar-SA"/>
        </w:rPr>
        <w:t xml:space="preserve">              </w:t>
      </w:r>
      <w:r>
        <w:rPr>
          <w:rFonts w:hint="eastAsia" w:ascii="仿宋" w:hAnsi="仿宋" w:eastAsia="仿宋" w:cs="仿宋"/>
          <w:b w:val="0"/>
          <w:color w:val="auto"/>
          <w:kern w:val="2"/>
          <w:sz w:val="32"/>
          <w:szCs w:val="32"/>
          <w:lang w:val="en-US" w:eastAsia="zh-CN" w:bidi="ar-SA"/>
        </w:rPr>
        <w:t>）作为联系人，配合甲方做好安全文明安装、质量检查、进度协调等工作。</w:t>
      </w:r>
    </w:p>
    <w:p>
      <w:pPr>
        <w:pStyle w:val="3"/>
        <w:keepNext w:val="0"/>
        <w:keepLines w:val="0"/>
        <w:pageBreakBefore w:val="0"/>
        <w:widowControl w:val="0"/>
        <w:kinsoku/>
        <w:wordWrap/>
        <w:overflowPunct/>
        <w:topLinePunct w:val="0"/>
        <w:autoSpaceDE/>
        <w:autoSpaceDN/>
        <w:bidi w:val="0"/>
        <w:adjustRightInd w:val="0"/>
        <w:spacing w:before="0" w:after="0" w:line="480" w:lineRule="exact"/>
        <w:ind w:left="0" w:leftChars="0" w:right="0" w:firstLine="643" w:firstLineChars="200"/>
        <w:rPr>
          <w:rFonts w:hint="eastAsia" w:ascii="仿宋_GB2312" w:hAnsi="Times New Roman" w:eastAsia="仿宋_GB2312" w:cs="Times New Roman"/>
          <w:b/>
          <w:color w:val="auto"/>
          <w:kern w:val="2"/>
          <w:sz w:val="32"/>
          <w:szCs w:val="32"/>
          <w:lang w:val="en-US" w:eastAsia="zh-CN" w:bidi="ar-SA"/>
        </w:rPr>
      </w:pPr>
      <w:r>
        <w:rPr>
          <w:rFonts w:hint="eastAsia" w:ascii="仿宋_GB2312" w:eastAsia="仿宋_GB2312" w:cs="Times New Roman"/>
          <w:b/>
          <w:color w:val="auto"/>
          <w:kern w:val="2"/>
          <w:sz w:val="32"/>
          <w:szCs w:val="32"/>
          <w:lang w:val="en-US" w:eastAsia="zh-CN" w:bidi="ar-SA"/>
        </w:rPr>
        <w:t>八、安全责任</w:t>
      </w:r>
    </w:p>
    <w:p>
      <w:pPr>
        <w:keepNext w:val="0"/>
        <w:keepLines w:val="0"/>
        <w:pageBreakBefore w:val="0"/>
        <w:widowControl w:val="0"/>
        <w:kinsoku/>
        <w:wordWrap/>
        <w:overflowPunct/>
        <w:topLinePunct w:val="0"/>
        <w:autoSpaceDE/>
        <w:autoSpaceDN/>
        <w:bidi w:val="0"/>
        <w:adjustRightInd w:val="0"/>
        <w:snapToGrid w:val="0"/>
        <w:spacing w:line="480" w:lineRule="exact"/>
        <w:ind w:right="0"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8.1 乙方确保安装施工前已为指派履行合同的全部人员购买工伤、人身意外等保险，人员均持相关特种作业操作证上岗。乙方安装施工期间必须严格遵守国家及甲方安全生产要求，设立安全警示标志，制定和采取可靠的安全防护措施，确保安全施工、文明施工。</w:t>
      </w:r>
    </w:p>
    <w:p>
      <w:pPr>
        <w:keepNext w:val="0"/>
        <w:keepLines w:val="0"/>
        <w:pageBreakBefore w:val="0"/>
        <w:widowControl w:val="0"/>
        <w:kinsoku/>
        <w:wordWrap/>
        <w:overflowPunct/>
        <w:topLinePunct w:val="0"/>
        <w:autoSpaceDE/>
        <w:autoSpaceDN/>
        <w:bidi w:val="0"/>
        <w:spacing w:line="48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8.2 本合同期限内，在广告牌标识牌制作、运输、安装、广告、维护等过程中所发生的一切事故，给</w:t>
      </w:r>
      <w:r>
        <w:rPr>
          <w:rFonts w:hint="eastAsia" w:ascii="仿宋_GB2312" w:hAnsi="Times New Roman" w:eastAsia="仿宋_GB2312" w:cs="Times New Roman"/>
          <w:color w:val="auto"/>
          <w:sz w:val="32"/>
          <w:szCs w:val="32"/>
          <w:lang w:val="en-US" w:eastAsia="zh-CN"/>
        </w:rPr>
        <w:t>甲方、乙方（包括乙方指派履行本合同人员）及其他第三方</w:t>
      </w:r>
      <w:r>
        <w:rPr>
          <w:rFonts w:hint="eastAsia" w:ascii="仿宋_GB2312" w:eastAsia="仿宋_GB2312" w:cs="Times New Roman"/>
          <w:color w:val="auto"/>
          <w:sz w:val="32"/>
          <w:szCs w:val="32"/>
          <w:lang w:val="en-US" w:eastAsia="zh-CN"/>
        </w:rPr>
        <w:t>造成的</w:t>
      </w:r>
      <w:r>
        <w:rPr>
          <w:rFonts w:hint="eastAsia" w:ascii="仿宋_GB2312" w:hAnsi="Times New Roman" w:eastAsia="仿宋_GB2312" w:cs="Times New Roman"/>
          <w:color w:val="auto"/>
          <w:sz w:val="32"/>
          <w:szCs w:val="32"/>
          <w:lang w:val="en-US" w:eastAsia="zh-CN"/>
        </w:rPr>
        <w:t>人身</w:t>
      </w:r>
      <w:r>
        <w:rPr>
          <w:rFonts w:hint="eastAsia" w:ascii="仿宋_GB2312" w:eastAsia="仿宋_GB2312" w:cs="Times New Roman"/>
          <w:color w:val="auto"/>
          <w:sz w:val="32"/>
          <w:szCs w:val="32"/>
          <w:lang w:val="en-US" w:eastAsia="zh-CN"/>
        </w:rPr>
        <w:t>、</w:t>
      </w:r>
      <w:r>
        <w:rPr>
          <w:rFonts w:hint="eastAsia" w:ascii="仿宋_GB2312" w:hAnsi="Times New Roman" w:eastAsia="仿宋_GB2312" w:cs="Times New Roman"/>
          <w:color w:val="auto"/>
          <w:sz w:val="32"/>
          <w:szCs w:val="32"/>
          <w:lang w:val="en-US" w:eastAsia="zh-CN"/>
        </w:rPr>
        <w:t>财产损失，均由乙方负责处理和承担全部费用。</w:t>
      </w:r>
    </w:p>
    <w:p>
      <w:pPr>
        <w:pStyle w:val="3"/>
        <w:pageBreakBefore w:val="0"/>
        <w:widowControl w:val="0"/>
        <w:kinsoku/>
        <w:wordWrap/>
        <w:overflowPunct/>
        <w:topLinePunct w:val="0"/>
        <w:autoSpaceDE/>
        <w:autoSpaceDN/>
        <w:bidi w:val="0"/>
        <w:adjustRightInd w:val="0"/>
        <w:spacing w:before="0" w:after="0" w:line="480" w:lineRule="exact"/>
        <w:ind w:right="0" w:firstLine="643" w:firstLineChars="200"/>
        <w:rPr>
          <w:rFonts w:hint="eastAsia" w:ascii="仿宋" w:hAnsi="仿宋" w:eastAsia="仿宋" w:cs="仿宋"/>
          <w:b/>
          <w:color w:val="auto"/>
          <w:kern w:val="2"/>
          <w:sz w:val="32"/>
          <w:szCs w:val="32"/>
          <w:lang w:val="en-US" w:eastAsia="zh-CN" w:bidi="ar-SA"/>
        </w:rPr>
      </w:pPr>
      <w:r>
        <w:rPr>
          <w:rFonts w:hint="eastAsia" w:ascii="仿宋" w:hAnsi="仿宋" w:eastAsia="仿宋" w:cs="仿宋"/>
          <w:b/>
          <w:color w:val="auto"/>
          <w:kern w:val="2"/>
          <w:sz w:val="32"/>
          <w:szCs w:val="32"/>
          <w:lang w:val="en-US" w:eastAsia="zh-CN" w:bidi="ar-SA"/>
        </w:rPr>
        <w:t>九、验收</w:t>
      </w: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甲方在</w:t>
      </w:r>
      <w:r>
        <w:rPr>
          <w:rFonts w:hint="eastAsia" w:ascii="仿宋" w:hAnsi="仿宋" w:eastAsia="仿宋" w:cs="仿宋"/>
          <w:color w:val="auto"/>
          <w:sz w:val="32"/>
          <w:szCs w:val="32"/>
        </w:rPr>
        <w:t>乙方</w:t>
      </w:r>
      <w:r>
        <w:rPr>
          <w:rFonts w:hint="eastAsia" w:ascii="仿宋" w:hAnsi="仿宋" w:eastAsia="仿宋" w:cs="仿宋"/>
          <w:color w:val="auto"/>
          <w:sz w:val="32"/>
          <w:szCs w:val="32"/>
          <w:lang w:val="en-US" w:eastAsia="zh-CN"/>
        </w:rPr>
        <w:t>每次完成广告制作安装后进行抽检。</w:t>
      </w:r>
      <w:r>
        <w:rPr>
          <w:rFonts w:hint="eastAsia" w:ascii="仿宋" w:hAnsi="仿宋" w:eastAsia="仿宋" w:cs="仿宋"/>
          <w:color w:val="auto"/>
          <w:sz w:val="32"/>
          <w:szCs w:val="32"/>
        </w:rPr>
        <w:t>如甲方验收合格，应向乙方出具验收合格凭证；如验收不合格，乙方应</w:t>
      </w:r>
      <w:r>
        <w:rPr>
          <w:rFonts w:hint="eastAsia" w:ascii="仿宋" w:hAnsi="仿宋" w:eastAsia="仿宋" w:cs="仿宋"/>
          <w:color w:val="auto"/>
          <w:sz w:val="32"/>
          <w:szCs w:val="32"/>
          <w:lang w:val="en-US" w:eastAsia="zh-CN"/>
        </w:rPr>
        <w:t>在</w:t>
      </w:r>
      <w:r>
        <w:rPr>
          <w:rFonts w:hint="eastAsia" w:ascii="仿宋" w:hAnsi="仿宋" w:eastAsia="仿宋" w:cs="仿宋"/>
          <w:color w:val="auto"/>
          <w:sz w:val="32"/>
          <w:szCs w:val="32"/>
          <w:u w:val="single"/>
          <w:lang w:val="en-US" w:eastAsia="zh-CN"/>
        </w:rPr>
        <w:t>2</w:t>
      </w:r>
      <w:r>
        <w:rPr>
          <w:rFonts w:hint="eastAsia" w:ascii="仿宋" w:hAnsi="仿宋" w:eastAsia="仿宋" w:cs="仿宋"/>
          <w:color w:val="auto"/>
          <w:sz w:val="32"/>
          <w:szCs w:val="32"/>
          <w:lang w:val="en-US" w:eastAsia="zh-CN"/>
        </w:rPr>
        <w:t>日内</w:t>
      </w:r>
      <w:r>
        <w:rPr>
          <w:rFonts w:hint="eastAsia" w:ascii="仿宋" w:hAnsi="仿宋" w:eastAsia="仿宋" w:cs="仿宋"/>
          <w:color w:val="auto"/>
          <w:sz w:val="32"/>
          <w:szCs w:val="32"/>
        </w:rPr>
        <w:t>进行修改、重</w:t>
      </w:r>
      <w:r>
        <w:rPr>
          <w:rFonts w:hint="eastAsia" w:ascii="仿宋" w:hAnsi="仿宋" w:eastAsia="仿宋" w:cs="仿宋"/>
          <w:color w:val="auto"/>
          <w:sz w:val="32"/>
          <w:szCs w:val="32"/>
          <w:lang w:eastAsia="zh-CN"/>
        </w:rPr>
        <w:t>做</w:t>
      </w:r>
      <w:r>
        <w:rPr>
          <w:rFonts w:hint="eastAsia" w:ascii="仿宋" w:hAnsi="仿宋" w:eastAsia="仿宋" w:cs="仿宋"/>
          <w:color w:val="auto"/>
          <w:sz w:val="32"/>
          <w:szCs w:val="32"/>
        </w:rPr>
        <w:t>，由此产生的费用由乙方自行承担。如若出现个别细节（细微色差、磨损等）问题，甲方提出整改意见，乙方</w:t>
      </w:r>
      <w:r>
        <w:rPr>
          <w:rFonts w:hint="eastAsia" w:ascii="仿宋" w:hAnsi="仿宋" w:eastAsia="仿宋" w:cs="仿宋"/>
          <w:color w:val="auto"/>
          <w:sz w:val="32"/>
          <w:szCs w:val="32"/>
          <w:lang w:val="en-US" w:eastAsia="zh-CN"/>
        </w:rPr>
        <w:t>应在</w:t>
      </w:r>
      <w:r>
        <w:rPr>
          <w:rFonts w:hint="eastAsia" w:ascii="仿宋" w:hAnsi="仿宋" w:eastAsia="仿宋" w:cs="仿宋"/>
          <w:color w:val="auto"/>
          <w:sz w:val="32"/>
          <w:szCs w:val="32"/>
          <w:u w:val="single"/>
          <w:lang w:val="en-US" w:eastAsia="zh-CN"/>
        </w:rPr>
        <w:t>2</w:t>
      </w:r>
      <w:r>
        <w:rPr>
          <w:rFonts w:hint="eastAsia" w:ascii="仿宋" w:hAnsi="仿宋" w:eastAsia="仿宋" w:cs="仿宋"/>
          <w:color w:val="auto"/>
          <w:sz w:val="32"/>
          <w:szCs w:val="32"/>
          <w:lang w:val="en-US" w:eastAsia="zh-CN"/>
        </w:rPr>
        <w:t>日内</w:t>
      </w:r>
      <w:r>
        <w:rPr>
          <w:rFonts w:hint="eastAsia" w:ascii="仿宋" w:hAnsi="仿宋" w:eastAsia="仿宋" w:cs="仿宋"/>
          <w:color w:val="auto"/>
          <w:sz w:val="32"/>
          <w:szCs w:val="32"/>
        </w:rPr>
        <w:t>修改</w:t>
      </w:r>
      <w:r>
        <w:rPr>
          <w:rFonts w:hint="eastAsia" w:ascii="仿宋" w:hAnsi="仿宋" w:eastAsia="仿宋" w:cs="仿宋"/>
          <w:color w:val="auto"/>
          <w:sz w:val="32"/>
          <w:szCs w:val="32"/>
          <w:lang w:val="en-US" w:eastAsia="zh-CN"/>
        </w:rPr>
        <w:t>到位并书面告知甲方</w:t>
      </w:r>
      <w:r>
        <w:rPr>
          <w:rFonts w:hint="eastAsia" w:ascii="仿宋" w:hAnsi="仿宋" w:eastAsia="仿宋" w:cs="仿宋"/>
          <w:color w:val="auto"/>
          <w:sz w:val="32"/>
          <w:szCs w:val="32"/>
        </w:rPr>
        <w:t>进行验收</w:t>
      </w:r>
      <w:r>
        <w:rPr>
          <w:rFonts w:hint="eastAsia" w:ascii="仿宋" w:hAnsi="仿宋" w:eastAsia="仿宋" w:cs="仿宋"/>
          <w:color w:val="auto"/>
          <w:sz w:val="32"/>
          <w:szCs w:val="32"/>
          <w:lang w:eastAsia="zh-CN"/>
        </w:rPr>
        <w:t>。</w:t>
      </w:r>
    </w:p>
    <w:p>
      <w:pPr>
        <w:pageBreakBefore w:val="0"/>
        <w:widowControl w:val="0"/>
        <w:kinsoku/>
        <w:wordWrap/>
        <w:overflowPunct/>
        <w:topLinePunct w:val="0"/>
        <w:autoSpaceDE/>
        <w:autoSpaceDN/>
        <w:bidi w:val="0"/>
        <w:adjustRightInd w:val="0"/>
        <w:snapToGrid w:val="0"/>
        <w:spacing w:line="480" w:lineRule="exact"/>
        <w:ind w:right="0" w:firstLine="643" w:firstLineChars="200"/>
        <w:rPr>
          <w:rFonts w:hint="eastAsia" w:ascii="仿宋" w:hAnsi="仿宋" w:eastAsia="仿宋" w:cs="仿宋"/>
          <w:b/>
          <w:color w:val="auto"/>
          <w:sz w:val="32"/>
          <w:szCs w:val="32"/>
        </w:rPr>
      </w:pPr>
      <w:r>
        <w:rPr>
          <w:rFonts w:hint="eastAsia" w:ascii="仿宋" w:hAnsi="仿宋" w:eastAsia="仿宋" w:cs="仿宋"/>
          <w:b/>
          <w:color w:val="auto"/>
          <w:sz w:val="32"/>
          <w:szCs w:val="32"/>
          <w:lang w:val="en-US" w:eastAsia="zh-CN"/>
        </w:rPr>
        <w:t>十</w:t>
      </w:r>
      <w:r>
        <w:rPr>
          <w:rFonts w:hint="eastAsia" w:ascii="仿宋" w:hAnsi="仿宋" w:eastAsia="仿宋" w:cs="仿宋"/>
          <w:b/>
          <w:color w:val="auto"/>
          <w:sz w:val="32"/>
          <w:szCs w:val="32"/>
        </w:rPr>
        <w:t>、</w:t>
      </w:r>
      <w:r>
        <w:rPr>
          <w:rFonts w:hint="eastAsia" w:ascii="仿宋" w:hAnsi="仿宋" w:eastAsia="仿宋" w:cs="仿宋"/>
          <w:b/>
          <w:color w:val="auto"/>
          <w:sz w:val="32"/>
          <w:szCs w:val="32"/>
          <w:lang w:val="en-US" w:eastAsia="zh-CN"/>
        </w:rPr>
        <w:t>服务费结算</w:t>
      </w:r>
      <w:r>
        <w:rPr>
          <w:rFonts w:hint="eastAsia" w:ascii="仿宋" w:hAnsi="仿宋" w:eastAsia="仿宋" w:cs="仿宋"/>
          <w:b/>
          <w:color w:val="auto"/>
          <w:sz w:val="32"/>
          <w:szCs w:val="32"/>
        </w:rPr>
        <w:t>及付款方式</w:t>
      </w: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10.1 双方根据甲方出具的</w:t>
      </w:r>
      <w:r>
        <w:rPr>
          <w:rFonts w:hint="eastAsia" w:ascii="仿宋" w:hAnsi="仿宋" w:eastAsia="仿宋" w:cs="仿宋"/>
          <w:color w:val="auto"/>
          <w:sz w:val="32"/>
          <w:szCs w:val="32"/>
        </w:rPr>
        <w:t>验收合格凭证</w:t>
      </w:r>
      <w:r>
        <w:rPr>
          <w:rFonts w:hint="eastAsia" w:ascii="仿宋" w:hAnsi="仿宋" w:eastAsia="仿宋" w:cs="仿宋"/>
          <w:color w:val="auto"/>
          <w:sz w:val="32"/>
          <w:szCs w:val="32"/>
          <w:lang w:val="en-US" w:eastAsia="zh-CN"/>
        </w:rPr>
        <w:t>按季度</w:t>
      </w:r>
      <w:r>
        <w:rPr>
          <w:rFonts w:hint="eastAsia" w:ascii="仿宋" w:hAnsi="仿宋" w:eastAsia="仿宋" w:cs="仿宋"/>
          <w:color w:val="auto"/>
          <w:sz w:val="32"/>
          <w:szCs w:val="32"/>
        </w:rPr>
        <w:t>结算</w:t>
      </w:r>
      <w:r>
        <w:rPr>
          <w:rFonts w:hint="eastAsia" w:ascii="仿宋" w:hAnsi="仿宋" w:eastAsia="仿宋" w:cs="仿宋"/>
          <w:color w:val="auto"/>
          <w:sz w:val="32"/>
          <w:szCs w:val="32"/>
          <w:lang w:val="en-US" w:eastAsia="zh-CN"/>
        </w:rPr>
        <w:t>服务费</w:t>
      </w:r>
      <w:r>
        <w:rPr>
          <w:rFonts w:hint="eastAsia" w:ascii="仿宋" w:hAnsi="仿宋" w:eastAsia="仿宋" w:cs="仿宋"/>
          <w:color w:val="auto"/>
          <w:sz w:val="32"/>
          <w:szCs w:val="32"/>
        </w:rPr>
        <w:t>。</w:t>
      </w: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10.2 甲方在</w:t>
      </w:r>
      <w:r>
        <w:rPr>
          <w:rFonts w:hint="eastAsia" w:ascii="仿宋" w:hAnsi="仿宋" w:eastAsia="仿宋" w:cs="仿宋"/>
          <w:color w:val="auto"/>
          <w:sz w:val="32"/>
          <w:szCs w:val="32"/>
        </w:rPr>
        <w:t>每次结算</w:t>
      </w:r>
      <w:r>
        <w:rPr>
          <w:rFonts w:hint="eastAsia" w:ascii="仿宋" w:hAnsi="仿宋" w:eastAsia="仿宋" w:cs="仿宋"/>
          <w:color w:val="auto"/>
          <w:sz w:val="32"/>
          <w:szCs w:val="32"/>
          <w:lang w:val="en-US" w:eastAsia="zh-CN"/>
        </w:rPr>
        <w:t>完成之日起</w:t>
      </w:r>
      <w:r>
        <w:rPr>
          <w:rFonts w:hint="eastAsia" w:ascii="仿宋" w:hAnsi="仿宋" w:eastAsia="仿宋" w:cs="仿宋"/>
          <w:color w:val="auto"/>
          <w:sz w:val="32"/>
          <w:szCs w:val="32"/>
          <w:u w:val="single"/>
          <w:lang w:val="en-US" w:eastAsia="zh-CN"/>
        </w:rPr>
        <w:t>30</w:t>
      </w:r>
      <w:r>
        <w:rPr>
          <w:rFonts w:hint="eastAsia" w:ascii="仿宋" w:hAnsi="仿宋" w:eastAsia="仿宋" w:cs="仿宋"/>
          <w:color w:val="auto"/>
          <w:sz w:val="32"/>
          <w:szCs w:val="32"/>
          <w:lang w:val="en-US" w:eastAsia="zh-CN"/>
        </w:rPr>
        <w:t>日内，将该次结算价款的95</w:t>
      </w:r>
      <w:r>
        <w:rPr>
          <w:rFonts w:hint="eastAsia" w:ascii="仿宋_GB2312" w:eastAsia="仿宋_GB2312"/>
          <w:color w:val="auto"/>
          <w:sz w:val="32"/>
          <w:szCs w:val="32"/>
          <w:u w:val="none"/>
        </w:rPr>
        <w:t>%</w:t>
      </w:r>
      <w:r>
        <w:rPr>
          <w:rFonts w:hint="eastAsia" w:ascii="仿宋" w:hAnsi="仿宋" w:eastAsia="仿宋" w:cs="仿宋"/>
          <w:color w:val="auto"/>
          <w:sz w:val="32"/>
          <w:szCs w:val="32"/>
          <w:lang w:val="en-US" w:eastAsia="zh-CN"/>
        </w:rPr>
        <w:t>通过银行转账支付给乙方；自本合同签订之日起满3年的</w:t>
      </w:r>
      <w:r>
        <w:rPr>
          <w:rFonts w:hint="eastAsia" w:ascii="仿宋" w:hAnsi="仿宋" w:eastAsia="仿宋" w:cs="仿宋"/>
          <w:color w:val="auto"/>
          <w:sz w:val="32"/>
          <w:szCs w:val="32"/>
          <w:u w:val="single"/>
          <w:lang w:val="en-US" w:eastAsia="zh-CN"/>
        </w:rPr>
        <w:t>10</w:t>
      </w:r>
      <w:r>
        <w:rPr>
          <w:rFonts w:hint="eastAsia" w:ascii="仿宋" w:hAnsi="仿宋" w:eastAsia="仿宋" w:cs="仿宋"/>
          <w:color w:val="auto"/>
          <w:sz w:val="32"/>
          <w:szCs w:val="32"/>
          <w:u w:val="none"/>
          <w:lang w:val="en-US" w:eastAsia="zh-CN"/>
        </w:rPr>
        <w:t>日内向乙方无息支付全部尾款</w:t>
      </w:r>
      <w:r>
        <w:rPr>
          <w:rFonts w:hint="eastAsia" w:ascii="仿宋" w:hAnsi="仿宋" w:eastAsia="仿宋" w:cs="仿宋"/>
          <w:color w:val="auto"/>
          <w:sz w:val="32"/>
          <w:szCs w:val="32"/>
          <w:lang w:val="en-US" w:eastAsia="zh-CN"/>
        </w:rPr>
        <w:t>。</w:t>
      </w: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 xml:space="preserve">10.3 </w:t>
      </w:r>
      <w:r>
        <w:rPr>
          <w:rFonts w:hint="eastAsia" w:ascii="仿宋" w:hAnsi="仿宋" w:eastAsia="仿宋" w:cs="仿宋"/>
          <w:color w:val="auto"/>
          <w:sz w:val="32"/>
          <w:szCs w:val="32"/>
        </w:rPr>
        <w:t>乙方</w:t>
      </w:r>
      <w:r>
        <w:rPr>
          <w:rFonts w:hint="eastAsia" w:ascii="仿宋" w:hAnsi="仿宋" w:eastAsia="仿宋" w:cs="仿宋"/>
          <w:color w:val="auto"/>
          <w:sz w:val="32"/>
          <w:szCs w:val="32"/>
          <w:lang w:val="en-US" w:eastAsia="zh-CN"/>
        </w:rPr>
        <w:t>应在甲方每次付款前提供与结算价款金额对应的增值税发票；如因未及时提供发票导致甲方逾期付款，乙方自行承担相应责任。</w:t>
      </w:r>
      <w:r>
        <w:rPr>
          <w:rFonts w:hint="eastAsia" w:ascii="仿宋" w:hAnsi="仿宋" w:eastAsia="仿宋" w:cs="仿宋"/>
          <w:color w:val="auto"/>
          <w:sz w:val="32"/>
          <w:szCs w:val="32"/>
        </w:rPr>
        <w:t xml:space="preserve"> </w:t>
      </w: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10.4 乙方指定收款银行账户</w:t>
      </w: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default" w:ascii="仿宋" w:hAnsi="仿宋" w:eastAsia="仿宋" w:cs="仿宋"/>
          <w:color w:val="auto"/>
          <w:sz w:val="32"/>
          <w:szCs w:val="32"/>
          <w:u w:val="single"/>
          <w:lang w:val="en-US" w:eastAsia="zh-CN"/>
        </w:rPr>
      </w:pPr>
      <w:r>
        <w:rPr>
          <w:rFonts w:hint="eastAsia" w:ascii="仿宋" w:hAnsi="仿宋" w:eastAsia="仿宋" w:cs="仿宋"/>
          <w:color w:val="auto"/>
          <w:sz w:val="32"/>
          <w:szCs w:val="32"/>
        </w:rPr>
        <w:t>户  名：</w:t>
      </w:r>
      <w:r>
        <w:rPr>
          <w:rFonts w:hint="eastAsia" w:ascii="仿宋" w:hAnsi="仿宋" w:eastAsia="仿宋" w:cs="仿宋"/>
          <w:color w:val="auto"/>
          <w:sz w:val="32"/>
          <w:szCs w:val="32"/>
          <w:u w:val="single"/>
          <w:lang w:val="en-US" w:eastAsia="zh-CN"/>
        </w:rPr>
        <w:t xml:space="preserve">             </w:t>
      </w: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default" w:ascii="仿宋" w:hAnsi="仿宋" w:eastAsia="仿宋" w:cs="仿宋"/>
          <w:color w:val="auto"/>
          <w:sz w:val="32"/>
          <w:szCs w:val="32"/>
          <w:u w:val="single"/>
          <w:lang w:val="en-US" w:eastAsia="zh-CN"/>
        </w:rPr>
      </w:pPr>
      <w:r>
        <w:rPr>
          <w:rFonts w:hint="eastAsia" w:ascii="仿宋" w:hAnsi="仿宋" w:eastAsia="仿宋" w:cs="仿宋"/>
          <w:color w:val="auto"/>
          <w:sz w:val="32"/>
          <w:szCs w:val="32"/>
        </w:rPr>
        <w:t>开户行：</w:t>
      </w:r>
      <w:r>
        <w:rPr>
          <w:rFonts w:hint="eastAsia" w:ascii="仿宋" w:hAnsi="仿宋" w:eastAsia="仿宋" w:cs="仿宋"/>
          <w:color w:val="auto"/>
          <w:sz w:val="32"/>
          <w:szCs w:val="32"/>
          <w:u w:val="single"/>
          <w:lang w:val="en-US" w:eastAsia="zh-CN"/>
        </w:rPr>
        <w:t xml:space="preserve">             </w:t>
      </w: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default" w:ascii="仿宋" w:hAnsi="仿宋" w:eastAsia="仿宋" w:cs="仿宋"/>
          <w:color w:val="auto"/>
          <w:sz w:val="32"/>
          <w:szCs w:val="32"/>
          <w:u w:val="single"/>
          <w:lang w:val="en-US" w:eastAsia="zh-CN"/>
        </w:rPr>
      </w:pPr>
      <w:r>
        <w:rPr>
          <w:rFonts w:hint="eastAsia" w:ascii="仿宋" w:hAnsi="仿宋" w:eastAsia="仿宋" w:cs="仿宋"/>
          <w:color w:val="auto"/>
          <w:sz w:val="32"/>
          <w:szCs w:val="32"/>
          <w:lang w:val="en-US" w:eastAsia="zh-CN"/>
        </w:rPr>
        <w:t>账</w:t>
      </w:r>
      <w:r>
        <w:rPr>
          <w:rFonts w:hint="eastAsia" w:ascii="仿宋" w:hAnsi="仿宋" w:eastAsia="仿宋" w:cs="仿宋"/>
          <w:color w:val="auto"/>
          <w:sz w:val="32"/>
          <w:szCs w:val="32"/>
        </w:rPr>
        <w:t xml:space="preserve">  号：</w:t>
      </w:r>
      <w:r>
        <w:rPr>
          <w:rFonts w:hint="eastAsia" w:ascii="仿宋" w:hAnsi="仿宋" w:eastAsia="仿宋" w:cs="仿宋"/>
          <w:color w:val="auto"/>
          <w:sz w:val="32"/>
          <w:szCs w:val="32"/>
          <w:u w:val="single"/>
          <w:lang w:val="en-US" w:eastAsia="zh-CN"/>
        </w:rPr>
        <w:t xml:space="preserve">             </w:t>
      </w:r>
    </w:p>
    <w:p>
      <w:pPr>
        <w:pageBreakBefore w:val="0"/>
        <w:widowControl w:val="0"/>
        <w:kinsoku/>
        <w:wordWrap/>
        <w:overflowPunct/>
        <w:topLinePunct w:val="0"/>
        <w:autoSpaceDE/>
        <w:autoSpaceDN/>
        <w:bidi w:val="0"/>
        <w:adjustRightInd w:val="0"/>
        <w:snapToGrid w:val="0"/>
        <w:spacing w:line="480" w:lineRule="exact"/>
        <w:ind w:right="0" w:firstLine="643" w:firstLineChars="200"/>
        <w:rPr>
          <w:rFonts w:hint="eastAsia" w:ascii="仿宋" w:hAnsi="仿宋" w:eastAsia="仿宋" w:cs="仿宋"/>
          <w:b/>
          <w:color w:val="auto"/>
          <w:sz w:val="32"/>
          <w:szCs w:val="32"/>
          <w:lang w:val="en-US" w:eastAsia="zh-CN"/>
        </w:rPr>
      </w:pPr>
      <w:r>
        <w:rPr>
          <w:rFonts w:hint="eastAsia" w:ascii="仿宋" w:hAnsi="仿宋" w:eastAsia="仿宋" w:cs="仿宋"/>
          <w:b/>
          <w:color w:val="auto"/>
          <w:sz w:val="32"/>
          <w:szCs w:val="32"/>
          <w:lang w:val="en-US" w:eastAsia="zh-CN"/>
        </w:rPr>
        <w:t>十一</w:t>
      </w:r>
      <w:r>
        <w:rPr>
          <w:rFonts w:hint="eastAsia" w:ascii="仿宋" w:hAnsi="仿宋" w:eastAsia="仿宋" w:cs="仿宋"/>
          <w:b/>
          <w:color w:val="auto"/>
          <w:sz w:val="32"/>
          <w:szCs w:val="32"/>
        </w:rPr>
        <w:t>、</w:t>
      </w:r>
      <w:r>
        <w:rPr>
          <w:rFonts w:hint="eastAsia" w:ascii="仿宋" w:hAnsi="仿宋" w:eastAsia="仿宋" w:cs="仿宋"/>
          <w:b/>
          <w:color w:val="auto"/>
          <w:sz w:val="32"/>
          <w:szCs w:val="32"/>
          <w:lang w:val="en-US" w:eastAsia="zh-CN"/>
        </w:rPr>
        <w:t>质量保证</w:t>
      </w: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11.1 本合同所制作的广告</w:t>
      </w:r>
      <w:r>
        <w:rPr>
          <w:rFonts w:hint="eastAsia" w:ascii="仿宋" w:hAnsi="仿宋" w:eastAsia="仿宋" w:cs="仿宋"/>
          <w:color w:val="auto"/>
          <w:sz w:val="32"/>
          <w:szCs w:val="32"/>
        </w:rPr>
        <w:t>质</w:t>
      </w:r>
      <w:r>
        <w:rPr>
          <w:rFonts w:hint="eastAsia" w:ascii="仿宋" w:hAnsi="仿宋" w:eastAsia="仿宋" w:cs="仿宋"/>
          <w:color w:val="auto"/>
          <w:sz w:val="32"/>
          <w:szCs w:val="32"/>
          <w:lang w:val="en-US" w:eastAsia="zh-CN"/>
        </w:rPr>
        <w:t>量</w:t>
      </w:r>
      <w:r>
        <w:rPr>
          <w:rFonts w:hint="eastAsia" w:ascii="仿宋" w:hAnsi="仿宋" w:eastAsia="仿宋" w:cs="仿宋"/>
          <w:color w:val="auto"/>
          <w:sz w:val="32"/>
          <w:szCs w:val="32"/>
        </w:rPr>
        <w:t>保</w:t>
      </w:r>
      <w:r>
        <w:rPr>
          <w:rFonts w:hint="eastAsia" w:ascii="仿宋" w:hAnsi="仿宋" w:eastAsia="仿宋" w:cs="仿宋"/>
          <w:color w:val="auto"/>
          <w:sz w:val="32"/>
          <w:szCs w:val="32"/>
          <w:lang w:val="en-US" w:eastAsia="zh-CN"/>
        </w:rPr>
        <w:t>证期为</w:t>
      </w:r>
      <w:r>
        <w:rPr>
          <w:rFonts w:hint="eastAsia" w:ascii="仿宋" w:hAnsi="仿宋" w:eastAsia="仿宋" w:cs="仿宋"/>
          <w:color w:val="auto"/>
          <w:sz w:val="32"/>
          <w:szCs w:val="32"/>
          <w:u w:val="single"/>
        </w:rPr>
        <w:t>3</w:t>
      </w:r>
      <w:r>
        <w:rPr>
          <w:rFonts w:hint="eastAsia" w:ascii="仿宋" w:hAnsi="仿宋" w:eastAsia="仿宋" w:cs="仿宋"/>
          <w:color w:val="auto"/>
          <w:sz w:val="32"/>
          <w:szCs w:val="32"/>
        </w:rPr>
        <w:t>年，</w:t>
      </w:r>
      <w:r>
        <w:rPr>
          <w:rFonts w:hint="eastAsia" w:ascii="仿宋" w:hAnsi="仿宋" w:eastAsia="仿宋" w:cs="仿宋"/>
          <w:color w:val="auto"/>
          <w:sz w:val="32"/>
          <w:szCs w:val="32"/>
          <w:lang w:val="en-US" w:eastAsia="zh-CN"/>
        </w:rPr>
        <w:t>自甲方每次出具</w:t>
      </w:r>
      <w:r>
        <w:rPr>
          <w:rFonts w:hint="eastAsia" w:ascii="仿宋" w:hAnsi="仿宋" w:eastAsia="仿宋" w:cs="仿宋"/>
          <w:color w:val="auto"/>
          <w:sz w:val="32"/>
          <w:szCs w:val="32"/>
        </w:rPr>
        <w:t>验收合格凭证</w:t>
      </w:r>
      <w:r>
        <w:rPr>
          <w:rFonts w:hint="eastAsia" w:ascii="仿宋" w:hAnsi="仿宋" w:eastAsia="仿宋" w:cs="仿宋"/>
          <w:color w:val="auto"/>
          <w:sz w:val="32"/>
          <w:szCs w:val="32"/>
          <w:lang w:val="en-US" w:eastAsia="zh-CN"/>
        </w:rPr>
        <w:t>之日起开始计算。</w:t>
      </w: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11.2 在</w:t>
      </w:r>
      <w:r>
        <w:rPr>
          <w:rFonts w:hint="eastAsia" w:ascii="仿宋" w:hAnsi="仿宋" w:eastAsia="仿宋" w:cs="仿宋"/>
          <w:color w:val="auto"/>
          <w:sz w:val="32"/>
          <w:szCs w:val="32"/>
        </w:rPr>
        <w:t>质保期内</w:t>
      </w:r>
      <w:r>
        <w:rPr>
          <w:rFonts w:hint="eastAsia" w:ascii="仿宋" w:hAnsi="仿宋" w:eastAsia="仿宋" w:cs="仿宋"/>
          <w:color w:val="auto"/>
          <w:sz w:val="32"/>
          <w:szCs w:val="32"/>
          <w:lang w:val="en-US" w:eastAsia="zh-CN"/>
        </w:rPr>
        <w:t>广告</w:t>
      </w:r>
      <w:r>
        <w:rPr>
          <w:rFonts w:hint="eastAsia" w:ascii="仿宋" w:hAnsi="仿宋" w:eastAsia="仿宋" w:cs="仿宋"/>
          <w:color w:val="auto"/>
          <w:sz w:val="32"/>
          <w:szCs w:val="32"/>
        </w:rPr>
        <w:t>出现</w:t>
      </w:r>
      <w:r>
        <w:rPr>
          <w:rFonts w:hint="eastAsia" w:ascii="仿宋" w:hAnsi="仿宋" w:eastAsia="仿宋" w:cs="仿宋"/>
          <w:color w:val="auto"/>
          <w:sz w:val="32"/>
          <w:szCs w:val="32"/>
          <w:lang w:val="en-US" w:eastAsia="zh-CN"/>
        </w:rPr>
        <w:t>成品质量或安装</w:t>
      </w:r>
      <w:r>
        <w:rPr>
          <w:rFonts w:hint="eastAsia" w:ascii="仿宋" w:hAnsi="仿宋" w:eastAsia="仿宋" w:cs="仿宋"/>
          <w:color w:val="auto"/>
          <w:sz w:val="32"/>
          <w:szCs w:val="32"/>
        </w:rPr>
        <w:t>质量问题，</w:t>
      </w:r>
      <w:r>
        <w:rPr>
          <w:rFonts w:hint="eastAsia" w:ascii="仿宋" w:hAnsi="仿宋" w:eastAsia="仿宋" w:cs="仿宋"/>
          <w:color w:val="auto"/>
          <w:sz w:val="32"/>
          <w:szCs w:val="32"/>
          <w:lang w:val="en-US" w:eastAsia="zh-CN"/>
        </w:rPr>
        <w:t>乙方应在接到甲方通知时起24小时内</w:t>
      </w:r>
      <w:r>
        <w:rPr>
          <w:rFonts w:hint="eastAsia" w:ascii="仿宋" w:hAnsi="仿宋" w:eastAsia="仿宋" w:cs="仿宋"/>
          <w:color w:val="auto"/>
          <w:sz w:val="32"/>
          <w:szCs w:val="32"/>
        </w:rPr>
        <w:t>免费维修、更换或重新制作</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安装并经甲方宣传外联部确认</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乙方逾期不履行保修义务的，甲方有权委托第三方进行</w:t>
      </w:r>
      <w:r>
        <w:rPr>
          <w:rFonts w:hint="eastAsia" w:ascii="仿宋" w:hAnsi="仿宋" w:eastAsia="仿宋" w:cs="仿宋"/>
          <w:color w:val="auto"/>
          <w:sz w:val="32"/>
          <w:szCs w:val="32"/>
        </w:rPr>
        <w:t>维修、更换或重新制作</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安装</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由此产生的费用均由乙方承担，甲方有权在应付价款中直接扣除。</w:t>
      </w: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 xml:space="preserve">11.3 </w:t>
      </w:r>
      <w:r>
        <w:rPr>
          <w:rFonts w:hint="eastAsia" w:ascii="仿宋" w:hAnsi="仿宋" w:eastAsia="仿宋" w:cs="仿宋"/>
          <w:color w:val="auto"/>
          <w:sz w:val="32"/>
          <w:szCs w:val="32"/>
        </w:rPr>
        <w:t>质保期</w:t>
      </w:r>
      <w:r>
        <w:rPr>
          <w:rFonts w:hint="eastAsia" w:ascii="仿宋" w:hAnsi="仿宋" w:eastAsia="仿宋" w:cs="仿宋"/>
          <w:color w:val="auto"/>
          <w:sz w:val="32"/>
          <w:szCs w:val="32"/>
          <w:lang w:val="en-US" w:eastAsia="zh-CN"/>
        </w:rPr>
        <w:t>届满后</w:t>
      </w:r>
      <w:r>
        <w:rPr>
          <w:rFonts w:hint="eastAsia" w:ascii="仿宋" w:hAnsi="仿宋" w:eastAsia="仿宋" w:cs="仿宋"/>
          <w:color w:val="auto"/>
          <w:sz w:val="32"/>
          <w:szCs w:val="32"/>
        </w:rPr>
        <w:t>如出现问题，</w:t>
      </w:r>
      <w:r>
        <w:rPr>
          <w:rFonts w:hint="eastAsia" w:ascii="仿宋" w:hAnsi="仿宋" w:eastAsia="仿宋" w:cs="仿宋"/>
          <w:color w:val="auto"/>
          <w:sz w:val="32"/>
          <w:szCs w:val="32"/>
          <w:lang w:val="en-US" w:eastAsia="zh-CN"/>
        </w:rPr>
        <w:t>如甲方要求乙方维修本合同约定的广告，乙方承诺</w:t>
      </w:r>
      <w:r>
        <w:rPr>
          <w:rFonts w:hint="eastAsia" w:ascii="仿宋" w:hAnsi="仿宋" w:eastAsia="仿宋" w:cs="仿宋"/>
          <w:color w:val="auto"/>
          <w:sz w:val="32"/>
          <w:szCs w:val="32"/>
        </w:rPr>
        <w:t>在接到通知后24小时内安排维修人员</w:t>
      </w:r>
      <w:r>
        <w:rPr>
          <w:rFonts w:hint="eastAsia" w:ascii="仿宋" w:hAnsi="仿宋" w:eastAsia="仿宋" w:cs="仿宋"/>
          <w:color w:val="auto"/>
          <w:sz w:val="32"/>
          <w:szCs w:val="32"/>
          <w:lang w:val="en-US" w:eastAsia="zh-CN"/>
        </w:rPr>
        <w:t>到达</w:t>
      </w:r>
      <w:r>
        <w:rPr>
          <w:rFonts w:hint="eastAsia" w:ascii="仿宋" w:hAnsi="仿宋" w:eastAsia="仿宋" w:cs="仿宋"/>
          <w:color w:val="auto"/>
          <w:sz w:val="32"/>
          <w:szCs w:val="32"/>
        </w:rPr>
        <w:t>现场</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维修仅按成本价（以乙方进货单或进货发票为准）收取制作材料、配件费用，不收取其他任何费用。</w:t>
      </w:r>
    </w:p>
    <w:p>
      <w:pPr>
        <w:keepNext w:val="0"/>
        <w:keepLines w:val="0"/>
        <w:pageBreakBefore w:val="0"/>
        <w:widowControl w:val="0"/>
        <w:kinsoku/>
        <w:wordWrap/>
        <w:overflowPunct/>
        <w:topLinePunct w:val="0"/>
        <w:autoSpaceDE/>
        <w:autoSpaceDN/>
        <w:bidi w:val="0"/>
        <w:spacing w:line="480" w:lineRule="exact"/>
        <w:ind w:right="0" w:firstLine="643" w:firstLineChars="200"/>
        <w:rPr>
          <w:rFonts w:hint="eastAsia" w:ascii="仿宋" w:hAnsi="仿宋" w:eastAsia="仿宋" w:cs="仿宋"/>
          <w:b/>
          <w:bCs/>
          <w:color w:val="auto"/>
          <w:spacing w:val="25"/>
          <w:sz w:val="32"/>
          <w:szCs w:val="32"/>
          <w:lang w:val="en-US" w:eastAsia="zh-CN"/>
        </w:rPr>
      </w:pPr>
      <w:r>
        <w:rPr>
          <w:rFonts w:hint="eastAsia" w:ascii="仿宋" w:hAnsi="仿宋" w:eastAsia="仿宋" w:cs="仿宋"/>
          <w:b/>
          <w:color w:val="auto"/>
          <w:sz w:val="32"/>
          <w:szCs w:val="32"/>
          <w:lang w:val="en-US" w:eastAsia="zh-CN"/>
        </w:rPr>
        <w:t>十二、</w:t>
      </w:r>
      <w:r>
        <w:rPr>
          <w:rFonts w:hint="eastAsia" w:ascii="仿宋" w:hAnsi="仿宋" w:eastAsia="仿宋" w:cs="仿宋"/>
          <w:b/>
          <w:bCs/>
          <w:color w:val="auto"/>
          <w:spacing w:val="25"/>
          <w:sz w:val="32"/>
          <w:szCs w:val="32"/>
          <w:lang w:val="en-US" w:eastAsia="zh-CN"/>
        </w:rPr>
        <w:t>通知和送达</w:t>
      </w:r>
    </w:p>
    <w:p>
      <w:pPr>
        <w:keepNext w:val="0"/>
        <w:keepLines w:val="0"/>
        <w:pageBreakBefore w:val="0"/>
        <w:widowControl w:val="0"/>
        <w:kinsoku/>
        <w:wordWrap/>
        <w:overflowPunct/>
        <w:topLinePunct w:val="0"/>
        <w:autoSpaceDE/>
        <w:autoSpaceDN/>
        <w:bidi w:val="0"/>
        <w:spacing w:line="480" w:lineRule="exact"/>
        <w:ind w:left="0" w:right="0" w:firstLine="740" w:firstLineChars="200"/>
        <w:jc w:val="both"/>
        <w:rPr>
          <w:rFonts w:hint="eastAsia" w:ascii="仿宋" w:hAnsi="仿宋" w:eastAsia="仿宋" w:cs="仿宋"/>
          <w:color w:val="auto"/>
          <w:spacing w:val="25"/>
          <w:sz w:val="32"/>
          <w:szCs w:val="32"/>
        </w:rPr>
      </w:pPr>
      <w:r>
        <w:rPr>
          <w:rFonts w:hint="eastAsia" w:ascii="仿宋" w:hAnsi="仿宋" w:eastAsia="仿宋" w:cs="仿宋"/>
          <w:color w:val="auto"/>
          <w:spacing w:val="25"/>
          <w:sz w:val="32"/>
          <w:szCs w:val="32"/>
          <w:lang w:val="en-US" w:eastAsia="zh-CN"/>
        </w:rPr>
        <w:t xml:space="preserve">12.1 </w:t>
      </w:r>
      <w:r>
        <w:rPr>
          <w:rFonts w:hint="eastAsia" w:ascii="仿宋" w:hAnsi="仿宋" w:eastAsia="仿宋" w:cs="仿宋"/>
          <w:color w:val="auto"/>
          <w:spacing w:val="25"/>
          <w:sz w:val="32"/>
          <w:szCs w:val="32"/>
        </w:rPr>
        <w:t>甲乙双方同意，与本合同有关的任何文书，应以书面方式</w:t>
      </w:r>
      <w:r>
        <w:rPr>
          <w:rFonts w:hint="eastAsia" w:ascii="仿宋" w:hAnsi="仿宋" w:eastAsia="仿宋" w:cs="仿宋"/>
          <w:color w:val="auto"/>
          <w:spacing w:val="25"/>
          <w:sz w:val="32"/>
          <w:szCs w:val="32"/>
          <w:lang w:val="en-US" w:eastAsia="zh-CN"/>
        </w:rPr>
        <w:t>按照</w:t>
      </w:r>
      <w:r>
        <w:rPr>
          <w:rFonts w:hint="eastAsia" w:ascii="仿宋" w:hAnsi="仿宋" w:eastAsia="仿宋" w:cs="仿宋"/>
          <w:color w:val="auto"/>
          <w:spacing w:val="25"/>
          <w:sz w:val="32"/>
          <w:szCs w:val="32"/>
        </w:rPr>
        <w:t>本合同约定</w:t>
      </w:r>
      <w:r>
        <w:rPr>
          <w:rFonts w:hint="eastAsia" w:ascii="仿宋" w:hAnsi="仿宋" w:eastAsia="仿宋" w:cs="仿宋"/>
          <w:color w:val="auto"/>
          <w:spacing w:val="25"/>
          <w:sz w:val="32"/>
          <w:szCs w:val="32"/>
          <w:lang w:val="en-US" w:eastAsia="zh-CN"/>
        </w:rPr>
        <w:t>发送，</w:t>
      </w:r>
      <w:r>
        <w:rPr>
          <w:rFonts w:hint="eastAsia" w:ascii="仿宋" w:hAnsi="仿宋" w:eastAsia="仿宋" w:cs="仿宋"/>
          <w:color w:val="auto"/>
          <w:spacing w:val="25"/>
          <w:sz w:val="32"/>
          <w:szCs w:val="32"/>
        </w:rPr>
        <w:t>书面</w:t>
      </w:r>
      <w:r>
        <w:rPr>
          <w:rFonts w:hint="eastAsia" w:ascii="仿宋" w:hAnsi="仿宋" w:eastAsia="仿宋" w:cs="仿宋"/>
          <w:color w:val="auto"/>
          <w:spacing w:val="25"/>
          <w:sz w:val="32"/>
          <w:szCs w:val="32"/>
          <w:lang w:val="en-US" w:eastAsia="zh-CN"/>
        </w:rPr>
        <w:t>方</w:t>
      </w:r>
      <w:r>
        <w:rPr>
          <w:rFonts w:hint="eastAsia" w:ascii="仿宋" w:hAnsi="仿宋" w:eastAsia="仿宋" w:cs="仿宋"/>
          <w:color w:val="auto"/>
          <w:spacing w:val="25"/>
          <w:sz w:val="32"/>
          <w:szCs w:val="32"/>
        </w:rPr>
        <w:t>式包括手机短信、微信、书面函件、电子邮件等形式。</w:t>
      </w:r>
    </w:p>
    <w:p>
      <w:pPr>
        <w:keepNext w:val="0"/>
        <w:keepLines w:val="0"/>
        <w:pageBreakBefore w:val="0"/>
        <w:widowControl w:val="0"/>
        <w:kinsoku/>
        <w:wordWrap/>
        <w:overflowPunct/>
        <w:topLinePunct w:val="0"/>
        <w:autoSpaceDE/>
        <w:autoSpaceDN/>
        <w:bidi w:val="0"/>
        <w:spacing w:line="480" w:lineRule="exact"/>
        <w:ind w:right="0" w:firstLine="740" w:firstLineChars="200"/>
        <w:jc w:val="both"/>
        <w:rPr>
          <w:rFonts w:hint="eastAsia" w:ascii="仿宋" w:hAnsi="仿宋" w:eastAsia="仿宋" w:cs="仿宋"/>
          <w:color w:val="auto"/>
          <w:spacing w:val="25"/>
          <w:sz w:val="32"/>
          <w:szCs w:val="32"/>
        </w:rPr>
      </w:pPr>
      <w:r>
        <w:rPr>
          <w:rFonts w:hint="eastAsia" w:ascii="仿宋" w:hAnsi="仿宋" w:eastAsia="仿宋" w:cs="仿宋"/>
          <w:color w:val="auto"/>
          <w:spacing w:val="25"/>
          <w:sz w:val="32"/>
          <w:szCs w:val="32"/>
          <w:lang w:val="en-US" w:eastAsia="zh-CN"/>
        </w:rPr>
        <w:t xml:space="preserve">12.2 </w:t>
      </w:r>
      <w:r>
        <w:rPr>
          <w:rFonts w:hint="eastAsia" w:ascii="仿宋" w:hAnsi="仿宋" w:eastAsia="仿宋" w:cs="仿宋"/>
          <w:color w:val="auto"/>
          <w:spacing w:val="25"/>
          <w:sz w:val="32"/>
          <w:szCs w:val="32"/>
        </w:rPr>
        <w:t>双方确认的文书（包括未来可能发生的诉讼或仲裁活动中法院或仲裁机构的送达法律文书）送达地址</w:t>
      </w:r>
    </w:p>
    <w:p>
      <w:pPr>
        <w:keepNext w:val="0"/>
        <w:keepLines w:val="0"/>
        <w:pageBreakBefore w:val="0"/>
        <w:widowControl w:val="0"/>
        <w:kinsoku/>
        <w:wordWrap/>
        <w:overflowPunct/>
        <w:topLinePunct w:val="0"/>
        <w:autoSpaceDE/>
        <w:autoSpaceDN/>
        <w:bidi w:val="0"/>
        <w:spacing w:line="480" w:lineRule="exact"/>
        <w:ind w:right="0" w:firstLine="740" w:firstLineChars="200"/>
        <w:jc w:val="both"/>
        <w:rPr>
          <w:rFonts w:hint="eastAsia" w:ascii="仿宋" w:hAnsi="仿宋" w:eastAsia="仿宋" w:cs="仿宋"/>
          <w:color w:val="auto"/>
          <w:spacing w:val="25"/>
          <w:sz w:val="32"/>
          <w:szCs w:val="32"/>
          <w:u w:val="single"/>
          <w:lang w:eastAsia="zh-CN"/>
        </w:rPr>
      </w:pPr>
      <w:r>
        <w:rPr>
          <w:rFonts w:hint="eastAsia" w:ascii="仿宋" w:hAnsi="仿宋" w:eastAsia="仿宋" w:cs="仿宋"/>
          <w:color w:val="auto"/>
          <w:spacing w:val="25"/>
          <w:sz w:val="32"/>
          <w:szCs w:val="32"/>
          <w:lang w:val="en-US" w:eastAsia="zh-CN"/>
        </w:rPr>
        <w:t xml:space="preserve">12.2.1 </w:t>
      </w:r>
      <w:r>
        <w:rPr>
          <w:rFonts w:hint="eastAsia" w:ascii="仿宋" w:hAnsi="仿宋" w:eastAsia="仿宋" w:cs="仿宋"/>
          <w:color w:val="auto"/>
          <w:spacing w:val="25"/>
          <w:sz w:val="32"/>
          <w:szCs w:val="32"/>
        </w:rPr>
        <w:t>甲方的文书送达地址</w:t>
      </w:r>
      <w:r>
        <w:rPr>
          <w:rFonts w:hint="eastAsia" w:ascii="仿宋" w:hAnsi="仿宋" w:eastAsia="仿宋" w:cs="仿宋"/>
          <w:color w:val="auto"/>
          <w:spacing w:val="25"/>
          <w:sz w:val="32"/>
          <w:szCs w:val="32"/>
          <w:u w:val="single"/>
        </w:rPr>
        <w:t xml:space="preserve">      </w:t>
      </w:r>
      <w:r>
        <w:rPr>
          <w:rFonts w:hint="eastAsia" w:ascii="仿宋" w:hAnsi="仿宋" w:eastAsia="仿宋" w:cs="仿宋"/>
          <w:color w:val="auto"/>
          <w:spacing w:val="25"/>
          <w:sz w:val="32"/>
          <w:szCs w:val="32"/>
          <w:lang w:eastAsia="zh-CN"/>
        </w:rPr>
        <w:t>，</w:t>
      </w:r>
      <w:r>
        <w:rPr>
          <w:rFonts w:hint="eastAsia" w:ascii="仿宋" w:hAnsi="仿宋" w:eastAsia="仿宋" w:cs="仿宋"/>
          <w:color w:val="auto"/>
          <w:spacing w:val="25"/>
          <w:sz w:val="32"/>
          <w:szCs w:val="32"/>
        </w:rPr>
        <w:t>收件人</w:t>
      </w:r>
      <w:r>
        <w:rPr>
          <w:rFonts w:hint="eastAsia" w:ascii="仿宋" w:hAnsi="仿宋" w:eastAsia="仿宋" w:cs="仿宋"/>
          <w:color w:val="auto"/>
          <w:spacing w:val="25"/>
          <w:sz w:val="32"/>
          <w:szCs w:val="32"/>
          <w:u w:val="single"/>
        </w:rPr>
        <w:t xml:space="preserve">   </w:t>
      </w:r>
      <w:r>
        <w:rPr>
          <w:rFonts w:hint="eastAsia" w:ascii="仿宋" w:hAnsi="仿宋" w:eastAsia="仿宋" w:cs="仿宋"/>
          <w:color w:val="auto"/>
          <w:spacing w:val="25"/>
          <w:sz w:val="32"/>
          <w:szCs w:val="32"/>
          <w:u w:val="none"/>
          <w:lang w:eastAsia="zh-CN"/>
        </w:rPr>
        <w:t>，</w:t>
      </w:r>
      <w:r>
        <w:rPr>
          <w:rFonts w:hint="eastAsia" w:ascii="仿宋" w:hAnsi="仿宋" w:eastAsia="仿宋" w:cs="仿宋"/>
          <w:color w:val="auto"/>
          <w:spacing w:val="25"/>
          <w:sz w:val="32"/>
          <w:szCs w:val="32"/>
        </w:rPr>
        <w:t>联系电话</w:t>
      </w:r>
      <w:r>
        <w:rPr>
          <w:rFonts w:hint="eastAsia" w:ascii="仿宋" w:hAnsi="仿宋" w:eastAsia="仿宋" w:cs="仿宋"/>
          <w:color w:val="auto"/>
          <w:spacing w:val="25"/>
          <w:sz w:val="32"/>
          <w:szCs w:val="32"/>
          <w:u w:val="single"/>
        </w:rPr>
        <w:t xml:space="preserve">      </w:t>
      </w:r>
      <w:r>
        <w:rPr>
          <w:rFonts w:hint="eastAsia" w:ascii="仿宋" w:hAnsi="仿宋" w:eastAsia="仿宋" w:cs="仿宋"/>
          <w:color w:val="auto"/>
          <w:spacing w:val="25"/>
          <w:sz w:val="32"/>
          <w:szCs w:val="32"/>
        </w:rPr>
        <w:t>，</w:t>
      </w:r>
      <w:r>
        <w:rPr>
          <w:rFonts w:hint="eastAsia" w:ascii="仿宋" w:hAnsi="仿宋" w:eastAsia="仿宋" w:cs="仿宋"/>
          <w:color w:val="auto"/>
          <w:spacing w:val="25"/>
          <w:sz w:val="32"/>
          <w:szCs w:val="32"/>
          <w:lang w:val="en-US" w:eastAsia="zh-CN"/>
        </w:rPr>
        <w:t>微信号</w:t>
      </w:r>
      <w:r>
        <w:rPr>
          <w:rFonts w:hint="eastAsia" w:ascii="仿宋" w:hAnsi="仿宋" w:eastAsia="仿宋" w:cs="仿宋"/>
          <w:color w:val="auto"/>
          <w:spacing w:val="25"/>
          <w:sz w:val="32"/>
          <w:szCs w:val="32"/>
          <w:u w:val="single"/>
          <w:lang w:val="en-US" w:eastAsia="zh-CN"/>
        </w:rPr>
        <w:t xml:space="preserve">     </w:t>
      </w:r>
      <w:r>
        <w:rPr>
          <w:rFonts w:hint="eastAsia" w:ascii="仿宋" w:hAnsi="仿宋" w:eastAsia="仿宋" w:cs="仿宋"/>
          <w:color w:val="auto"/>
          <w:spacing w:val="25"/>
          <w:sz w:val="32"/>
          <w:szCs w:val="32"/>
          <w:lang w:val="en-US" w:eastAsia="zh-CN"/>
        </w:rPr>
        <w:t>，</w:t>
      </w:r>
      <w:r>
        <w:rPr>
          <w:rFonts w:hint="eastAsia" w:ascii="仿宋" w:hAnsi="仿宋" w:eastAsia="仿宋" w:cs="仿宋"/>
          <w:color w:val="auto"/>
          <w:spacing w:val="25"/>
          <w:sz w:val="32"/>
          <w:szCs w:val="32"/>
        </w:rPr>
        <w:t>电子邮箱</w:t>
      </w:r>
      <w:r>
        <w:rPr>
          <w:rFonts w:hint="eastAsia" w:ascii="仿宋" w:hAnsi="仿宋" w:eastAsia="仿宋" w:cs="仿宋"/>
          <w:color w:val="auto"/>
          <w:spacing w:val="25"/>
          <w:sz w:val="32"/>
          <w:szCs w:val="32"/>
          <w:u w:val="single"/>
        </w:rPr>
        <w:t xml:space="preserve">    </w:t>
      </w:r>
      <w:r>
        <w:rPr>
          <w:rFonts w:hint="eastAsia" w:ascii="仿宋" w:hAnsi="仿宋" w:eastAsia="仿宋" w:cs="仿宋"/>
          <w:color w:val="auto"/>
          <w:spacing w:val="25"/>
          <w:sz w:val="32"/>
          <w:szCs w:val="32"/>
          <w:u w:val="none"/>
          <w:lang w:eastAsia="zh-CN"/>
        </w:rPr>
        <w:t>。</w:t>
      </w:r>
    </w:p>
    <w:p>
      <w:pPr>
        <w:keepNext w:val="0"/>
        <w:keepLines w:val="0"/>
        <w:pageBreakBefore w:val="0"/>
        <w:widowControl w:val="0"/>
        <w:kinsoku/>
        <w:wordWrap/>
        <w:overflowPunct/>
        <w:topLinePunct w:val="0"/>
        <w:autoSpaceDE/>
        <w:autoSpaceDN/>
        <w:bidi w:val="0"/>
        <w:spacing w:line="480" w:lineRule="exact"/>
        <w:ind w:right="0" w:firstLine="740" w:firstLineChars="200"/>
        <w:jc w:val="both"/>
        <w:rPr>
          <w:rFonts w:hint="eastAsia" w:ascii="仿宋" w:hAnsi="仿宋" w:eastAsia="仿宋" w:cs="仿宋"/>
          <w:color w:val="auto"/>
          <w:spacing w:val="25"/>
          <w:sz w:val="32"/>
          <w:szCs w:val="32"/>
          <w:u w:val="none"/>
          <w:lang w:eastAsia="zh-CN"/>
        </w:rPr>
      </w:pPr>
      <w:r>
        <w:rPr>
          <w:rFonts w:hint="eastAsia" w:ascii="仿宋" w:hAnsi="仿宋" w:eastAsia="仿宋" w:cs="仿宋"/>
          <w:color w:val="auto"/>
          <w:spacing w:val="25"/>
          <w:sz w:val="32"/>
          <w:szCs w:val="32"/>
          <w:lang w:val="en-US" w:eastAsia="zh-CN"/>
        </w:rPr>
        <w:t xml:space="preserve">12.2.2 </w:t>
      </w:r>
      <w:r>
        <w:rPr>
          <w:rFonts w:hint="eastAsia" w:ascii="仿宋" w:hAnsi="仿宋" w:eastAsia="仿宋" w:cs="仿宋"/>
          <w:color w:val="auto"/>
          <w:spacing w:val="25"/>
          <w:sz w:val="32"/>
          <w:szCs w:val="32"/>
        </w:rPr>
        <w:t>乙方的文书送达地址</w:t>
      </w:r>
      <w:r>
        <w:rPr>
          <w:rFonts w:hint="eastAsia" w:ascii="仿宋" w:hAnsi="仿宋" w:eastAsia="仿宋" w:cs="仿宋"/>
          <w:color w:val="auto"/>
          <w:spacing w:val="25"/>
          <w:sz w:val="32"/>
          <w:szCs w:val="32"/>
          <w:u w:val="single"/>
        </w:rPr>
        <w:t xml:space="preserve">     </w:t>
      </w:r>
      <w:r>
        <w:rPr>
          <w:rFonts w:hint="eastAsia" w:ascii="仿宋" w:hAnsi="仿宋" w:eastAsia="仿宋" w:cs="仿宋"/>
          <w:color w:val="auto"/>
          <w:spacing w:val="25"/>
          <w:sz w:val="32"/>
          <w:szCs w:val="32"/>
          <w:lang w:eastAsia="zh-CN"/>
        </w:rPr>
        <w:t>，</w:t>
      </w:r>
      <w:r>
        <w:rPr>
          <w:rFonts w:hint="eastAsia" w:ascii="仿宋" w:hAnsi="仿宋" w:eastAsia="仿宋" w:cs="仿宋"/>
          <w:color w:val="auto"/>
          <w:spacing w:val="25"/>
          <w:sz w:val="32"/>
          <w:szCs w:val="32"/>
        </w:rPr>
        <w:t>收件人</w:t>
      </w:r>
      <w:r>
        <w:rPr>
          <w:rFonts w:hint="eastAsia" w:ascii="仿宋" w:hAnsi="仿宋" w:eastAsia="仿宋" w:cs="仿宋"/>
          <w:color w:val="auto"/>
          <w:spacing w:val="25"/>
          <w:sz w:val="32"/>
          <w:szCs w:val="32"/>
          <w:u w:val="single"/>
        </w:rPr>
        <w:t xml:space="preserve">   </w:t>
      </w:r>
      <w:r>
        <w:rPr>
          <w:rFonts w:hint="eastAsia" w:ascii="仿宋" w:hAnsi="仿宋" w:eastAsia="仿宋" w:cs="仿宋"/>
          <w:color w:val="auto"/>
          <w:spacing w:val="25"/>
          <w:sz w:val="32"/>
          <w:szCs w:val="32"/>
          <w:u w:val="none"/>
          <w:lang w:eastAsia="zh-CN"/>
        </w:rPr>
        <w:t>，</w:t>
      </w:r>
      <w:r>
        <w:rPr>
          <w:rFonts w:hint="eastAsia" w:ascii="仿宋" w:hAnsi="仿宋" w:eastAsia="仿宋" w:cs="仿宋"/>
          <w:color w:val="auto"/>
          <w:spacing w:val="25"/>
          <w:sz w:val="32"/>
          <w:szCs w:val="32"/>
        </w:rPr>
        <w:t>联系电话</w:t>
      </w:r>
      <w:r>
        <w:rPr>
          <w:rFonts w:hint="eastAsia" w:ascii="仿宋" w:hAnsi="仿宋" w:eastAsia="仿宋" w:cs="仿宋"/>
          <w:color w:val="auto"/>
          <w:spacing w:val="25"/>
          <w:sz w:val="32"/>
          <w:szCs w:val="32"/>
          <w:u w:val="single"/>
        </w:rPr>
        <w:t xml:space="preserve">     </w:t>
      </w:r>
      <w:r>
        <w:rPr>
          <w:rFonts w:hint="eastAsia" w:ascii="仿宋" w:hAnsi="仿宋" w:eastAsia="仿宋" w:cs="仿宋"/>
          <w:color w:val="auto"/>
          <w:spacing w:val="25"/>
          <w:sz w:val="32"/>
          <w:szCs w:val="32"/>
        </w:rPr>
        <w:t>，</w:t>
      </w:r>
      <w:r>
        <w:rPr>
          <w:rFonts w:hint="eastAsia" w:ascii="仿宋" w:hAnsi="仿宋" w:eastAsia="仿宋" w:cs="仿宋"/>
          <w:color w:val="auto"/>
          <w:spacing w:val="25"/>
          <w:sz w:val="32"/>
          <w:szCs w:val="32"/>
          <w:lang w:val="en-US" w:eastAsia="zh-CN"/>
        </w:rPr>
        <w:t>微信号</w:t>
      </w:r>
      <w:r>
        <w:rPr>
          <w:rFonts w:hint="eastAsia" w:ascii="仿宋" w:hAnsi="仿宋" w:eastAsia="仿宋" w:cs="仿宋"/>
          <w:color w:val="auto"/>
          <w:spacing w:val="25"/>
          <w:sz w:val="32"/>
          <w:szCs w:val="32"/>
          <w:u w:val="single"/>
          <w:lang w:val="en-US" w:eastAsia="zh-CN"/>
        </w:rPr>
        <w:t xml:space="preserve">     </w:t>
      </w:r>
      <w:r>
        <w:rPr>
          <w:rFonts w:hint="eastAsia" w:ascii="仿宋" w:hAnsi="仿宋" w:eastAsia="仿宋" w:cs="仿宋"/>
          <w:color w:val="auto"/>
          <w:spacing w:val="25"/>
          <w:sz w:val="32"/>
          <w:szCs w:val="32"/>
          <w:lang w:val="en-US" w:eastAsia="zh-CN"/>
        </w:rPr>
        <w:t>，</w:t>
      </w:r>
      <w:r>
        <w:rPr>
          <w:rFonts w:hint="eastAsia" w:ascii="仿宋" w:hAnsi="仿宋" w:eastAsia="仿宋" w:cs="仿宋"/>
          <w:color w:val="auto"/>
          <w:spacing w:val="25"/>
          <w:sz w:val="32"/>
          <w:szCs w:val="32"/>
        </w:rPr>
        <w:t>电子邮箱</w:t>
      </w:r>
      <w:r>
        <w:rPr>
          <w:rFonts w:hint="eastAsia" w:ascii="仿宋" w:hAnsi="仿宋" w:eastAsia="仿宋" w:cs="仿宋"/>
          <w:color w:val="auto"/>
          <w:spacing w:val="25"/>
          <w:sz w:val="32"/>
          <w:szCs w:val="32"/>
          <w:u w:val="single"/>
        </w:rPr>
        <w:t xml:space="preserve">    </w:t>
      </w:r>
      <w:r>
        <w:rPr>
          <w:rFonts w:hint="eastAsia" w:ascii="仿宋" w:hAnsi="仿宋" w:eastAsia="仿宋" w:cs="仿宋"/>
          <w:color w:val="auto"/>
          <w:spacing w:val="25"/>
          <w:sz w:val="32"/>
          <w:szCs w:val="32"/>
          <w:u w:val="none"/>
          <w:lang w:eastAsia="zh-CN"/>
        </w:rPr>
        <w:t>。</w:t>
      </w:r>
    </w:p>
    <w:p>
      <w:pPr>
        <w:keepNext w:val="0"/>
        <w:keepLines w:val="0"/>
        <w:pageBreakBefore w:val="0"/>
        <w:widowControl w:val="0"/>
        <w:kinsoku/>
        <w:wordWrap/>
        <w:overflowPunct/>
        <w:topLinePunct w:val="0"/>
        <w:autoSpaceDE/>
        <w:autoSpaceDN/>
        <w:bidi w:val="0"/>
        <w:spacing w:line="480" w:lineRule="exact"/>
        <w:ind w:right="0" w:firstLine="740" w:firstLineChars="200"/>
        <w:jc w:val="both"/>
        <w:rPr>
          <w:rFonts w:hint="eastAsia" w:ascii="仿宋" w:hAnsi="仿宋" w:eastAsia="仿宋" w:cs="仿宋"/>
          <w:color w:val="auto"/>
          <w:spacing w:val="25"/>
          <w:sz w:val="32"/>
          <w:szCs w:val="32"/>
        </w:rPr>
      </w:pPr>
      <w:r>
        <w:rPr>
          <w:rFonts w:hint="eastAsia" w:ascii="仿宋" w:hAnsi="仿宋" w:eastAsia="仿宋" w:cs="仿宋"/>
          <w:color w:val="auto"/>
          <w:spacing w:val="25"/>
          <w:sz w:val="32"/>
          <w:szCs w:val="32"/>
          <w:lang w:val="en-US" w:eastAsia="zh-CN"/>
        </w:rPr>
        <w:t xml:space="preserve">12.3 </w:t>
      </w:r>
      <w:r>
        <w:rPr>
          <w:rFonts w:hint="eastAsia" w:ascii="仿宋" w:hAnsi="仿宋" w:eastAsia="仿宋" w:cs="仿宋"/>
          <w:color w:val="auto"/>
          <w:spacing w:val="25"/>
          <w:sz w:val="32"/>
          <w:szCs w:val="32"/>
        </w:rPr>
        <w:t>上述通知应被视为在下列时间送达：以快递或专人送</w:t>
      </w:r>
      <w:r>
        <w:rPr>
          <w:rFonts w:hint="eastAsia" w:ascii="仿宋" w:hAnsi="仿宋" w:eastAsia="仿宋" w:cs="仿宋"/>
          <w:color w:val="auto"/>
          <w:spacing w:val="25"/>
          <w:sz w:val="32"/>
          <w:szCs w:val="32"/>
          <w:lang w:val="en-US" w:eastAsia="zh-CN"/>
        </w:rPr>
        <w:t>达</w:t>
      </w:r>
      <w:r>
        <w:rPr>
          <w:rFonts w:hint="eastAsia" w:ascii="仿宋" w:hAnsi="仿宋" w:eastAsia="仿宋" w:cs="仿宋"/>
          <w:color w:val="auto"/>
          <w:spacing w:val="25"/>
          <w:sz w:val="32"/>
          <w:szCs w:val="32"/>
        </w:rPr>
        <w:t>的，在收件人签收之日或拒收之日；以挂号邮件发出的，在发出之日起7个工作日；以电子邮件</w:t>
      </w:r>
      <w:r>
        <w:rPr>
          <w:rFonts w:hint="eastAsia" w:ascii="仿宋" w:hAnsi="仿宋" w:eastAsia="仿宋" w:cs="仿宋"/>
          <w:color w:val="auto"/>
          <w:spacing w:val="25"/>
          <w:sz w:val="32"/>
          <w:szCs w:val="32"/>
          <w:lang w:eastAsia="zh-CN"/>
        </w:rPr>
        <w:t>、</w:t>
      </w:r>
      <w:r>
        <w:rPr>
          <w:rFonts w:hint="eastAsia" w:ascii="仿宋" w:hAnsi="仿宋" w:eastAsia="仿宋" w:cs="仿宋"/>
          <w:color w:val="auto"/>
          <w:spacing w:val="25"/>
          <w:sz w:val="32"/>
          <w:szCs w:val="32"/>
          <w:lang w:val="en-US" w:eastAsia="zh-CN"/>
        </w:rPr>
        <w:t>短信、微信方式</w:t>
      </w:r>
      <w:r>
        <w:rPr>
          <w:rFonts w:hint="eastAsia" w:ascii="仿宋" w:hAnsi="仿宋" w:eastAsia="仿宋" w:cs="仿宋"/>
          <w:color w:val="auto"/>
          <w:spacing w:val="25"/>
          <w:sz w:val="32"/>
          <w:szCs w:val="32"/>
        </w:rPr>
        <w:t>发出的，在</w:t>
      </w:r>
      <w:r>
        <w:rPr>
          <w:rFonts w:hint="eastAsia" w:ascii="仿宋" w:hAnsi="仿宋" w:eastAsia="仿宋" w:cs="仿宋"/>
          <w:color w:val="auto"/>
          <w:spacing w:val="25"/>
          <w:sz w:val="32"/>
          <w:szCs w:val="32"/>
          <w:lang w:val="en-US" w:eastAsia="zh-CN"/>
        </w:rPr>
        <w:t>文件</w:t>
      </w:r>
      <w:r>
        <w:rPr>
          <w:rFonts w:hint="eastAsia" w:ascii="仿宋" w:hAnsi="仿宋" w:eastAsia="仿宋" w:cs="仿宋"/>
          <w:color w:val="auto"/>
          <w:spacing w:val="25"/>
          <w:sz w:val="32"/>
          <w:szCs w:val="32"/>
        </w:rPr>
        <w:t>进入收件方电子邮箱服务器</w:t>
      </w:r>
      <w:r>
        <w:rPr>
          <w:rFonts w:hint="eastAsia" w:ascii="仿宋" w:hAnsi="仿宋" w:eastAsia="仿宋" w:cs="仿宋"/>
          <w:color w:val="auto"/>
          <w:spacing w:val="25"/>
          <w:sz w:val="32"/>
          <w:szCs w:val="32"/>
          <w:lang w:val="en-US" w:eastAsia="zh-CN"/>
        </w:rPr>
        <w:t>或手机端</w:t>
      </w:r>
      <w:r>
        <w:rPr>
          <w:rFonts w:hint="eastAsia" w:ascii="仿宋" w:hAnsi="仿宋" w:eastAsia="仿宋" w:cs="仿宋"/>
          <w:color w:val="auto"/>
          <w:spacing w:val="25"/>
          <w:sz w:val="32"/>
          <w:szCs w:val="32"/>
        </w:rPr>
        <w:t>之日。</w:t>
      </w:r>
    </w:p>
    <w:p>
      <w:pPr>
        <w:keepNext w:val="0"/>
        <w:keepLines w:val="0"/>
        <w:pageBreakBefore w:val="0"/>
        <w:widowControl w:val="0"/>
        <w:kinsoku/>
        <w:wordWrap/>
        <w:overflowPunct/>
        <w:topLinePunct w:val="0"/>
        <w:autoSpaceDE/>
        <w:autoSpaceDN/>
        <w:bidi w:val="0"/>
        <w:spacing w:line="480" w:lineRule="exact"/>
        <w:ind w:right="0" w:firstLine="740" w:firstLineChars="200"/>
        <w:jc w:val="both"/>
        <w:rPr>
          <w:rFonts w:hint="eastAsia" w:ascii="仿宋" w:hAnsi="仿宋" w:eastAsia="仿宋" w:cs="仿宋"/>
          <w:color w:val="auto"/>
          <w:spacing w:val="25"/>
          <w:sz w:val="32"/>
          <w:szCs w:val="32"/>
        </w:rPr>
      </w:pPr>
      <w:r>
        <w:rPr>
          <w:rFonts w:hint="eastAsia" w:ascii="仿宋" w:hAnsi="仿宋" w:eastAsia="仿宋" w:cs="仿宋"/>
          <w:color w:val="auto"/>
          <w:spacing w:val="25"/>
          <w:sz w:val="32"/>
          <w:szCs w:val="32"/>
          <w:lang w:val="en-US" w:eastAsia="zh-CN"/>
        </w:rPr>
        <w:t xml:space="preserve">12.4 </w:t>
      </w:r>
      <w:r>
        <w:rPr>
          <w:rFonts w:hint="eastAsia" w:ascii="仿宋" w:hAnsi="仿宋" w:eastAsia="仿宋" w:cs="仿宋"/>
          <w:color w:val="auto"/>
          <w:spacing w:val="25"/>
          <w:sz w:val="32"/>
          <w:szCs w:val="32"/>
        </w:rPr>
        <w:t>以上地址和联系方式，任何一方发生变更应在变更之日起三日内通知对方。如未通知，一方按原地址送达的书面资料被退回的，退回之日视为送达之日。任何一方按照确认地址送到另一方的书面资料被拒绝签收导致邮件被退回的，退回之日视为送达之日。</w:t>
      </w:r>
    </w:p>
    <w:p>
      <w:pPr>
        <w:pStyle w:val="3"/>
        <w:pageBreakBefore w:val="0"/>
        <w:widowControl w:val="0"/>
        <w:numPr>
          <w:ilvl w:val="0"/>
          <w:numId w:val="0"/>
        </w:numPr>
        <w:kinsoku/>
        <w:wordWrap/>
        <w:overflowPunct/>
        <w:topLinePunct w:val="0"/>
        <w:autoSpaceDE/>
        <w:autoSpaceDN/>
        <w:bidi w:val="0"/>
        <w:adjustRightInd w:val="0"/>
        <w:spacing w:before="0" w:after="0" w:line="480" w:lineRule="exact"/>
        <w:ind w:firstLine="643" w:firstLineChars="200"/>
        <w:rPr>
          <w:rFonts w:hint="eastAsia" w:ascii="仿宋" w:hAnsi="仿宋" w:eastAsia="仿宋" w:cs="仿宋"/>
          <w:b/>
          <w:color w:val="auto"/>
          <w:kern w:val="2"/>
          <w:sz w:val="32"/>
          <w:szCs w:val="32"/>
          <w:lang w:val="en-US" w:eastAsia="zh-CN" w:bidi="ar-SA"/>
        </w:rPr>
      </w:pPr>
      <w:r>
        <w:rPr>
          <w:rFonts w:hint="eastAsia" w:ascii="仿宋" w:hAnsi="仿宋" w:eastAsia="仿宋" w:cs="仿宋"/>
          <w:b/>
          <w:color w:val="auto"/>
          <w:kern w:val="2"/>
          <w:sz w:val="32"/>
          <w:szCs w:val="32"/>
          <w:lang w:val="en-US" w:eastAsia="zh-CN" w:bidi="ar-SA"/>
        </w:rPr>
        <w:t>十三、廉洁条款</w:t>
      </w: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default"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13</w:t>
      </w:r>
      <w:r>
        <w:rPr>
          <w:rFonts w:hint="default" w:ascii="仿宋" w:hAnsi="仿宋" w:eastAsia="仿宋" w:cs="仿宋"/>
          <w:b w:val="0"/>
          <w:bCs/>
          <w:color w:val="auto"/>
          <w:sz w:val="32"/>
          <w:szCs w:val="32"/>
          <w:lang w:val="en-US" w:eastAsia="zh-CN"/>
        </w:rPr>
        <w:t>.1 乙方应严格遵守国家相关法律法规，涉及合同的有关业务活动必须坚持公开、公平、公正、诚信原则，不得为获取不正当利益，损害国家、集体和甲方利益。</w:t>
      </w: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eastAsia" w:ascii="仿宋" w:hAnsi="仿宋" w:eastAsia="仿宋" w:cs="仿宋"/>
          <w:b w:val="0"/>
          <w:bCs/>
          <w:color w:val="auto"/>
          <w:sz w:val="32"/>
          <w:szCs w:val="32"/>
          <w:u w:val="none"/>
          <w:lang w:val="en-US" w:eastAsia="zh-CN"/>
        </w:rPr>
      </w:pPr>
      <w:r>
        <w:rPr>
          <w:rFonts w:hint="eastAsia" w:ascii="仿宋" w:hAnsi="仿宋" w:eastAsia="仿宋" w:cs="仿宋"/>
          <w:b w:val="0"/>
          <w:bCs/>
          <w:color w:val="auto"/>
          <w:sz w:val="32"/>
          <w:szCs w:val="32"/>
          <w:u w:val="none"/>
          <w:lang w:val="en-US" w:eastAsia="zh-CN"/>
        </w:rPr>
        <w:t>13</w:t>
      </w:r>
      <w:r>
        <w:rPr>
          <w:rFonts w:hint="default" w:ascii="仿宋" w:hAnsi="仿宋" w:eastAsia="仿宋" w:cs="仿宋"/>
          <w:b w:val="0"/>
          <w:bCs/>
          <w:color w:val="auto"/>
          <w:sz w:val="32"/>
          <w:szCs w:val="32"/>
          <w:u w:val="none"/>
          <w:lang w:val="en-US" w:eastAsia="zh-CN"/>
        </w:rPr>
        <w:t>.2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pPr>
        <w:pageBreakBefore w:val="0"/>
        <w:widowControl w:val="0"/>
        <w:kinsoku/>
        <w:wordWrap/>
        <w:overflowPunct/>
        <w:topLinePunct w:val="0"/>
        <w:autoSpaceDE/>
        <w:autoSpaceDN/>
        <w:bidi w:val="0"/>
        <w:adjustRightInd w:val="0"/>
        <w:snapToGrid w:val="0"/>
        <w:spacing w:line="480" w:lineRule="exact"/>
        <w:ind w:right="0" w:firstLine="643" w:firstLineChars="200"/>
        <w:rPr>
          <w:rFonts w:hint="eastAsia" w:ascii="仿宋" w:hAnsi="仿宋" w:eastAsia="仿宋" w:cs="仿宋"/>
          <w:b/>
          <w:color w:val="auto"/>
          <w:sz w:val="32"/>
          <w:szCs w:val="32"/>
          <w:lang w:val="en-US" w:eastAsia="zh-CN"/>
        </w:rPr>
      </w:pPr>
      <w:r>
        <w:rPr>
          <w:rFonts w:hint="eastAsia" w:ascii="仿宋" w:hAnsi="仿宋" w:eastAsia="仿宋" w:cs="仿宋"/>
          <w:b/>
          <w:color w:val="auto"/>
          <w:sz w:val="32"/>
          <w:szCs w:val="32"/>
          <w:lang w:val="en-US" w:eastAsia="zh-CN"/>
        </w:rPr>
        <w:t>十四、合同的变更与解除</w:t>
      </w: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default"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14.1 如甲方因实际需要增加广告制作服务且增加金额</w:t>
      </w:r>
      <w:r>
        <w:rPr>
          <w:rFonts w:hint="eastAsia" w:ascii="仿宋" w:hAnsi="仿宋" w:eastAsia="仿宋" w:cs="仿宋"/>
          <w:b w:val="0"/>
          <w:bCs/>
          <w:color w:val="auto"/>
          <w:sz w:val="32"/>
          <w:szCs w:val="32"/>
          <w:highlight w:val="none"/>
          <w:lang w:val="en-US" w:eastAsia="zh-CN"/>
        </w:rPr>
        <w:t>不超过成交总价的10%，</w:t>
      </w:r>
      <w:r>
        <w:rPr>
          <w:rFonts w:hint="eastAsia" w:ascii="仿宋" w:hAnsi="仿宋" w:eastAsia="仿宋" w:cs="仿宋"/>
          <w:b w:val="0"/>
          <w:bCs/>
          <w:color w:val="auto"/>
          <w:sz w:val="32"/>
          <w:szCs w:val="32"/>
          <w:lang w:val="en-US" w:eastAsia="zh-CN"/>
        </w:rPr>
        <w:t>双方另行签订补充协议。本合同其他未尽事宜，经双方协商一致后可另行签订变更、补充协议。</w:t>
      </w: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14.2 如乙方出现以下情形之一时，甲方有权单方解除本合同。</w:t>
      </w: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default"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14.2.1 乙方未在甲方通知规定时间内完成广告安装制作并经甲方验收合格，逾期达到</w:t>
      </w:r>
      <w:r>
        <w:rPr>
          <w:rFonts w:hint="eastAsia" w:ascii="仿宋" w:hAnsi="仿宋" w:eastAsia="仿宋" w:cs="仿宋"/>
          <w:b w:val="0"/>
          <w:bCs/>
          <w:color w:val="auto"/>
          <w:sz w:val="32"/>
          <w:szCs w:val="32"/>
          <w:u w:val="single"/>
          <w:lang w:val="en-US" w:eastAsia="zh-CN"/>
        </w:rPr>
        <w:t>7</w:t>
      </w:r>
      <w:r>
        <w:rPr>
          <w:rFonts w:hint="eastAsia" w:ascii="仿宋" w:hAnsi="仿宋" w:eastAsia="仿宋" w:cs="仿宋"/>
          <w:b w:val="0"/>
          <w:bCs/>
          <w:color w:val="auto"/>
          <w:sz w:val="32"/>
          <w:szCs w:val="32"/>
          <w:lang w:val="en-US" w:eastAsia="zh-CN"/>
        </w:rPr>
        <w:t>日的；</w:t>
      </w: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14.2.1 乙方存在</w:t>
      </w:r>
      <w:r>
        <w:rPr>
          <w:rFonts w:hint="eastAsia" w:ascii="仿宋" w:hAnsi="仿宋" w:eastAsia="仿宋" w:cs="仿宋"/>
          <w:color w:val="auto"/>
          <w:sz w:val="32"/>
          <w:szCs w:val="32"/>
        </w:rPr>
        <w:t>偷工减料、以次充好等</w:t>
      </w:r>
      <w:r>
        <w:rPr>
          <w:rFonts w:hint="eastAsia" w:ascii="仿宋" w:hAnsi="仿宋" w:eastAsia="仿宋" w:cs="仿宋"/>
          <w:color w:val="auto"/>
          <w:sz w:val="32"/>
          <w:szCs w:val="32"/>
          <w:lang w:val="en-US" w:eastAsia="zh-CN"/>
        </w:rPr>
        <w:t>行为或提供的广告</w:t>
      </w:r>
      <w:r>
        <w:rPr>
          <w:rFonts w:hint="eastAsia" w:ascii="仿宋" w:hAnsi="仿宋" w:eastAsia="仿宋" w:cs="仿宋"/>
          <w:color w:val="auto"/>
          <w:sz w:val="32"/>
          <w:szCs w:val="32"/>
        </w:rPr>
        <w:t>材质、工艺不符合合同规定</w:t>
      </w:r>
      <w:r>
        <w:rPr>
          <w:rFonts w:hint="eastAsia" w:ascii="仿宋" w:hAnsi="仿宋" w:eastAsia="仿宋" w:cs="仿宋"/>
          <w:color w:val="auto"/>
          <w:sz w:val="32"/>
          <w:szCs w:val="32"/>
          <w:lang w:val="en-US" w:eastAsia="zh-CN"/>
        </w:rPr>
        <w:t>，经</w:t>
      </w:r>
      <w:r>
        <w:rPr>
          <w:rFonts w:hint="eastAsia" w:ascii="仿宋" w:hAnsi="仿宋" w:eastAsia="仿宋" w:cs="仿宋"/>
          <w:color w:val="auto"/>
          <w:sz w:val="32"/>
          <w:szCs w:val="32"/>
        </w:rPr>
        <w:t>甲方</w:t>
      </w:r>
      <w:r>
        <w:rPr>
          <w:rFonts w:hint="eastAsia" w:ascii="仿宋" w:hAnsi="仿宋" w:eastAsia="仿宋" w:cs="仿宋"/>
          <w:color w:val="auto"/>
          <w:sz w:val="32"/>
          <w:szCs w:val="32"/>
          <w:lang w:val="en-US" w:eastAsia="zh-CN"/>
        </w:rPr>
        <w:t>指出后拒不改正的；</w:t>
      </w: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14.3 乙方将服务转包、分包第三方的。</w:t>
      </w:r>
    </w:p>
    <w:p>
      <w:pPr>
        <w:pageBreakBefore w:val="0"/>
        <w:widowControl w:val="0"/>
        <w:numPr>
          <w:ilvl w:val="0"/>
          <w:numId w:val="0"/>
        </w:numPr>
        <w:kinsoku/>
        <w:wordWrap/>
        <w:overflowPunct/>
        <w:topLinePunct w:val="0"/>
        <w:autoSpaceDE/>
        <w:autoSpaceDN/>
        <w:bidi w:val="0"/>
        <w:adjustRightInd w:val="0"/>
        <w:snapToGrid w:val="0"/>
        <w:spacing w:line="480" w:lineRule="exact"/>
        <w:ind w:left="0" w:leftChars="0" w:right="0" w:rightChars="0" w:firstLine="643" w:firstLineChars="200"/>
        <w:rPr>
          <w:rFonts w:hint="eastAsia" w:ascii="仿宋" w:hAnsi="仿宋" w:eastAsia="仿宋" w:cs="仿宋"/>
          <w:b/>
          <w:color w:val="auto"/>
          <w:sz w:val="32"/>
          <w:szCs w:val="32"/>
          <w:lang w:val="en-US" w:eastAsia="zh-CN"/>
        </w:rPr>
      </w:pPr>
      <w:r>
        <w:rPr>
          <w:rFonts w:hint="eastAsia" w:ascii="仿宋" w:hAnsi="仿宋" w:eastAsia="仿宋" w:cs="仿宋"/>
          <w:b/>
          <w:color w:val="auto"/>
          <w:kern w:val="2"/>
          <w:sz w:val="32"/>
          <w:szCs w:val="32"/>
          <w:lang w:val="en-US" w:eastAsia="zh-CN" w:bidi="ar-SA"/>
        </w:rPr>
        <w:t>十五、</w:t>
      </w:r>
      <w:r>
        <w:rPr>
          <w:rFonts w:hint="eastAsia" w:ascii="仿宋" w:hAnsi="仿宋" w:eastAsia="仿宋" w:cs="仿宋"/>
          <w:b/>
          <w:color w:val="auto"/>
          <w:sz w:val="32"/>
          <w:szCs w:val="32"/>
          <w:lang w:val="en-US" w:eastAsia="zh-CN"/>
        </w:rPr>
        <w:t>违约责任</w:t>
      </w: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15.1 如乙方逾期完成服务，每逾期一日，应向甲方支付违约金</w:t>
      </w:r>
      <w:r>
        <w:rPr>
          <w:rFonts w:hint="eastAsia" w:ascii="仿宋" w:hAnsi="仿宋" w:eastAsia="仿宋" w:cs="仿宋"/>
          <w:color w:val="auto"/>
          <w:sz w:val="32"/>
          <w:szCs w:val="32"/>
          <w:u w:val="single"/>
          <w:lang w:val="en-US" w:eastAsia="zh-CN"/>
        </w:rPr>
        <w:t>500.00</w:t>
      </w:r>
      <w:r>
        <w:rPr>
          <w:rFonts w:hint="eastAsia" w:ascii="仿宋" w:hAnsi="仿宋" w:eastAsia="仿宋" w:cs="仿宋"/>
          <w:color w:val="auto"/>
          <w:sz w:val="32"/>
          <w:szCs w:val="32"/>
          <w:lang w:val="en-US" w:eastAsia="zh-CN"/>
        </w:rPr>
        <w:t>元。</w:t>
      </w: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15.2 如乙方擅自单方面解除合同或甲方因乙方原因解除合同，乙方除赔偿甲方由此造成的全部经济损失外，还应向甲方支付违约金</w:t>
      </w:r>
      <w:r>
        <w:rPr>
          <w:rFonts w:hint="eastAsia" w:ascii="仿宋" w:hAnsi="仿宋" w:eastAsia="仿宋" w:cs="仿宋"/>
          <w:color w:val="auto"/>
          <w:sz w:val="32"/>
          <w:szCs w:val="32"/>
          <w:u w:val="single"/>
          <w:lang w:val="en-US" w:eastAsia="zh-CN"/>
        </w:rPr>
        <w:t>100000.00</w:t>
      </w:r>
      <w:r>
        <w:rPr>
          <w:rFonts w:hint="eastAsia" w:ascii="仿宋" w:hAnsi="仿宋" w:eastAsia="仿宋" w:cs="仿宋"/>
          <w:color w:val="auto"/>
          <w:sz w:val="32"/>
          <w:szCs w:val="32"/>
          <w:lang w:val="en-US" w:eastAsia="zh-CN"/>
        </w:rPr>
        <w:t>元；本款所指“全部经济损失”包括实际经济损失、由此产生的鉴定费、诉讼费、律师费、差旅费等所有费用。</w:t>
      </w: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default" w:ascii="仿宋" w:hAnsi="仿宋" w:eastAsia="仿宋" w:cs="仿宋"/>
          <w:b w:val="0"/>
          <w:bCs w:val="0"/>
          <w:color w:val="auto"/>
          <w:kern w:val="2"/>
          <w:sz w:val="32"/>
          <w:szCs w:val="32"/>
          <w:u w:val="none"/>
          <w:lang w:val="en-US" w:eastAsia="zh-CN" w:bidi="ar-SA"/>
        </w:rPr>
      </w:pPr>
      <w:r>
        <w:rPr>
          <w:rFonts w:hint="eastAsia" w:ascii="仿宋" w:hAnsi="仿宋" w:eastAsia="仿宋" w:cs="仿宋"/>
          <w:b w:val="0"/>
          <w:bCs w:val="0"/>
          <w:color w:val="auto"/>
          <w:kern w:val="2"/>
          <w:sz w:val="32"/>
          <w:szCs w:val="32"/>
          <w:u w:val="none"/>
          <w:lang w:val="en-US" w:eastAsia="zh-CN" w:bidi="ar-SA"/>
        </w:rPr>
        <w:t>15.3 无论甲方在任意时候（不限于本合同履行期间）发现存在违反本合同廉洁条款的行为，乙方均须向甲方一次性支付惩罚性违约金100000.00元。如乙方除需承担违反廉洁条款的违约责任外，同时存在其他违约行为，乙方仍须就其他违约行为承担相应违约责任。</w:t>
      </w: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15.4 因不可抗力导致合同无法履行的，不承担违约责任，但不可抗力因素消除后应当立即恢复履行。</w:t>
      </w:r>
    </w:p>
    <w:p>
      <w:pPr>
        <w:pageBreakBefore w:val="0"/>
        <w:widowControl w:val="0"/>
        <w:kinsoku/>
        <w:wordWrap/>
        <w:overflowPunct/>
        <w:topLinePunct w:val="0"/>
        <w:autoSpaceDE/>
        <w:autoSpaceDN/>
        <w:bidi w:val="0"/>
        <w:adjustRightInd w:val="0"/>
        <w:snapToGrid w:val="0"/>
        <w:spacing w:line="480" w:lineRule="exact"/>
        <w:ind w:right="0" w:firstLine="643" w:firstLineChars="200"/>
        <w:rPr>
          <w:rFonts w:hint="eastAsia" w:ascii="仿宋" w:hAnsi="仿宋" w:eastAsia="仿宋" w:cs="仿宋"/>
          <w:b/>
          <w:color w:val="auto"/>
          <w:sz w:val="32"/>
          <w:szCs w:val="32"/>
        </w:rPr>
      </w:pPr>
      <w:r>
        <w:rPr>
          <w:rFonts w:hint="eastAsia" w:ascii="仿宋" w:hAnsi="仿宋" w:eastAsia="仿宋" w:cs="仿宋"/>
          <w:b/>
          <w:color w:val="auto"/>
          <w:sz w:val="32"/>
          <w:szCs w:val="32"/>
          <w:lang w:val="en-US" w:eastAsia="zh-CN"/>
        </w:rPr>
        <w:t>十六</w:t>
      </w:r>
      <w:r>
        <w:rPr>
          <w:rFonts w:hint="eastAsia" w:ascii="仿宋" w:hAnsi="仿宋" w:eastAsia="仿宋" w:cs="仿宋"/>
          <w:b/>
          <w:color w:val="auto"/>
          <w:sz w:val="32"/>
          <w:szCs w:val="32"/>
        </w:rPr>
        <w:t>、争议解决办法</w:t>
      </w: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如双方在履行本合同过程中发生争议，双方应先协商解决，协商解决不成的，任一方均可向甲方所在地有管辖权的人民法院提起诉讼解决。</w:t>
      </w:r>
    </w:p>
    <w:p>
      <w:pPr>
        <w:pageBreakBefore w:val="0"/>
        <w:widowControl w:val="0"/>
        <w:kinsoku/>
        <w:wordWrap/>
        <w:overflowPunct/>
        <w:topLinePunct w:val="0"/>
        <w:autoSpaceDE/>
        <w:autoSpaceDN/>
        <w:bidi w:val="0"/>
        <w:adjustRightInd w:val="0"/>
        <w:snapToGrid w:val="0"/>
        <w:spacing w:line="480" w:lineRule="exact"/>
        <w:ind w:right="0" w:firstLine="643" w:firstLineChars="200"/>
        <w:rPr>
          <w:rFonts w:hint="default" w:ascii="仿宋" w:hAnsi="仿宋" w:eastAsia="仿宋" w:cs="仿宋"/>
          <w:color w:val="auto"/>
          <w:sz w:val="32"/>
          <w:szCs w:val="32"/>
          <w:lang w:val="en-US" w:eastAsia="zh-CN"/>
        </w:rPr>
      </w:pPr>
      <w:r>
        <w:rPr>
          <w:rFonts w:hint="eastAsia" w:ascii="仿宋" w:hAnsi="仿宋" w:eastAsia="仿宋" w:cs="仿宋"/>
          <w:b/>
          <w:color w:val="auto"/>
          <w:sz w:val="32"/>
          <w:szCs w:val="32"/>
          <w:lang w:val="en-US" w:eastAsia="zh-CN"/>
        </w:rPr>
        <w:t>十七</w:t>
      </w:r>
      <w:r>
        <w:rPr>
          <w:rFonts w:hint="eastAsia" w:ascii="仿宋" w:hAnsi="仿宋" w:eastAsia="仿宋" w:cs="仿宋"/>
          <w:b/>
          <w:color w:val="auto"/>
          <w:sz w:val="32"/>
          <w:szCs w:val="32"/>
        </w:rPr>
        <w:t>、</w:t>
      </w:r>
      <w:r>
        <w:rPr>
          <w:rFonts w:hint="eastAsia" w:ascii="仿宋" w:hAnsi="仿宋" w:eastAsia="仿宋" w:cs="仿宋"/>
          <w:b/>
          <w:color w:val="auto"/>
          <w:sz w:val="32"/>
          <w:szCs w:val="32"/>
          <w:lang w:val="en-US" w:eastAsia="zh-CN"/>
        </w:rPr>
        <w:t>附则</w:t>
      </w: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17.1 经甲方确认的设计施工方案、样品、乙方投标报价清单等作为本合同附件。</w:t>
      </w: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17.2 本合同组成文件和优先解释顺序：本合同补充协议；本合同及附件；议价结果公示；响应文件；采购文件；其他与本合同有关的资料。</w:t>
      </w:r>
    </w:p>
    <w:p>
      <w:pPr>
        <w:pageBreakBefore w:val="0"/>
        <w:widowControl w:val="0"/>
        <w:kinsoku/>
        <w:wordWrap/>
        <w:overflowPunct/>
        <w:topLinePunct w:val="0"/>
        <w:autoSpaceDE/>
        <w:autoSpaceDN/>
        <w:bidi w:val="0"/>
        <w:adjustRightInd w:val="0"/>
        <w:snapToGrid w:val="0"/>
        <w:spacing w:line="480" w:lineRule="exact"/>
        <w:ind w:right="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 xml:space="preserve">17.3 </w:t>
      </w:r>
      <w:r>
        <w:rPr>
          <w:rFonts w:hint="eastAsia" w:ascii="仿宋" w:hAnsi="仿宋" w:eastAsia="仿宋" w:cs="仿宋"/>
          <w:color w:val="auto"/>
          <w:sz w:val="32"/>
          <w:szCs w:val="32"/>
        </w:rPr>
        <w:t>本合同一式</w:t>
      </w:r>
      <w:r>
        <w:rPr>
          <w:rFonts w:hint="eastAsia" w:ascii="仿宋" w:hAnsi="仿宋" w:eastAsia="仿宋" w:cs="仿宋"/>
          <w:color w:val="auto"/>
          <w:sz w:val="32"/>
          <w:szCs w:val="32"/>
          <w:lang w:val="en-US" w:eastAsia="zh-CN"/>
        </w:rPr>
        <w:t>肆</w:t>
      </w:r>
      <w:r>
        <w:rPr>
          <w:rFonts w:hint="eastAsia" w:ascii="仿宋" w:hAnsi="仿宋" w:eastAsia="仿宋" w:cs="仿宋"/>
          <w:color w:val="auto"/>
          <w:sz w:val="32"/>
          <w:szCs w:val="32"/>
        </w:rPr>
        <w:t>份，甲方</w:t>
      </w:r>
      <w:r>
        <w:rPr>
          <w:rFonts w:hint="eastAsia" w:ascii="仿宋" w:hAnsi="仿宋" w:eastAsia="仿宋" w:cs="仿宋"/>
          <w:color w:val="auto"/>
          <w:sz w:val="32"/>
          <w:szCs w:val="32"/>
          <w:lang w:val="en-US" w:eastAsia="zh-CN"/>
        </w:rPr>
        <w:t>执叁</w:t>
      </w:r>
      <w:r>
        <w:rPr>
          <w:rFonts w:hint="eastAsia" w:ascii="仿宋" w:hAnsi="仿宋" w:eastAsia="仿宋" w:cs="仿宋"/>
          <w:color w:val="auto"/>
          <w:sz w:val="32"/>
          <w:szCs w:val="32"/>
        </w:rPr>
        <w:t>份</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乙方</w:t>
      </w:r>
      <w:r>
        <w:rPr>
          <w:rFonts w:hint="eastAsia" w:ascii="仿宋" w:hAnsi="仿宋" w:eastAsia="仿宋" w:cs="仿宋"/>
          <w:color w:val="auto"/>
          <w:sz w:val="32"/>
          <w:szCs w:val="32"/>
          <w:lang w:val="en-US" w:eastAsia="zh-CN"/>
        </w:rPr>
        <w:t>执</w:t>
      </w:r>
      <w:r>
        <w:rPr>
          <w:rFonts w:hint="eastAsia" w:ascii="仿宋" w:hAnsi="仿宋" w:eastAsia="仿宋" w:cs="仿宋"/>
          <w:color w:val="auto"/>
          <w:sz w:val="32"/>
          <w:szCs w:val="32"/>
        </w:rPr>
        <w:t>壹份，</w:t>
      </w:r>
      <w:r>
        <w:rPr>
          <w:rFonts w:hint="eastAsia" w:ascii="仿宋" w:hAnsi="仿宋" w:eastAsia="仿宋" w:cs="仿宋"/>
          <w:color w:val="auto"/>
          <w:sz w:val="32"/>
          <w:szCs w:val="32"/>
          <w:lang w:val="en-US" w:eastAsia="zh-CN"/>
        </w:rPr>
        <w:t>自双方签字并盖章之日起生效。</w:t>
      </w:r>
    </w:p>
    <w:p>
      <w:pPr>
        <w:keepNext w:val="0"/>
        <w:keepLines w:val="0"/>
        <w:pageBreakBefore w:val="0"/>
        <w:widowControl w:val="0"/>
        <w:kinsoku/>
        <w:wordWrap/>
        <w:overflowPunct/>
        <w:topLinePunct w:val="0"/>
        <w:autoSpaceDE/>
        <w:autoSpaceDN/>
        <w:bidi w:val="0"/>
        <w:adjustRightInd w:val="0"/>
        <w:snapToGrid w:val="0"/>
        <w:spacing w:line="480" w:lineRule="exact"/>
        <w:ind w:right="0" w:firstLine="160" w:firstLineChars="50"/>
        <w:textAlignment w:val="auto"/>
        <w:rPr>
          <w:rFonts w:hint="eastAsia" w:ascii="仿宋" w:hAnsi="仿宋" w:eastAsia="仿宋" w:cs="仿宋"/>
          <w:color w:val="auto"/>
          <w:sz w:val="32"/>
          <w:szCs w:val="32"/>
        </w:rPr>
      </w:pPr>
    </w:p>
    <w:p>
      <w:pPr>
        <w:keepNext w:val="0"/>
        <w:keepLines w:val="0"/>
        <w:pageBreakBefore w:val="0"/>
        <w:widowControl w:val="0"/>
        <w:kinsoku/>
        <w:wordWrap/>
        <w:overflowPunct/>
        <w:topLinePunct w:val="0"/>
        <w:autoSpaceDE/>
        <w:autoSpaceDN/>
        <w:bidi w:val="0"/>
        <w:spacing w:line="480" w:lineRule="exact"/>
        <w:ind w:right="0" w:firstLine="160" w:firstLineChars="5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甲方（盖章）：</w:t>
      </w:r>
      <w:r>
        <w:rPr>
          <w:rFonts w:hint="eastAsia" w:ascii="仿宋" w:hAnsi="仿宋" w:eastAsia="仿宋" w:cs="仿宋"/>
          <w:color w:val="auto"/>
          <w:sz w:val="32"/>
          <w:szCs w:val="32"/>
          <w:lang w:val="en-US" w:eastAsia="zh-CN"/>
        </w:rPr>
        <w:t>娄底市中心医院</w:t>
      </w:r>
      <w:r>
        <w:rPr>
          <w:rFonts w:hint="eastAsia" w:ascii="仿宋" w:hAnsi="仿宋" w:eastAsia="仿宋" w:cs="仿宋"/>
          <w:color w:val="auto"/>
          <w:sz w:val="32"/>
          <w:szCs w:val="32"/>
        </w:rPr>
        <w:t xml:space="preserve">     乙方（盖章）：</w:t>
      </w:r>
    </w:p>
    <w:p>
      <w:pPr>
        <w:keepNext w:val="0"/>
        <w:keepLines w:val="0"/>
        <w:pageBreakBefore w:val="0"/>
        <w:widowControl w:val="0"/>
        <w:kinsoku/>
        <w:wordWrap/>
        <w:overflowPunct/>
        <w:topLinePunct w:val="0"/>
        <w:autoSpaceDE/>
        <w:autoSpaceDN/>
        <w:bidi w:val="0"/>
        <w:spacing w:line="480" w:lineRule="exact"/>
        <w:ind w:right="0" w:firstLine="160" w:firstLineChars="50"/>
        <w:textAlignment w:val="auto"/>
        <w:rPr>
          <w:rFonts w:hint="eastAsia" w:ascii="仿宋" w:hAnsi="仿宋" w:eastAsia="仿宋" w:cs="仿宋"/>
          <w:color w:val="auto"/>
          <w:sz w:val="32"/>
          <w:szCs w:val="32"/>
        </w:rPr>
      </w:pPr>
    </w:p>
    <w:p>
      <w:pPr>
        <w:keepNext w:val="0"/>
        <w:keepLines w:val="0"/>
        <w:pageBreakBefore w:val="0"/>
        <w:widowControl w:val="0"/>
        <w:kinsoku/>
        <w:wordWrap/>
        <w:overflowPunct/>
        <w:topLinePunct w:val="0"/>
        <w:autoSpaceDE/>
        <w:autoSpaceDN/>
        <w:bidi w:val="0"/>
        <w:spacing w:line="480" w:lineRule="exact"/>
        <w:ind w:right="0" w:firstLine="160" w:firstLineChars="5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法定代表人（签字）：             法定代表人（签字）：</w:t>
      </w:r>
    </w:p>
    <w:p>
      <w:pPr>
        <w:keepNext w:val="0"/>
        <w:keepLines w:val="0"/>
        <w:pageBreakBefore w:val="0"/>
        <w:widowControl w:val="0"/>
        <w:kinsoku/>
        <w:wordWrap/>
        <w:overflowPunct/>
        <w:topLinePunct w:val="0"/>
        <w:autoSpaceDE/>
        <w:autoSpaceDN/>
        <w:bidi w:val="0"/>
        <w:spacing w:line="480" w:lineRule="exact"/>
        <w:ind w:right="0" w:firstLine="160" w:firstLineChars="50"/>
        <w:textAlignment w:val="auto"/>
        <w:rPr>
          <w:rFonts w:hint="eastAsia" w:ascii="仿宋" w:hAnsi="仿宋" w:eastAsia="仿宋" w:cs="仿宋"/>
          <w:color w:val="auto"/>
          <w:sz w:val="32"/>
          <w:szCs w:val="32"/>
        </w:rPr>
      </w:pPr>
    </w:p>
    <w:p>
      <w:pPr>
        <w:keepNext w:val="0"/>
        <w:keepLines w:val="0"/>
        <w:pageBreakBefore w:val="0"/>
        <w:widowControl w:val="0"/>
        <w:kinsoku/>
        <w:wordWrap/>
        <w:overflowPunct/>
        <w:topLinePunct w:val="0"/>
        <w:autoSpaceDE/>
        <w:autoSpaceDN/>
        <w:bidi w:val="0"/>
        <w:spacing w:line="480" w:lineRule="exact"/>
        <w:ind w:right="0" w:firstLine="160" w:firstLineChars="5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或</w:t>
      </w:r>
      <w:r>
        <w:rPr>
          <w:rFonts w:hint="eastAsia" w:ascii="仿宋" w:hAnsi="仿宋" w:eastAsia="仿宋" w:cs="仿宋"/>
          <w:color w:val="auto"/>
          <w:sz w:val="32"/>
          <w:szCs w:val="32"/>
        </w:rPr>
        <w:t xml:space="preserve">委托代理人（签字）：           </w:t>
      </w:r>
      <w:r>
        <w:rPr>
          <w:rFonts w:hint="eastAsia" w:ascii="仿宋" w:hAnsi="仿宋" w:eastAsia="仿宋" w:cs="仿宋"/>
          <w:color w:val="auto"/>
          <w:sz w:val="32"/>
          <w:szCs w:val="32"/>
          <w:lang w:val="en-US" w:eastAsia="zh-CN"/>
        </w:rPr>
        <w:t>或</w:t>
      </w:r>
      <w:r>
        <w:rPr>
          <w:rFonts w:hint="eastAsia" w:ascii="仿宋" w:hAnsi="仿宋" w:eastAsia="仿宋" w:cs="仿宋"/>
          <w:color w:val="auto"/>
          <w:sz w:val="32"/>
          <w:szCs w:val="32"/>
        </w:rPr>
        <w:t>委托代理人（签字）：</w:t>
      </w:r>
    </w:p>
    <w:p>
      <w:pPr>
        <w:keepNext w:val="0"/>
        <w:keepLines w:val="0"/>
        <w:pageBreakBefore w:val="0"/>
        <w:widowControl w:val="0"/>
        <w:kinsoku/>
        <w:wordWrap/>
        <w:overflowPunct/>
        <w:topLinePunct w:val="0"/>
        <w:autoSpaceDE/>
        <w:autoSpaceDN/>
        <w:bidi w:val="0"/>
        <w:spacing w:line="480" w:lineRule="exact"/>
        <w:ind w:right="0" w:firstLine="160" w:firstLineChars="50"/>
        <w:textAlignment w:val="auto"/>
        <w:rPr>
          <w:rFonts w:hint="eastAsia" w:ascii="仿宋" w:hAnsi="仿宋" w:eastAsia="仿宋" w:cs="仿宋"/>
          <w:color w:val="auto"/>
          <w:sz w:val="32"/>
          <w:szCs w:val="32"/>
          <w:lang w:val="en-US" w:eastAsia="zh-CN"/>
        </w:rPr>
      </w:pPr>
    </w:p>
    <w:p>
      <w:pPr>
        <w:keepNext w:val="0"/>
        <w:keepLines w:val="0"/>
        <w:pageBreakBefore w:val="0"/>
        <w:widowControl w:val="0"/>
        <w:kinsoku/>
        <w:wordWrap/>
        <w:overflowPunct/>
        <w:topLinePunct w:val="0"/>
        <w:autoSpaceDE/>
        <w:autoSpaceDN/>
        <w:bidi w:val="0"/>
        <w:spacing w:line="480" w:lineRule="exact"/>
        <w:ind w:right="0" w:firstLine="160" w:firstLineChars="50"/>
        <w:textAlignment w:val="auto"/>
      </w:pPr>
      <w:r>
        <w:rPr>
          <w:rFonts w:hint="eastAsia" w:ascii="仿宋" w:hAnsi="仿宋" w:eastAsia="仿宋" w:cs="仿宋"/>
          <w:color w:val="auto"/>
          <w:sz w:val="32"/>
          <w:szCs w:val="32"/>
          <w:lang w:val="en-US" w:eastAsia="zh-CN"/>
        </w:rPr>
        <w:t>协议签订地履行地：娄底市娄星区</w:t>
      </w: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订时间：  </w:t>
      </w:r>
      <w:r>
        <w:rPr>
          <w:rFonts w:hint="eastAsia" w:ascii="仿宋" w:hAnsi="仿宋" w:eastAsia="仿宋" w:cs="仿宋"/>
          <w:color w:val="auto"/>
          <w:sz w:val="32"/>
          <w:szCs w:val="32"/>
        </w:rPr>
        <w:t>年  月  日</w:t>
      </w:r>
    </w:p>
    <w:p/>
    <w:p/>
    <w:p/>
    <w:sectPr>
      <w:headerReference r:id="rId5" w:type="default"/>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8280" w:hanging="8280" w:hangingChars="4600"/>
      <w:jc w:val="both"/>
      <w:rPr>
        <w:rFonts w:hint="eastAsia"/>
      </w:rPr>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EBE52CF"/>
    <w:multiLevelType w:val="singleLevel"/>
    <w:tmpl w:val="DEBE52CF"/>
    <w:lvl w:ilvl="0" w:tentative="0">
      <w:start w:val="2"/>
      <w:numFmt w:val="decimal"/>
      <w:suff w:val="nothing"/>
      <w:lvlText w:val="（%1）"/>
      <w:lvlJc w:val="left"/>
    </w:lvl>
  </w:abstractNum>
  <w:abstractNum w:abstractNumId="3">
    <w:nsid w:val="DFCC3393"/>
    <w:multiLevelType w:val="singleLevel"/>
    <w:tmpl w:val="DFCC3393"/>
    <w:lvl w:ilvl="0" w:tentative="0">
      <w:start w:val="6"/>
      <w:numFmt w:val="chineseCounting"/>
      <w:suff w:val="nothing"/>
      <w:lvlText w:val="第%1部分、"/>
      <w:lvlJc w:val="left"/>
      <w:rPr>
        <w:rFonts w:hint="eastAsia"/>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33E46D19"/>
    <w:rsid w:val="0A245FF9"/>
    <w:rsid w:val="0A6C019B"/>
    <w:rsid w:val="0B0768A4"/>
    <w:rsid w:val="0C5A0913"/>
    <w:rsid w:val="11A622AD"/>
    <w:rsid w:val="16777D74"/>
    <w:rsid w:val="18B53C27"/>
    <w:rsid w:val="1CF2763D"/>
    <w:rsid w:val="23DE7685"/>
    <w:rsid w:val="29514455"/>
    <w:rsid w:val="2AE65071"/>
    <w:rsid w:val="2D0210E4"/>
    <w:rsid w:val="2F245316"/>
    <w:rsid w:val="335214F5"/>
    <w:rsid w:val="33E46D19"/>
    <w:rsid w:val="3BFA5677"/>
    <w:rsid w:val="3DC2196D"/>
    <w:rsid w:val="3DCB0822"/>
    <w:rsid w:val="43B104BA"/>
    <w:rsid w:val="44DD13F1"/>
    <w:rsid w:val="461D5993"/>
    <w:rsid w:val="46C027C2"/>
    <w:rsid w:val="47AC5370"/>
    <w:rsid w:val="47C702AC"/>
    <w:rsid w:val="4EB1136E"/>
    <w:rsid w:val="57E74053"/>
    <w:rsid w:val="5AB87F28"/>
    <w:rsid w:val="658C2947"/>
    <w:rsid w:val="66AA2E1B"/>
    <w:rsid w:val="69E71C90"/>
    <w:rsid w:val="754169AD"/>
    <w:rsid w:val="7E423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4">
    <w:name w:val="Default Paragraph Font"/>
    <w:semiHidden/>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Cs w:val="21"/>
    </w:rPr>
  </w:style>
  <w:style w:type="paragraph" w:styleId="5">
    <w:name w:val="Body Text Indent"/>
    <w:basedOn w:val="1"/>
    <w:next w:val="6"/>
    <w:qFormat/>
    <w:uiPriority w:val="99"/>
    <w:pPr>
      <w:spacing w:line="400" w:lineRule="exact"/>
      <w:ind w:left="630"/>
    </w:pPr>
    <w:rPr>
      <w:rFonts w:ascii="楷体_GB2312"/>
      <w:sz w:val="30"/>
      <w:szCs w:val="30"/>
    </w:rPr>
  </w:style>
  <w:style w:type="paragraph" w:styleId="6">
    <w:name w:val="Body Text First Indent 2"/>
    <w:basedOn w:val="5"/>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2"/>
    <w:basedOn w:val="1"/>
    <w:qFormat/>
    <w:uiPriority w:val="0"/>
    <w:pPr>
      <w:spacing w:after="120" w:line="480" w:lineRule="auto"/>
    </w:pPr>
  </w:style>
  <w:style w:type="paragraph" w:styleId="11">
    <w:name w:val="Normal (Web)"/>
    <w:basedOn w:val="1"/>
    <w:qFormat/>
    <w:uiPriority w:val="0"/>
    <w:rPr>
      <w:sz w:val="24"/>
    </w:rPr>
  </w:style>
  <w:style w:type="table" w:styleId="13">
    <w:name w:val="Table Grid"/>
    <w:basedOn w:val="12"/>
    <w:qFormat/>
    <w:uiPriority w:val="59"/>
    <w:pPr>
      <w:widowControl w:val="0"/>
      <w:jc w:val="both"/>
    </w:pPr>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basedOn w:val="14"/>
    <w:qFormat/>
    <w:uiPriority w:val="0"/>
    <w:rPr>
      <w:b/>
    </w:rPr>
  </w:style>
  <w:style w:type="character" w:styleId="16">
    <w:name w:val="page number"/>
    <w:basedOn w:val="14"/>
    <w:qFormat/>
    <w:uiPriority w:val="0"/>
  </w:style>
  <w:style w:type="paragraph" w:customStyle="1" w:styleId="17">
    <w:name w:val="Default"/>
    <w:next w:val="18"/>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8">
    <w:name w:val="大标题"/>
    <w:basedOn w:val="1"/>
    <w:next w:val="6"/>
    <w:qFormat/>
    <w:uiPriority w:val="0"/>
    <w:pPr>
      <w:jc w:val="center"/>
    </w:pPr>
    <w:rPr>
      <w:rFonts w:ascii="Arial" w:hAnsi="Arial" w:eastAsia="宋体"/>
      <w:b/>
      <w:sz w:val="28"/>
      <w:szCs w:val="24"/>
    </w:rPr>
  </w:style>
  <w:style w:type="paragraph" w:customStyle="1" w:styleId="19">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20">
    <w:name w:val="列出段落1"/>
    <w:basedOn w:val="1"/>
    <w:qFormat/>
    <w:uiPriority w:val="99"/>
    <w:pPr>
      <w:ind w:firstLine="420" w:firstLineChars="200"/>
    </w:pPr>
  </w:style>
  <w:style w:type="paragraph" w:customStyle="1" w:styleId="21">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22">
    <w:name w:val="List Paragraph"/>
    <w:basedOn w:val="1"/>
    <w:qFormat/>
    <w:uiPriority w:val="34"/>
    <w:pPr>
      <w:ind w:firstLine="420" w:firstLineChars="200"/>
    </w:pPr>
    <w:rPr>
      <w:rFonts w:ascii="Calibri" w:hAnsi="Calibri"/>
      <w:szCs w:val="22"/>
    </w:rPr>
  </w:style>
  <w:style w:type="character" w:customStyle="1" w:styleId="23">
    <w:name w:val="font11"/>
    <w:basedOn w:val="14"/>
    <w:qFormat/>
    <w:uiPriority w:val="0"/>
    <w:rPr>
      <w:rFonts w:hint="eastAsia" w:ascii="宋体" w:hAnsi="宋体" w:eastAsia="宋体" w:cs="宋体"/>
      <w:color w:val="000000"/>
      <w:sz w:val="21"/>
      <w:szCs w:val="21"/>
      <w:u w:val="none"/>
    </w:rPr>
  </w:style>
  <w:style w:type="character" w:customStyle="1" w:styleId="24">
    <w:name w:val="font21"/>
    <w:basedOn w:val="14"/>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5" Type="http://schemas.openxmlformats.org/officeDocument/2006/relationships/fontTable" Target="fontTable.xml"/><Relationship Id="rId54" Type="http://schemas.openxmlformats.org/officeDocument/2006/relationships/numbering" Target="numbering.xml"/><Relationship Id="rId53" Type="http://schemas.openxmlformats.org/officeDocument/2006/relationships/image" Target="media/image46.png"/><Relationship Id="rId52" Type="http://schemas.openxmlformats.org/officeDocument/2006/relationships/image" Target="media/image45.png"/><Relationship Id="rId51" Type="http://schemas.openxmlformats.org/officeDocument/2006/relationships/image" Target="media/image44.png"/><Relationship Id="rId50" Type="http://schemas.openxmlformats.org/officeDocument/2006/relationships/image" Target="media/image43.png"/><Relationship Id="rId5" Type="http://schemas.openxmlformats.org/officeDocument/2006/relationships/header" Target="header2.xml"/><Relationship Id="rId49" Type="http://schemas.openxmlformats.org/officeDocument/2006/relationships/image" Target="media/image42.png"/><Relationship Id="rId48" Type="http://schemas.openxmlformats.org/officeDocument/2006/relationships/image" Target="media/image41.png"/><Relationship Id="rId47" Type="http://schemas.openxmlformats.org/officeDocument/2006/relationships/image" Target="media/image40.png"/><Relationship Id="rId46" Type="http://schemas.openxmlformats.org/officeDocument/2006/relationships/image" Target="media/image39.png"/><Relationship Id="rId45" Type="http://schemas.openxmlformats.org/officeDocument/2006/relationships/image" Target="media/image38.png"/><Relationship Id="rId44" Type="http://schemas.openxmlformats.org/officeDocument/2006/relationships/image" Target="media/image37.png"/><Relationship Id="rId43" Type="http://schemas.openxmlformats.org/officeDocument/2006/relationships/image" Target="media/image36.png"/><Relationship Id="rId42" Type="http://schemas.openxmlformats.org/officeDocument/2006/relationships/image" Target="media/image35.png"/><Relationship Id="rId41" Type="http://schemas.openxmlformats.org/officeDocument/2006/relationships/image" Target="media/image34.png"/><Relationship Id="rId40" Type="http://schemas.openxmlformats.org/officeDocument/2006/relationships/image" Target="media/image33.png"/><Relationship Id="rId4" Type="http://schemas.openxmlformats.org/officeDocument/2006/relationships/footer" Target="footer1.xml"/><Relationship Id="rId39" Type="http://schemas.openxmlformats.org/officeDocument/2006/relationships/image" Target="media/image32.png"/><Relationship Id="rId38" Type="http://schemas.openxmlformats.org/officeDocument/2006/relationships/image" Target="media/image31.png"/><Relationship Id="rId37" Type="http://schemas.openxmlformats.org/officeDocument/2006/relationships/image" Target="media/image30.png"/><Relationship Id="rId36" Type="http://schemas.openxmlformats.org/officeDocument/2006/relationships/image" Target="media/image29.png"/><Relationship Id="rId35" Type="http://schemas.openxmlformats.org/officeDocument/2006/relationships/image" Target="media/image28.png"/><Relationship Id="rId34" Type="http://schemas.openxmlformats.org/officeDocument/2006/relationships/image" Target="media/image27.png"/><Relationship Id="rId33" Type="http://schemas.openxmlformats.org/officeDocument/2006/relationships/image" Target="media/image26.png"/><Relationship Id="rId32" Type="http://schemas.openxmlformats.org/officeDocument/2006/relationships/image" Target="media/image25.png"/><Relationship Id="rId31" Type="http://schemas.openxmlformats.org/officeDocument/2006/relationships/image" Target="media/image24.png"/><Relationship Id="rId30" Type="http://schemas.openxmlformats.org/officeDocument/2006/relationships/image" Target="media/image23.png"/><Relationship Id="rId3" Type="http://schemas.openxmlformats.org/officeDocument/2006/relationships/header" Target="header1.xml"/><Relationship Id="rId29" Type="http://schemas.openxmlformats.org/officeDocument/2006/relationships/image" Target="media/image22.png"/><Relationship Id="rId28" Type="http://schemas.openxmlformats.org/officeDocument/2006/relationships/image" Target="media/image21.png"/><Relationship Id="rId27" Type="http://schemas.openxmlformats.org/officeDocument/2006/relationships/image" Target="media/image20.png"/><Relationship Id="rId26" Type="http://schemas.openxmlformats.org/officeDocument/2006/relationships/image" Target="media/image19.png"/><Relationship Id="rId25" Type="http://schemas.openxmlformats.org/officeDocument/2006/relationships/image" Target="media/image18.png"/><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10425</Words>
  <Characters>11384</Characters>
  <Lines>0</Lines>
  <Paragraphs>0</Paragraphs>
  <TotalTime>2</TotalTime>
  <ScaleCrop>false</ScaleCrop>
  <LinksUpToDate>false</LinksUpToDate>
  <CharactersWithSpaces>15993</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2024-05-07T03:34:00Z</dcterms:created>
  <dc:creator>是小豹子</dc:creator>
  <cp:lastModifiedBy>是小豹子</cp:lastModifiedBy>
  <cp:lastPrinted>2024-05-14T09:35:00Z</cp:lastPrinted>
  <dcterms:modified xsi:type="dcterms:W3CDTF">2024-05-17T00:28:49Z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3FE2EAE665284A9EB516788263AA93C6_11</vt:lpwstr>
  </property>
</Properties>
</file>