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hint="eastAsia" w:ascii="Arial" w:hAnsi="Arial" w:eastAsia="方正小标宋简体" w:cs="Arial"/>
          <w:color w:val="auto"/>
          <w:sz w:val="72"/>
          <w:szCs w:val="72"/>
          <w:lang w:eastAsia="zh-CN"/>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（PT训练床等一批医院公开挂网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PT训练床等一批</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PT训练床等一批</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3"/>
        <w:rPr>
          <w:rFonts w:hint="eastAsia"/>
          <w:lang w:val="en-US" w:eastAsia="zh-CN"/>
        </w:rPr>
      </w:pPr>
    </w:p>
    <w:p>
      <w:pPr>
        <w:pStyle w:val="13"/>
        <w:jc w:val="both"/>
        <w:rPr>
          <w:rFonts w:hint="default"/>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pPr>
        <w:pStyle w:val="13"/>
        <w:rPr>
          <w:rFonts w:hint="eastAsia" w:ascii="宋体" w:hAnsi="宋体" w:cs="宋体"/>
          <w:b/>
          <w:bCs/>
          <w:color w:val="auto"/>
          <w:sz w:val="44"/>
          <w:szCs w:val="44"/>
          <w:lang w:val="en-US" w:eastAsia="zh-CN"/>
        </w:rPr>
      </w:pPr>
    </w:p>
    <w:p>
      <w:pPr>
        <w:pStyle w:val="5"/>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pStyle w:val="11"/>
        <w:rPr>
          <w:rFonts w:hint="eastAsia"/>
          <w:lang w:val="en-US" w:eastAsia="zh-CN"/>
        </w:rPr>
      </w:pPr>
    </w:p>
    <w:p>
      <w:pPr>
        <w:pStyle w:val="2"/>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ascii="宋体" w:hAnsi="宋体" w:cs="宋体"/>
          <w:b/>
          <w:bCs/>
          <w:color w:val="auto"/>
          <w:sz w:val="44"/>
          <w:szCs w:val="44"/>
          <w:lang w:val="en-US" w:eastAsia="zh-CN"/>
        </w:rPr>
      </w:pP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842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189"/>
        <w:gridCol w:w="2280"/>
        <w:gridCol w:w="1872"/>
        <w:gridCol w:w="1460"/>
        <w:gridCol w:w="16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价（元）</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PT训练床</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4200</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PT凳</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2400</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4人站立架</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3800</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781" w:hRule="atLeast"/>
          <w:jc w:val="center"/>
        </w:trPr>
        <w:tc>
          <w:tcPr>
            <w:tcW w:w="1189"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28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872"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p>
        </w:tc>
        <w:tc>
          <w:tcPr>
            <w:tcW w:w="146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10400</w:t>
            </w:r>
          </w:p>
        </w:tc>
        <w:tc>
          <w:tcPr>
            <w:tcW w:w="162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1、PT训练床（4张）</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1.1、构型式：床面、床架、垫子</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1.2、材质：静电喷塑架、凹凸革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1.3、参考规格(cm)：≥191×121×53.5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1.4、参考床面尺寸(长×宽)cm：≥190×122</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1.5、额定载荷：≥135.0kg</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1.6、用于治疗师对患者进行PT治疗时用床</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2、PT凳（4条）</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2.1、规格：坐面长宽不低于58cm。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2.2、用途：治疗师座椅，高度可调。调节高度不低于10cm。</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3、4人站立架（1个）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3.1、规格：≥130×130×105cm；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3.2、结构形式：台面、肘部垫、臀部垫和绑带、膝部垫、支架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3.3、材质：木板、静电喷塑架、凹凸革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3.4、肘部垫宽度cm：≥40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3.5、肘部垫额定承载质量kg：≥80</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3.6、臀部垫和绑带额定承载质量kg：≥135</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3.7、桌面为木制，木件表面油漆5º；</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3.8、绑带最大负载重量不低于135kg，用于截瘫、脑瘫等站立功能有障碍的患者进行站立训练也可以预防骨质疏松，心肺功能降低等。</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年后支付10%余款给乙方。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年，终身维修。验收时出具原厂售后质保承诺书，质保期内每年巡检一次，并提交巡检记录。质保期内出现故障，1小时响应，响应后24小时上门服务。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2、“三证合一”或“五证合一”营业执照，医疗器械经营许可证或医疗器械经营备案凭证（按法律规定提供证件）、生产厂家营业执照、生产许可证（按法律规定需提供）、产品注册证（按法律规定需提供）；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PT训练床等一批</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PT训练床等一批</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jc w:val="cente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rPr>
              <w:t>PT训练床</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center"/>
          </w:tcPr>
          <w:p>
            <w:pPr>
              <w:jc w:val="cente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b w:val="0"/>
                <w:bCs w:val="0"/>
                <w:sz w:val="28"/>
                <w:szCs w:val="28"/>
                <w:lang w:val="en-US" w:eastAsia="zh-CN"/>
              </w:rPr>
              <w:t>4</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jc w:val="cente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sz w:val="28"/>
                <w:szCs w:val="28"/>
              </w:rPr>
              <w:t>PT凳</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center"/>
          </w:tcPr>
          <w:p>
            <w:pPr>
              <w:jc w:val="cente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b w:val="0"/>
                <w:bCs w:val="0"/>
                <w:sz w:val="28"/>
                <w:szCs w:val="28"/>
                <w:lang w:val="en-US" w:eastAsia="zh-CN"/>
              </w:rPr>
              <w:t>4</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center"/>
          </w:tcPr>
          <w:p>
            <w:pPr>
              <w:jc w:val="cente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b w:val="0"/>
                <w:bCs w:val="0"/>
                <w:sz w:val="28"/>
                <w:szCs w:val="28"/>
                <w:lang w:val="en-US" w:eastAsia="zh-CN"/>
              </w:rPr>
              <w:t>4人</w:t>
            </w:r>
            <w:r>
              <w:rPr>
                <w:rFonts w:hint="eastAsia" w:asciiTheme="minorEastAsia" w:hAnsiTheme="minorEastAsia" w:eastAsiaTheme="minorEastAsia" w:cstheme="minorEastAsia"/>
                <w:b w:val="0"/>
                <w:bCs w:val="0"/>
                <w:sz w:val="28"/>
                <w:szCs w:val="28"/>
              </w:rPr>
              <w:t>站立架</w:t>
            </w: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center"/>
          </w:tcPr>
          <w:p>
            <w:pPr>
              <w:jc w:val="center"/>
              <w:rPr>
                <w:rFonts w:hint="default"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b w:val="0"/>
                <w:bCs w:val="0"/>
                <w:sz w:val="28"/>
                <w:szCs w:val="28"/>
                <w:lang w:val="en-US" w:eastAsia="zh-CN"/>
              </w:rPr>
              <w:t>1</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壹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r>
        <w:rPr>
          <w:rFonts w:hint="eastAsia" w:eastAsiaTheme="minorEastAsia"/>
          <w:lang w:eastAsia="zh-CN"/>
        </w:rPr>
        <w:drawing>
          <wp:inline distT="0" distB="0" distL="114300" distR="114300">
            <wp:extent cx="5676900" cy="8075930"/>
            <wp:effectExtent l="0" t="0" r="0" b="1270"/>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76900" cy="8075930"/>
                    </a:xfrm>
                    <a:prstGeom prst="rect">
                      <a:avLst/>
                    </a:prstGeom>
                  </pic:spPr>
                </pic:pic>
              </a:graphicData>
            </a:graphic>
          </wp:inline>
        </w:drawing>
      </w:r>
      <w:r>
        <w:rPr>
          <w:rFonts w:hint="eastAsia" w:eastAsiaTheme="minorEastAsia"/>
          <w:lang w:eastAsia="zh-CN"/>
        </w:rPr>
        <w:drawing>
          <wp:inline distT="0" distB="0" distL="114300" distR="114300">
            <wp:extent cx="5730240" cy="8197215"/>
            <wp:effectExtent l="0" t="0" r="3810" b="1333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730240" cy="8197215"/>
                    </a:xfrm>
                    <a:prstGeom prst="rect">
                      <a:avLst/>
                    </a:prstGeom>
                  </pic:spPr>
                </pic:pic>
              </a:graphicData>
            </a:graphic>
          </wp:inline>
        </w:drawing>
      </w:r>
      <w:r>
        <w:rPr>
          <w:rFonts w:hint="eastAsia" w:eastAsiaTheme="minorEastAsia"/>
          <w:lang w:eastAsia="zh-CN"/>
        </w:rPr>
        <w:drawing>
          <wp:inline distT="0" distB="0" distL="114300" distR="114300">
            <wp:extent cx="5754370" cy="8116570"/>
            <wp:effectExtent l="0" t="0" r="17780" b="17780"/>
            <wp:docPr id="1"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
                    <pic:cNvPicPr>
                      <a:picLocks noChangeAspect="1"/>
                    </pic:cNvPicPr>
                  </pic:nvPicPr>
                  <pic:blipFill>
                    <a:blip r:embed="rId9"/>
                    <a:stretch>
                      <a:fillRect/>
                    </a:stretch>
                  </pic:blipFill>
                  <pic:spPr>
                    <a:xfrm>
                      <a:off x="0" y="0"/>
                      <a:ext cx="5754370" cy="8116570"/>
                    </a:xfrm>
                    <a:prstGeom prst="rect">
                      <a:avLst/>
                    </a:prstGeom>
                  </pic:spPr>
                </pic:pic>
              </a:graphicData>
            </a:graphic>
          </wp:inline>
        </w:drawing>
      </w:r>
      <w:r>
        <w:rPr>
          <w:rFonts w:hint="eastAsia" w:eastAsiaTheme="minorEastAsia"/>
          <w:lang w:eastAsia="zh-CN"/>
        </w:rPr>
        <w:drawing>
          <wp:inline distT="0" distB="0" distL="114300" distR="114300">
            <wp:extent cx="5757545" cy="8124825"/>
            <wp:effectExtent l="0" t="0" r="14605" b="9525"/>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10"/>
                    <a:stretch>
                      <a:fillRect/>
                    </a:stretch>
                  </pic:blipFill>
                  <pic:spPr>
                    <a:xfrm>
                      <a:off x="0" y="0"/>
                      <a:ext cx="5757545" cy="81248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446568"/>
    <w:rsid w:val="00AE556A"/>
    <w:rsid w:val="04653F41"/>
    <w:rsid w:val="04B72FC8"/>
    <w:rsid w:val="05D45847"/>
    <w:rsid w:val="06E91EC4"/>
    <w:rsid w:val="08FF7D23"/>
    <w:rsid w:val="0A3F4F3C"/>
    <w:rsid w:val="0E331420"/>
    <w:rsid w:val="0EDD1643"/>
    <w:rsid w:val="0FB9029C"/>
    <w:rsid w:val="10914EF9"/>
    <w:rsid w:val="12080B62"/>
    <w:rsid w:val="12994AC5"/>
    <w:rsid w:val="129F447F"/>
    <w:rsid w:val="12C86253"/>
    <w:rsid w:val="13477635"/>
    <w:rsid w:val="15060AC8"/>
    <w:rsid w:val="15675A4C"/>
    <w:rsid w:val="17F91BB8"/>
    <w:rsid w:val="1AF56B46"/>
    <w:rsid w:val="1E4D28AF"/>
    <w:rsid w:val="1E79119D"/>
    <w:rsid w:val="1F334F58"/>
    <w:rsid w:val="1F796B24"/>
    <w:rsid w:val="1FE73549"/>
    <w:rsid w:val="2038045E"/>
    <w:rsid w:val="20B41DA7"/>
    <w:rsid w:val="265F7EDE"/>
    <w:rsid w:val="272B6E6C"/>
    <w:rsid w:val="27CB1722"/>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7348CD"/>
    <w:rsid w:val="3B3B544D"/>
    <w:rsid w:val="3B654F2B"/>
    <w:rsid w:val="3BB72BAE"/>
    <w:rsid w:val="3C07563A"/>
    <w:rsid w:val="3C8A61A4"/>
    <w:rsid w:val="3D5E17FF"/>
    <w:rsid w:val="3E1F0DA4"/>
    <w:rsid w:val="3E584E51"/>
    <w:rsid w:val="3EBE1ADE"/>
    <w:rsid w:val="414D7889"/>
    <w:rsid w:val="41BB0BAE"/>
    <w:rsid w:val="429A4992"/>
    <w:rsid w:val="435B161D"/>
    <w:rsid w:val="43B25DAC"/>
    <w:rsid w:val="44771DFD"/>
    <w:rsid w:val="45D569C3"/>
    <w:rsid w:val="45DB7A76"/>
    <w:rsid w:val="4AEE1A11"/>
    <w:rsid w:val="4B7F39F4"/>
    <w:rsid w:val="4BAE646F"/>
    <w:rsid w:val="4CAC1559"/>
    <w:rsid w:val="4D754257"/>
    <w:rsid w:val="4DCD6AB3"/>
    <w:rsid w:val="4DE60D71"/>
    <w:rsid w:val="50216DCD"/>
    <w:rsid w:val="50540C20"/>
    <w:rsid w:val="51AC28BD"/>
    <w:rsid w:val="583A4BD7"/>
    <w:rsid w:val="590275C7"/>
    <w:rsid w:val="59C74B1F"/>
    <w:rsid w:val="611B6B1B"/>
    <w:rsid w:val="62C222C2"/>
    <w:rsid w:val="64133D6A"/>
    <w:rsid w:val="678E4F5D"/>
    <w:rsid w:val="680E122C"/>
    <w:rsid w:val="6C3E0CBE"/>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7753</Words>
  <Characters>8103</Characters>
  <Lines>0</Lines>
  <Paragraphs>0</Paragraphs>
  <TotalTime>0</TotalTime>
  <ScaleCrop>false</ScaleCrop>
  <LinksUpToDate>false</LinksUpToDate>
  <CharactersWithSpaces>9088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2024-05-29T08:29:04Z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3505A2AB25E048A4A9B0E6A6741CA1BA_11</vt:lpwstr>
  </property>
</Properties>
</file>