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napToGrid w:val="0"/>
        <w:jc w:val="center"/>
        <w:rPr>
          <w:rFonts w:ascii="Arial" w:hAnsi="Arial" w:eastAsia="方正小标宋简体" w:cs="Arial"/>
          <w:color w:val="auto"/>
          <w:sz w:val="72"/>
          <w:szCs w:val="72"/>
        </w:rPr>
      </w:pPr>
      <w:bookmarkStart w:id="0" w:name="_Toc16523570"/>
    </w:p>
    <w:p>
      <w:pPr>
        <w:pStyle w:val="13"/>
        <w:tabs>
          <w:tab w:val="left" w:pos="312"/>
        </w:tabs>
        <w:snapToGrid w:val="0"/>
        <w:spacing w:line="288" w:lineRule="auto"/>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娄底市中心医院院内</w:t>
      </w:r>
    </w:p>
    <w:p>
      <w:pPr>
        <w:pStyle w:val="13"/>
        <w:snapToGrid w:val="0"/>
        <w:jc w:val="center"/>
        <w:rPr>
          <w:rFonts w:ascii="Arial" w:hAnsi="Arial" w:eastAsia="方正小标宋简体" w:cs="Arial"/>
          <w:color w:val="auto"/>
          <w:sz w:val="72"/>
          <w:szCs w:val="72"/>
        </w:rPr>
      </w:pPr>
    </w:p>
    <w:p>
      <w:pPr>
        <w:pStyle w:val="13"/>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pPr>
        <w:pStyle w:val="13"/>
        <w:snapToGrid w:val="0"/>
        <w:jc w:val="center"/>
        <w:rPr>
          <w:rFonts w:ascii="Arial" w:hAnsi="Arial" w:eastAsia="方正小标宋简体" w:cs="Arial"/>
          <w:color w:val="auto"/>
          <w:sz w:val="72"/>
          <w:szCs w:val="72"/>
        </w:rPr>
      </w:pPr>
    </w:p>
    <w:p>
      <w:pPr>
        <w:pStyle w:val="13"/>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pPr>
        <w:pStyle w:val="13"/>
        <w:snapToGrid w:val="0"/>
        <w:jc w:val="center"/>
        <w:rPr>
          <w:rFonts w:ascii="Arial" w:hAnsi="Arial" w:eastAsia="方正小标宋简体" w:cs="Arial"/>
          <w:color w:val="auto"/>
          <w:sz w:val="72"/>
          <w:szCs w:val="72"/>
        </w:rPr>
      </w:pPr>
    </w:p>
    <w:p>
      <w:pPr>
        <w:pStyle w:val="13"/>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pPr>
        <w:pStyle w:val="13"/>
        <w:snapToGrid w:val="0"/>
        <w:jc w:val="center"/>
        <w:rPr>
          <w:rFonts w:ascii="Arial" w:hAnsi="Arial" w:eastAsia="方正小标宋简体" w:cs="Arial"/>
          <w:color w:val="auto"/>
          <w:sz w:val="72"/>
          <w:szCs w:val="72"/>
        </w:rPr>
      </w:pPr>
    </w:p>
    <w:p>
      <w:pPr>
        <w:pStyle w:val="13"/>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pPr>
        <w:pStyle w:val="13"/>
        <w:snapToGrid w:val="0"/>
        <w:jc w:val="center"/>
        <w:rPr>
          <w:rFonts w:ascii="Arial" w:hAnsi="Arial" w:cs="Arial"/>
          <w:color w:val="auto"/>
          <w:sz w:val="32"/>
          <w:szCs w:val="32"/>
        </w:rPr>
      </w:pPr>
    </w:p>
    <w:p>
      <w:pPr>
        <w:pStyle w:val="13"/>
        <w:snapToGrid w:val="0"/>
        <w:jc w:val="center"/>
        <w:rPr>
          <w:rFonts w:ascii="Arial" w:hAnsi="Arial" w:cs="Arial"/>
          <w:color w:val="auto"/>
          <w:sz w:val="32"/>
          <w:szCs w:val="32"/>
        </w:rPr>
      </w:pPr>
    </w:p>
    <w:p>
      <w:pPr>
        <w:pStyle w:val="13"/>
        <w:snapToGrid w:val="0"/>
        <w:jc w:val="center"/>
        <w:rPr>
          <w:rFonts w:ascii="Arial" w:hAnsi="Arial" w:cs="Arial"/>
          <w:color w:val="auto"/>
          <w:sz w:val="32"/>
          <w:szCs w:val="32"/>
        </w:rPr>
      </w:pPr>
    </w:p>
    <w:p>
      <w:pPr>
        <w:pStyle w:val="6"/>
        <w:ind w:left="0" w:leftChars="0" w:firstLine="0" w:firstLineChars="0"/>
        <w:rPr>
          <w:rFonts w:hint="eastAsia"/>
          <w:bCs/>
          <w:color w:val="auto"/>
          <w:sz w:val="32"/>
          <w:szCs w:val="32"/>
        </w:rPr>
      </w:pPr>
    </w:p>
    <w:p>
      <w:pPr>
        <w:pStyle w:val="2"/>
        <w:jc w:val="center"/>
        <w:rPr>
          <w:rFonts w:hint="eastAsia"/>
          <w:bCs/>
          <w:color w:val="auto"/>
          <w:sz w:val="32"/>
          <w:szCs w:val="32"/>
        </w:rPr>
      </w:pPr>
      <w:r>
        <w:rPr>
          <w:rFonts w:hint="eastAsia"/>
          <w:bCs/>
          <w:color w:val="auto"/>
          <w:sz w:val="32"/>
          <w:szCs w:val="32"/>
        </w:rPr>
        <w:t>项目名称：</w:t>
      </w:r>
      <w:r>
        <w:rPr>
          <w:rFonts w:hint="eastAsia" w:ascii="宋体" w:hAnsi="宋体" w:eastAsia="宋体" w:cs="宋体"/>
          <w:i w:val="0"/>
          <w:iCs w:val="0"/>
          <w:caps w:val="0"/>
          <w:color w:val="auto"/>
          <w:spacing w:val="0"/>
          <w:sz w:val="36"/>
          <w:szCs w:val="36"/>
          <w:shd w:val="clear" w:color="auto" w:fill="FFFFFF"/>
          <w:lang w:val="en-US" w:eastAsia="zh-CN"/>
        </w:rPr>
        <w:t>娄底</w:t>
      </w:r>
      <w:r>
        <w:rPr>
          <w:rFonts w:hint="eastAsia" w:ascii="宋体" w:hAnsi="宋体" w:eastAsia="宋体" w:cs="宋体"/>
          <w:i w:val="0"/>
          <w:iCs w:val="0"/>
          <w:caps w:val="0"/>
          <w:color w:val="auto"/>
          <w:spacing w:val="0"/>
          <w:sz w:val="36"/>
          <w:szCs w:val="36"/>
          <w:shd w:val="clear" w:color="auto" w:fill="FFFFFF"/>
        </w:rPr>
        <w:t>市中心医院</w:t>
      </w:r>
      <w:r>
        <w:rPr>
          <w:rFonts w:hint="eastAsia" w:ascii="宋体" w:hAnsi="宋体" w:eastAsia="宋体" w:cs="宋体"/>
          <w:i w:val="0"/>
          <w:iCs w:val="0"/>
          <w:caps w:val="0"/>
          <w:color w:val="auto"/>
          <w:spacing w:val="0"/>
          <w:sz w:val="36"/>
          <w:szCs w:val="36"/>
          <w:shd w:val="clear" w:color="auto" w:fill="FFFFFF"/>
          <w:lang w:val="en-US" w:eastAsia="zh-CN"/>
        </w:rPr>
        <w:t>产科</w:t>
      </w:r>
      <w:r>
        <w:rPr>
          <w:rFonts w:hint="eastAsia" w:ascii="宋体" w:hAnsi="宋体" w:eastAsia="宋体" w:cs="宋体"/>
          <w:i w:val="0"/>
          <w:iCs w:val="0"/>
          <w:caps w:val="0"/>
          <w:color w:val="auto"/>
          <w:spacing w:val="0"/>
          <w:sz w:val="36"/>
          <w:szCs w:val="36"/>
          <w:shd w:val="clear" w:color="auto" w:fill="FFFFFF"/>
        </w:rPr>
        <w:t>第三方</w:t>
      </w:r>
      <w:r>
        <w:rPr>
          <w:rFonts w:hint="eastAsia" w:ascii="宋体" w:hAnsi="宋体" w:cs="宋体"/>
          <w:i w:val="0"/>
          <w:iCs w:val="0"/>
          <w:caps w:val="0"/>
          <w:color w:val="auto"/>
          <w:spacing w:val="0"/>
          <w:sz w:val="36"/>
          <w:szCs w:val="36"/>
          <w:shd w:val="clear" w:color="auto" w:fill="FFFFFF"/>
          <w:lang w:val="en-US" w:eastAsia="zh-CN"/>
        </w:rPr>
        <w:t>母婴护理</w:t>
      </w:r>
      <w:r>
        <w:rPr>
          <w:rFonts w:hint="eastAsia" w:ascii="宋体" w:hAnsi="宋体" w:eastAsia="宋体" w:cs="宋体"/>
          <w:i w:val="0"/>
          <w:iCs w:val="0"/>
          <w:caps w:val="0"/>
          <w:color w:val="auto"/>
          <w:spacing w:val="0"/>
          <w:sz w:val="36"/>
          <w:szCs w:val="36"/>
          <w:shd w:val="clear" w:color="auto" w:fill="FFFFFF"/>
        </w:rPr>
        <w:t>管理服务项目</w:t>
      </w:r>
    </w:p>
    <w:p>
      <w:pPr>
        <w:spacing w:line="320" w:lineRule="exact"/>
        <w:jc w:val="left"/>
        <w:rPr>
          <w:color w:val="auto"/>
          <w:sz w:val="24"/>
        </w:rPr>
      </w:pPr>
    </w:p>
    <w:p>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四</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九</w:t>
      </w:r>
      <w:r>
        <w:rPr>
          <w:rFonts w:hint="eastAsia" w:ascii="宋体" w:hAnsi="宋体" w:cs="宋体"/>
          <w:bCs/>
          <w:color w:val="auto"/>
          <w:sz w:val="32"/>
          <w:szCs w:val="32"/>
        </w:rPr>
        <w:t>月</w:t>
      </w: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u w:val="single"/>
          <w:lang w:val="en-US" w:eastAsia="zh-CN"/>
        </w:rPr>
        <w:t>娄底市中心医院产科第三方母婴护理管理服务</w:t>
      </w:r>
      <w:r>
        <w:rPr>
          <w:rFonts w:hint="eastAsia" w:asciiTheme="minorEastAsia" w:hAnsiTheme="minorEastAsia" w:eastAsiaTheme="minorEastAsia" w:cstheme="minorEastAsia"/>
          <w:bCs/>
          <w:color w:val="auto"/>
          <w:sz w:val="28"/>
          <w:szCs w:val="28"/>
          <w:lang w:val="en-US" w:eastAsia="zh-CN"/>
        </w:rPr>
        <w:t>项目进行院内挂网招标，将招标事项公告如下：</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u w:val="single"/>
          <w:lang w:val="en-US" w:eastAsia="zh-CN"/>
        </w:rPr>
        <w:t>娄底市中心医院产科第三方母婴护理管理服务项目</w:t>
      </w:r>
    </w:p>
    <w:p>
      <w:pPr>
        <w:pStyle w:val="13"/>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1、院内招标，由招标人内部评标。根据投标人的资格性文件、商务标文件，重点参照投标人企业资质、信誉、类似项目情况、技术方案、服务方案综合评定，综合得分由高到低排序。</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1、具有独立法人地位，营业执照具有相应的经营范围；</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13"/>
        <w:numPr>
          <w:ilvl w:val="0"/>
          <w:numId w:val="0"/>
        </w:numPr>
        <w:tabs>
          <w:tab w:val="left" w:pos="312"/>
        </w:tabs>
        <w:snapToGrid w:val="0"/>
        <w:spacing w:line="480" w:lineRule="auto"/>
        <w:ind w:firstLine="840" w:firstLineChars="3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color w:val="auto"/>
          <w:lang w:val="en-US" w:eastAsia="zh-CN"/>
        </w:rPr>
      </w:pPr>
      <w:r>
        <w:rPr>
          <w:rFonts w:hint="eastAsia" w:asciiTheme="minorEastAsia" w:hAnsiTheme="minorEastAsia" w:eastAsiaTheme="minorEastAsia" w:cstheme="minorEastAsia"/>
          <w:bCs/>
          <w:color w:val="auto"/>
          <w:sz w:val="28"/>
          <w:szCs w:val="28"/>
          <w:lang w:val="en-US" w:eastAsia="zh-CN"/>
        </w:rPr>
        <w:t xml:space="preserve"> 6、为保证采购人相关利益，本项目拒绝有从事产后修复等相关业务的单位或个人参与本项目。一旦核实，将取消中标资格。</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1、投标截止时间、开标时间：具体时间电话通知</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2、开标地点：娄底市中心医院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highlight w:val="yellow"/>
          <w:lang w:val="en-US" w:eastAsia="zh-CN"/>
        </w:rPr>
      </w:pPr>
      <w:r>
        <w:rPr>
          <w:rFonts w:hint="eastAsia" w:asciiTheme="minorEastAsia" w:hAnsiTheme="minorEastAsia" w:eastAsiaTheme="minorEastAsia" w:cstheme="minorEastAsia"/>
          <w:bCs/>
          <w:color w:val="auto"/>
          <w:sz w:val="28"/>
          <w:szCs w:val="28"/>
          <w:highlight w:val="none"/>
          <w:lang w:val="en-US" w:eastAsia="zh-CN"/>
        </w:rPr>
        <w:t>2、联系人及联系方式：廖海星 15873871616</w:t>
      </w:r>
      <w:bookmarkStart w:id="4" w:name="_GoBack"/>
      <w:bookmarkEnd w:id="4"/>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br w:type="page"/>
      </w: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10"/>
        <w:tblW w:w="9778"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702"/>
        <w:gridCol w:w="2757"/>
        <w:gridCol w:w="4470"/>
        <w:gridCol w:w="1849"/>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494" w:hRule="atLeast"/>
          <w:jc w:val="center"/>
        </w:trPr>
        <w:tc>
          <w:tcPr>
            <w:tcW w:w="702"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rPr>
              <w:t>序号</w:t>
            </w:r>
          </w:p>
        </w:tc>
        <w:tc>
          <w:tcPr>
            <w:tcW w:w="275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Theme="minorEastAsia" w:hAnsiTheme="minorEastAsia" w:eastAsiaTheme="minorEastAsia" w:cstheme="minorEastAsia"/>
                <w:color w:val="auto"/>
                <w:kern w:val="2"/>
                <w:sz w:val="28"/>
                <w:szCs w:val="28"/>
              </w:rPr>
            </w:pPr>
            <w:r>
              <w:rPr>
                <w:rFonts w:hint="eastAsia" w:asciiTheme="minorEastAsia" w:hAnsiTheme="minorEastAsia" w:eastAsiaTheme="minorEastAsia" w:cstheme="minorEastAsia"/>
                <w:color w:val="auto"/>
                <w:kern w:val="2"/>
                <w:sz w:val="28"/>
                <w:szCs w:val="28"/>
                <w:lang w:val="en-US" w:eastAsia="zh-CN"/>
              </w:rPr>
              <w:t>项目</w:t>
            </w:r>
            <w:r>
              <w:rPr>
                <w:rFonts w:hint="eastAsia" w:asciiTheme="minorEastAsia" w:hAnsiTheme="minorEastAsia" w:eastAsiaTheme="minorEastAsia" w:cstheme="minorEastAsia"/>
                <w:color w:val="auto"/>
                <w:kern w:val="2"/>
                <w:sz w:val="28"/>
                <w:szCs w:val="28"/>
              </w:rPr>
              <w:t>名称</w:t>
            </w:r>
          </w:p>
        </w:tc>
        <w:tc>
          <w:tcPr>
            <w:tcW w:w="44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Theme="minorEastAsia" w:hAnsiTheme="minorEastAsia" w:eastAsiaTheme="minorEastAsia" w:cstheme="minorEastAsia"/>
                <w:color w:val="auto"/>
                <w:kern w:val="2"/>
                <w:sz w:val="28"/>
                <w:szCs w:val="28"/>
                <w:lang w:val="en-US" w:eastAsia="zh-CN"/>
              </w:rPr>
            </w:pPr>
            <w:r>
              <w:rPr>
                <w:rFonts w:hint="eastAsia" w:asciiTheme="minorEastAsia" w:hAnsiTheme="minorEastAsia" w:eastAsiaTheme="minorEastAsia" w:cstheme="minorEastAsia"/>
                <w:color w:val="auto"/>
                <w:kern w:val="2"/>
                <w:sz w:val="28"/>
                <w:szCs w:val="28"/>
                <w:lang w:val="en-US" w:eastAsia="zh-CN"/>
              </w:rPr>
              <w:t>主要内容</w:t>
            </w:r>
          </w:p>
        </w:tc>
        <w:tc>
          <w:tcPr>
            <w:tcW w:w="1849"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备注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565" w:hRule="atLeast"/>
          <w:jc w:val="center"/>
        </w:trPr>
        <w:tc>
          <w:tcPr>
            <w:tcW w:w="702"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color w:val="auto"/>
                <w:kern w:val="2"/>
                <w:sz w:val="28"/>
                <w:szCs w:val="28"/>
                <w:lang w:val="en-US" w:eastAsia="zh-CN"/>
              </w:rPr>
            </w:pPr>
            <w:r>
              <w:rPr>
                <w:rFonts w:hint="eastAsia" w:asciiTheme="minorEastAsia" w:hAnsiTheme="minorEastAsia" w:eastAsiaTheme="minorEastAsia" w:cstheme="minorEastAsia"/>
                <w:color w:val="auto"/>
                <w:kern w:val="2"/>
                <w:sz w:val="28"/>
                <w:szCs w:val="28"/>
                <w:lang w:val="en-US" w:eastAsia="zh-CN"/>
              </w:rPr>
              <w:t>1</w:t>
            </w:r>
          </w:p>
        </w:tc>
        <w:tc>
          <w:tcPr>
            <w:tcW w:w="275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both"/>
              <w:rPr>
                <w:rFonts w:hint="default" w:asciiTheme="minorEastAsia" w:hAnsiTheme="minorEastAsia" w:eastAsiaTheme="minorEastAsia" w:cstheme="minorEastAsia"/>
                <w:bCs/>
                <w:color w:val="auto"/>
                <w:kern w:val="2"/>
                <w:sz w:val="28"/>
                <w:szCs w:val="28"/>
                <w:lang w:val="en-US" w:eastAsia="zh-CN" w:bidi="ar-SA"/>
              </w:rPr>
            </w:pPr>
            <w:r>
              <w:rPr>
                <w:rFonts w:hint="eastAsia" w:ascii="宋体" w:hAnsi="宋体" w:eastAsia="宋体" w:cs="宋体"/>
                <w:i w:val="0"/>
                <w:iCs w:val="0"/>
                <w:caps w:val="0"/>
                <w:color w:val="auto"/>
                <w:spacing w:val="0"/>
                <w:sz w:val="28"/>
                <w:szCs w:val="28"/>
                <w:shd w:val="clear" w:color="auto" w:fill="FFFFFF"/>
                <w:lang w:val="en-US" w:eastAsia="zh-CN"/>
              </w:rPr>
              <w:t>娄底</w:t>
            </w:r>
            <w:r>
              <w:rPr>
                <w:rFonts w:hint="eastAsia" w:ascii="宋体" w:hAnsi="宋体" w:eastAsia="宋体" w:cs="宋体"/>
                <w:i w:val="0"/>
                <w:iCs w:val="0"/>
                <w:caps w:val="0"/>
                <w:color w:val="auto"/>
                <w:spacing w:val="0"/>
                <w:sz w:val="28"/>
                <w:szCs w:val="28"/>
                <w:shd w:val="clear" w:color="auto" w:fill="FFFFFF"/>
              </w:rPr>
              <w:t>市中心医院</w:t>
            </w:r>
            <w:r>
              <w:rPr>
                <w:rFonts w:hint="eastAsia" w:ascii="宋体" w:hAnsi="宋体" w:eastAsia="宋体" w:cs="宋体"/>
                <w:i w:val="0"/>
                <w:iCs w:val="0"/>
                <w:caps w:val="0"/>
                <w:color w:val="auto"/>
                <w:spacing w:val="0"/>
                <w:sz w:val="28"/>
                <w:szCs w:val="28"/>
                <w:shd w:val="clear" w:color="auto" w:fill="FFFFFF"/>
                <w:lang w:val="en-US" w:eastAsia="zh-CN"/>
              </w:rPr>
              <w:t>产科</w:t>
            </w:r>
            <w:r>
              <w:rPr>
                <w:rFonts w:hint="eastAsia" w:ascii="宋体" w:hAnsi="宋体" w:eastAsia="宋体" w:cs="宋体"/>
                <w:i w:val="0"/>
                <w:iCs w:val="0"/>
                <w:caps w:val="0"/>
                <w:color w:val="auto"/>
                <w:spacing w:val="0"/>
                <w:sz w:val="28"/>
                <w:szCs w:val="28"/>
                <w:shd w:val="clear" w:color="auto" w:fill="FFFFFF"/>
              </w:rPr>
              <w:t>第三方</w:t>
            </w:r>
            <w:r>
              <w:rPr>
                <w:rFonts w:hint="eastAsia" w:ascii="宋体" w:hAnsi="宋体" w:cs="宋体"/>
                <w:i w:val="0"/>
                <w:iCs w:val="0"/>
                <w:caps w:val="0"/>
                <w:color w:val="auto"/>
                <w:spacing w:val="0"/>
                <w:sz w:val="28"/>
                <w:szCs w:val="28"/>
                <w:shd w:val="clear" w:color="auto" w:fill="FFFFFF"/>
                <w:lang w:val="en-US" w:eastAsia="zh-CN"/>
              </w:rPr>
              <w:t>母婴护理</w:t>
            </w:r>
            <w:r>
              <w:rPr>
                <w:rFonts w:hint="eastAsia" w:ascii="宋体" w:hAnsi="宋体" w:eastAsia="宋体" w:cs="宋体"/>
                <w:i w:val="0"/>
                <w:iCs w:val="0"/>
                <w:caps w:val="0"/>
                <w:color w:val="auto"/>
                <w:spacing w:val="0"/>
                <w:sz w:val="28"/>
                <w:szCs w:val="28"/>
                <w:shd w:val="clear" w:color="auto" w:fill="FFFFFF"/>
              </w:rPr>
              <w:t>管理服务项目</w:t>
            </w:r>
          </w:p>
        </w:tc>
        <w:tc>
          <w:tcPr>
            <w:tcW w:w="44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left"/>
              <w:rPr>
                <w:rFonts w:hint="default" w:asciiTheme="minorEastAsia" w:hAnsiTheme="minorEastAsia" w:eastAsiaTheme="minorEastAsia" w:cstheme="minorEastAsia"/>
                <w:color w:val="auto"/>
                <w:kern w:val="2"/>
                <w:sz w:val="28"/>
                <w:szCs w:val="28"/>
                <w:lang w:val="en-US" w:eastAsia="zh-CN"/>
              </w:rPr>
            </w:pPr>
            <w:r>
              <w:rPr>
                <w:rFonts w:hint="eastAsia" w:asciiTheme="minorEastAsia" w:hAnsiTheme="minorEastAsia" w:eastAsiaTheme="minorEastAsia" w:cstheme="minorEastAsia"/>
                <w:color w:val="auto"/>
                <w:kern w:val="2"/>
                <w:sz w:val="28"/>
                <w:szCs w:val="28"/>
                <w:lang w:val="en-US" w:eastAsia="zh-CN"/>
              </w:rPr>
              <w:t>主要工作内容：</w:t>
            </w:r>
            <w:r>
              <w:rPr>
                <w:rFonts w:hint="default" w:asciiTheme="minorEastAsia" w:hAnsiTheme="minorEastAsia" w:eastAsiaTheme="minorEastAsia" w:cstheme="minorEastAsia"/>
                <w:color w:val="auto"/>
                <w:kern w:val="2"/>
                <w:sz w:val="28"/>
                <w:szCs w:val="28"/>
                <w:lang w:val="en-US" w:eastAsia="zh-CN"/>
              </w:rPr>
              <w:t>在患者或患者家属自愿的基础上，</w:t>
            </w:r>
            <w:r>
              <w:rPr>
                <w:rFonts w:hint="eastAsia" w:asciiTheme="minorEastAsia" w:hAnsiTheme="minorEastAsia" w:eastAsiaTheme="minorEastAsia" w:cstheme="minorEastAsia"/>
                <w:color w:val="auto"/>
                <w:kern w:val="2"/>
                <w:sz w:val="28"/>
                <w:szCs w:val="28"/>
                <w:lang w:val="en-US" w:eastAsia="zh-CN"/>
              </w:rPr>
              <w:t>成交供应商</w:t>
            </w:r>
            <w:r>
              <w:rPr>
                <w:rFonts w:hint="default" w:asciiTheme="minorEastAsia" w:hAnsiTheme="minorEastAsia" w:eastAsiaTheme="minorEastAsia" w:cstheme="minorEastAsia"/>
                <w:color w:val="auto"/>
                <w:kern w:val="2"/>
                <w:sz w:val="28"/>
                <w:szCs w:val="28"/>
                <w:lang w:val="en-US" w:eastAsia="zh-CN"/>
              </w:rPr>
              <w:t>以公司名义与患者或患者家属直接签订护理服务协议，委派与其建立劳动合同关系的且</w:t>
            </w:r>
            <w:r>
              <w:rPr>
                <w:rFonts w:hint="eastAsia" w:asciiTheme="minorEastAsia" w:hAnsiTheme="minorEastAsia" w:eastAsiaTheme="minorEastAsia" w:cstheme="minorEastAsia"/>
                <w:color w:val="auto"/>
                <w:kern w:val="2"/>
                <w:sz w:val="28"/>
                <w:szCs w:val="28"/>
                <w:lang w:val="en-US" w:eastAsia="zh-CN"/>
              </w:rPr>
              <w:t>有</w:t>
            </w:r>
            <w:r>
              <w:rPr>
                <w:rFonts w:hint="default" w:asciiTheme="minorEastAsia" w:hAnsiTheme="minorEastAsia" w:eastAsiaTheme="minorEastAsia" w:cstheme="minorEastAsia"/>
                <w:color w:val="auto"/>
                <w:kern w:val="2"/>
                <w:sz w:val="28"/>
                <w:szCs w:val="28"/>
                <w:lang w:val="en-US" w:eastAsia="zh-CN"/>
              </w:rPr>
              <w:t>相</w:t>
            </w:r>
            <w:r>
              <w:rPr>
                <w:rFonts w:hint="eastAsia" w:asciiTheme="minorEastAsia" w:hAnsiTheme="minorEastAsia" w:eastAsiaTheme="minorEastAsia" w:cstheme="minorEastAsia"/>
                <w:color w:val="auto"/>
                <w:kern w:val="2"/>
                <w:sz w:val="28"/>
                <w:szCs w:val="28"/>
                <w:lang w:val="en-US" w:eastAsia="zh-CN"/>
              </w:rPr>
              <w:t>应</w:t>
            </w:r>
            <w:r>
              <w:rPr>
                <w:rFonts w:hint="default" w:asciiTheme="minorEastAsia" w:hAnsiTheme="minorEastAsia" w:eastAsiaTheme="minorEastAsia" w:cstheme="minorEastAsia"/>
                <w:color w:val="auto"/>
                <w:kern w:val="2"/>
                <w:sz w:val="28"/>
                <w:szCs w:val="28"/>
                <w:lang w:val="en-US" w:eastAsia="zh-CN"/>
              </w:rPr>
              <w:t>的职业资格证书经培训的护理员，根据护理服务协议约定为患者提供陪护、护理服务，向患者或患者家属收取服务费。</w:t>
            </w:r>
          </w:p>
        </w:tc>
        <w:tc>
          <w:tcPr>
            <w:tcW w:w="1849"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both"/>
              <w:rPr>
                <w:rFonts w:hint="default" w:asciiTheme="minorEastAsia" w:hAnsiTheme="minorEastAsia" w:eastAsiaTheme="minorEastAsia" w:cstheme="minorEastAsia"/>
                <w:color w:val="auto"/>
                <w:kern w:val="2"/>
                <w:sz w:val="28"/>
                <w:szCs w:val="28"/>
                <w:lang w:val="en-US" w:eastAsia="zh-CN"/>
              </w:rPr>
            </w:pPr>
            <w:r>
              <w:rPr>
                <w:rFonts w:hint="eastAsia" w:asciiTheme="minorEastAsia" w:hAnsiTheme="minorEastAsia" w:eastAsiaTheme="minorEastAsia" w:cstheme="minorEastAsia"/>
                <w:color w:val="auto"/>
                <w:kern w:val="2"/>
                <w:sz w:val="28"/>
                <w:szCs w:val="28"/>
                <w:lang w:val="en-US" w:eastAsia="zh-CN"/>
              </w:rPr>
              <w:t>入围供应商不得将经营权分包及转包</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2、服务等级收费标准</w:t>
      </w:r>
    </w:p>
    <w:tbl>
      <w:tblPr>
        <w:tblStyle w:val="11"/>
        <w:tblW w:w="9560" w:type="dxa"/>
        <w:tblInd w:w="-4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1293"/>
        <w:gridCol w:w="4636"/>
        <w:gridCol w:w="1560"/>
        <w:gridCol w:w="1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721" w:type="dxa"/>
            <w:noWrap w:val="0"/>
            <w:vAlign w:val="top"/>
          </w:tcPr>
          <w:p>
            <w:pPr>
              <w:rPr>
                <w:rFonts w:hint="default"/>
                <w:b/>
                <w:bCs/>
                <w:color w:val="auto"/>
                <w:sz w:val="24"/>
                <w:szCs w:val="24"/>
                <w:vertAlign w:val="baseline"/>
                <w:lang w:val="en-US" w:eastAsia="zh-CN"/>
              </w:rPr>
            </w:pPr>
            <w:r>
              <w:rPr>
                <w:rFonts w:hint="eastAsia"/>
                <w:b/>
                <w:bCs/>
                <w:color w:val="auto"/>
                <w:sz w:val="24"/>
                <w:szCs w:val="24"/>
                <w:vertAlign w:val="baseline"/>
                <w:lang w:val="en-US" w:eastAsia="zh-CN"/>
              </w:rPr>
              <w:t>等级</w:t>
            </w:r>
          </w:p>
        </w:tc>
        <w:tc>
          <w:tcPr>
            <w:tcW w:w="1293" w:type="dxa"/>
            <w:noWrap w:val="0"/>
            <w:vAlign w:val="top"/>
          </w:tcPr>
          <w:p>
            <w:pPr>
              <w:rPr>
                <w:rFonts w:hint="eastAsia"/>
                <w:b/>
                <w:bCs/>
                <w:color w:val="auto"/>
                <w:sz w:val="24"/>
                <w:szCs w:val="24"/>
                <w:vertAlign w:val="baseline"/>
                <w:lang w:val="en-US" w:eastAsia="zh-CN"/>
              </w:rPr>
            </w:pPr>
            <w:r>
              <w:rPr>
                <w:rFonts w:hint="eastAsia"/>
                <w:b/>
                <w:bCs/>
                <w:color w:val="auto"/>
                <w:sz w:val="24"/>
                <w:szCs w:val="24"/>
                <w:vertAlign w:val="baseline"/>
                <w:lang w:val="en-US" w:eastAsia="zh-CN"/>
              </w:rPr>
              <w:t>收费标准</w:t>
            </w:r>
          </w:p>
          <w:p>
            <w:pPr>
              <w:rPr>
                <w:rFonts w:hint="default"/>
                <w:b/>
                <w:bCs/>
                <w:color w:val="auto"/>
                <w:sz w:val="24"/>
                <w:szCs w:val="24"/>
                <w:vertAlign w:val="baseline"/>
                <w:lang w:val="en-US" w:eastAsia="zh-CN"/>
              </w:rPr>
            </w:pPr>
            <w:r>
              <w:rPr>
                <w:rFonts w:hint="eastAsia"/>
                <w:b/>
                <w:bCs/>
                <w:color w:val="auto"/>
                <w:sz w:val="24"/>
                <w:szCs w:val="24"/>
                <w:vertAlign w:val="baseline"/>
                <w:lang w:val="en-US" w:eastAsia="zh-CN"/>
              </w:rPr>
              <w:t>（限价）</w:t>
            </w:r>
          </w:p>
        </w:tc>
        <w:tc>
          <w:tcPr>
            <w:tcW w:w="4636" w:type="dxa"/>
            <w:noWrap w:val="0"/>
            <w:vAlign w:val="top"/>
          </w:tcPr>
          <w:p>
            <w:pPr>
              <w:jc w:val="center"/>
              <w:rPr>
                <w:rFonts w:hint="default"/>
                <w:b/>
                <w:bCs/>
                <w:color w:val="auto"/>
                <w:sz w:val="24"/>
                <w:szCs w:val="24"/>
                <w:vertAlign w:val="baseline"/>
                <w:lang w:val="en-US" w:eastAsia="zh-CN"/>
              </w:rPr>
            </w:pPr>
            <w:r>
              <w:rPr>
                <w:rFonts w:hint="eastAsia"/>
                <w:b/>
                <w:bCs/>
                <w:color w:val="auto"/>
                <w:sz w:val="24"/>
                <w:szCs w:val="24"/>
                <w:vertAlign w:val="baseline"/>
                <w:lang w:val="en-US" w:eastAsia="zh-CN"/>
              </w:rPr>
              <w:t>服务内容</w:t>
            </w:r>
          </w:p>
          <w:p>
            <w:pPr>
              <w:jc w:val="center"/>
              <w:rPr>
                <w:rFonts w:hint="default"/>
                <w:b/>
                <w:bCs/>
                <w:color w:val="auto"/>
                <w:sz w:val="24"/>
                <w:szCs w:val="24"/>
                <w:vertAlign w:val="baseline"/>
                <w:lang w:val="en-US" w:eastAsia="zh-CN"/>
              </w:rPr>
            </w:pPr>
          </w:p>
        </w:tc>
        <w:tc>
          <w:tcPr>
            <w:tcW w:w="1560" w:type="dxa"/>
            <w:noWrap w:val="0"/>
            <w:vAlign w:val="top"/>
          </w:tcPr>
          <w:p>
            <w:pPr>
              <w:jc w:val="center"/>
              <w:rPr>
                <w:rFonts w:hint="default"/>
                <w:b/>
                <w:bCs/>
                <w:color w:val="auto"/>
                <w:sz w:val="24"/>
                <w:szCs w:val="24"/>
                <w:vertAlign w:val="baseline"/>
                <w:lang w:val="en-US" w:eastAsia="zh-CN"/>
              </w:rPr>
            </w:pPr>
            <w:r>
              <w:rPr>
                <w:rFonts w:hint="eastAsia" w:ascii="宋体" w:hAnsi="宋体" w:eastAsia="宋体" w:cs="宋体"/>
                <w:b/>
                <w:bCs/>
                <w:color w:val="auto"/>
                <w:sz w:val="24"/>
                <w:szCs w:val="24"/>
                <w:lang w:val="en-US" w:eastAsia="zh-CN"/>
              </w:rPr>
              <w:t>服务</w:t>
            </w:r>
            <w:r>
              <w:rPr>
                <w:rFonts w:hint="eastAsia" w:ascii="宋体" w:hAnsi="宋体" w:eastAsia="宋体" w:cs="宋体"/>
                <w:b/>
                <w:bCs/>
                <w:strike w:val="0"/>
                <w:dstrike w:val="0"/>
                <w:color w:val="auto"/>
                <w:sz w:val="24"/>
                <w:szCs w:val="24"/>
                <w:vertAlign w:val="baseline"/>
                <w:lang w:val="en-US" w:eastAsia="zh-CN"/>
              </w:rPr>
              <w:t>人员</w:t>
            </w:r>
          </w:p>
        </w:tc>
        <w:tc>
          <w:tcPr>
            <w:tcW w:w="1350" w:type="dxa"/>
            <w:noWrap w:val="0"/>
            <w:vAlign w:val="top"/>
          </w:tcPr>
          <w:p>
            <w:pPr>
              <w:rPr>
                <w:rFonts w:hint="default"/>
                <w:b/>
                <w:bCs/>
                <w:color w:val="auto"/>
                <w:sz w:val="24"/>
                <w:szCs w:val="24"/>
                <w:vertAlign w:val="baseline"/>
                <w:lang w:val="en-US" w:eastAsia="zh-CN"/>
              </w:rPr>
            </w:pPr>
            <w:r>
              <w:rPr>
                <w:rFonts w:hint="eastAsia"/>
                <w:b/>
                <w:bCs/>
                <w:color w:val="auto"/>
                <w:sz w:val="24"/>
                <w:szCs w:val="24"/>
                <w:vertAlign w:val="baseline"/>
                <w:lang w:val="en-US" w:eastAsia="zh-CN"/>
              </w:rPr>
              <w:t>适用范围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2" w:hRule="atLeast"/>
        </w:trPr>
        <w:tc>
          <w:tcPr>
            <w:tcW w:w="721" w:type="dxa"/>
            <w:noWrap w:val="0"/>
            <w:vAlign w:val="top"/>
          </w:tcPr>
          <w:p>
            <w:pPr>
              <w:rPr>
                <w:rFonts w:hint="default"/>
                <w:b/>
                <w:bCs/>
                <w:color w:val="auto"/>
                <w:sz w:val="24"/>
                <w:szCs w:val="24"/>
                <w:vertAlign w:val="baseline"/>
                <w:lang w:val="en-US" w:eastAsia="zh-CN"/>
              </w:rPr>
            </w:pPr>
            <w:r>
              <w:rPr>
                <w:rFonts w:hint="eastAsia"/>
                <w:b/>
                <w:bCs/>
                <w:color w:val="auto"/>
                <w:sz w:val="24"/>
                <w:szCs w:val="24"/>
                <w:vertAlign w:val="baseline"/>
                <w:lang w:val="en-US" w:eastAsia="zh-CN"/>
              </w:rPr>
              <w:t>初级</w:t>
            </w:r>
          </w:p>
        </w:tc>
        <w:tc>
          <w:tcPr>
            <w:tcW w:w="1293" w:type="dxa"/>
            <w:noWrap w:val="0"/>
            <w:vAlign w:val="top"/>
          </w:tcPr>
          <w:p>
            <w:pPr>
              <w:rPr>
                <w:rFonts w:hint="default"/>
                <w:b/>
                <w:bCs/>
                <w:color w:val="auto"/>
                <w:sz w:val="24"/>
                <w:szCs w:val="24"/>
                <w:vertAlign w:val="baseline"/>
                <w:lang w:val="en-US" w:eastAsia="zh-CN"/>
              </w:rPr>
            </w:pPr>
            <w:r>
              <w:rPr>
                <w:rFonts w:hint="eastAsia"/>
                <w:b/>
                <w:bCs/>
                <w:color w:val="auto"/>
                <w:sz w:val="24"/>
                <w:szCs w:val="24"/>
                <w:vertAlign w:val="baseline"/>
                <w:lang w:val="en-US" w:eastAsia="zh-CN"/>
              </w:rPr>
              <w:t>300元/天</w:t>
            </w:r>
          </w:p>
        </w:tc>
        <w:tc>
          <w:tcPr>
            <w:tcW w:w="4636" w:type="dxa"/>
            <w:vMerge w:val="restart"/>
            <w:noWrap w:val="0"/>
            <w:vAlign w:val="top"/>
          </w:tcPr>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cs="宋体"/>
                <w:color w:val="auto"/>
                <w:sz w:val="24"/>
                <w:szCs w:val="24"/>
                <w:lang w:val="en-US" w:eastAsia="zh-CN"/>
              </w:rPr>
              <w:t>协助</w:t>
            </w:r>
            <w:r>
              <w:rPr>
                <w:rFonts w:hint="eastAsia" w:ascii="宋体" w:hAnsi="宋体" w:eastAsia="宋体" w:cs="宋体"/>
                <w:color w:val="auto"/>
                <w:sz w:val="24"/>
                <w:szCs w:val="24"/>
              </w:rPr>
              <w:t>指导产妇实行母乳喂养、按需哺喂。</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eastAsia" w:ascii="宋体" w:hAnsi="宋体" w:cs="宋体"/>
                <w:color w:val="auto"/>
                <w:sz w:val="24"/>
                <w:szCs w:val="24"/>
                <w:lang w:val="en-US" w:eastAsia="zh-CN"/>
              </w:rPr>
              <w:t>协助指导产妇进行产后康复运动</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协助产妇进行个人卫生清洁。</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w:t>
            </w:r>
            <w:r>
              <w:rPr>
                <w:rFonts w:hint="eastAsia" w:ascii="宋体" w:hAnsi="宋体" w:cs="宋体"/>
                <w:color w:val="auto"/>
                <w:sz w:val="24"/>
                <w:szCs w:val="24"/>
                <w:lang w:val="en-US" w:eastAsia="zh-CN"/>
              </w:rPr>
              <w:t>协助</w:t>
            </w:r>
            <w:r>
              <w:rPr>
                <w:rFonts w:hint="eastAsia" w:ascii="宋体" w:hAnsi="宋体" w:eastAsia="宋体" w:cs="宋体"/>
                <w:color w:val="auto"/>
                <w:sz w:val="24"/>
                <w:szCs w:val="24"/>
              </w:rPr>
              <w:t>舒解产妇产后焦虑、烦躁等情绪，减轻产妇操劳，尽快恢复健康。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w:t>
            </w:r>
            <w:r>
              <w:rPr>
                <w:rFonts w:hint="eastAsia" w:ascii="宋体" w:hAnsi="宋体" w:cs="宋体"/>
                <w:color w:val="auto"/>
                <w:sz w:val="24"/>
                <w:szCs w:val="24"/>
                <w:lang w:val="en-US" w:eastAsia="zh-CN"/>
              </w:rPr>
              <w:t>协助指导</w:t>
            </w:r>
            <w:r>
              <w:rPr>
                <w:rFonts w:hint="eastAsia" w:ascii="宋体" w:hAnsi="宋体" w:eastAsia="宋体" w:cs="宋体"/>
                <w:color w:val="auto"/>
                <w:sz w:val="24"/>
                <w:szCs w:val="24"/>
              </w:rPr>
              <w:t>乳头皲裂预防与护</w:t>
            </w:r>
            <w:r>
              <w:rPr>
                <w:rFonts w:hint="eastAsia" w:ascii="宋体" w:hAnsi="宋体" w:cs="宋体"/>
                <w:color w:val="auto"/>
                <w:sz w:val="24"/>
                <w:szCs w:val="24"/>
                <w:lang w:val="en-US" w:eastAsia="zh-CN"/>
              </w:rPr>
              <w:t>理</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产褥期每日擦身，</w:t>
            </w:r>
            <w:r>
              <w:rPr>
                <w:rFonts w:hint="eastAsia" w:ascii="宋体" w:hAnsi="宋体" w:cs="宋体"/>
                <w:color w:val="auto"/>
                <w:sz w:val="24"/>
                <w:szCs w:val="24"/>
                <w:lang w:val="en-US" w:eastAsia="zh-CN"/>
              </w:rPr>
              <w:t>协助</w:t>
            </w:r>
            <w:r>
              <w:rPr>
                <w:rFonts w:hint="eastAsia" w:ascii="宋体" w:hAnsi="宋体" w:eastAsia="宋体" w:cs="宋体"/>
                <w:color w:val="auto"/>
                <w:sz w:val="24"/>
                <w:szCs w:val="24"/>
              </w:rPr>
              <w:t>观察恶露排出</w:t>
            </w:r>
            <w:r>
              <w:rPr>
                <w:rFonts w:hint="eastAsia" w:ascii="宋体" w:hAnsi="宋体" w:cs="宋体"/>
                <w:color w:val="auto"/>
                <w:sz w:val="24"/>
                <w:szCs w:val="24"/>
                <w:lang w:val="en-US" w:eastAsia="zh-CN"/>
              </w:rPr>
              <w:t>情况</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6</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产妇日常生活及保健护理</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产妇衣物清洗消毒，房间清洁整理</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7</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科学、合理健康喂养婴儿</w:t>
            </w:r>
            <w:r>
              <w:rPr>
                <w:rFonts w:hint="eastAsia" w:ascii="宋体" w:hAnsi="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8</w:t>
            </w: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协助</w:t>
            </w:r>
            <w:r>
              <w:rPr>
                <w:rFonts w:hint="eastAsia" w:ascii="宋体" w:hAnsi="宋体" w:eastAsia="宋体" w:cs="宋体"/>
                <w:color w:val="auto"/>
                <w:sz w:val="24"/>
                <w:szCs w:val="24"/>
              </w:rPr>
              <w:t>对婴儿的身体状况(如食欲、食量、体温、大小便等)观察记录。</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b/>
                <w:bCs/>
                <w:color w:val="auto"/>
                <w:sz w:val="24"/>
                <w:szCs w:val="24"/>
                <w:vertAlign w:val="baseline"/>
                <w:lang w:val="en-US" w:eastAsia="zh-CN"/>
              </w:rPr>
            </w:pPr>
          </w:p>
        </w:tc>
        <w:tc>
          <w:tcPr>
            <w:tcW w:w="1560" w:type="dxa"/>
            <w:noWrap w:val="0"/>
            <w:vAlign w:val="top"/>
          </w:tcPr>
          <w:p>
            <w:pPr>
              <w:rPr>
                <w:rFonts w:hint="eastAsia" w:eastAsia="宋体"/>
                <w:b/>
                <w:bCs/>
                <w:color w:val="auto"/>
                <w:sz w:val="24"/>
                <w:szCs w:val="24"/>
                <w:vertAlign w:val="baseline"/>
                <w:lang w:val="en-US" w:eastAsia="zh-CN"/>
              </w:rPr>
            </w:pPr>
          </w:p>
          <w:p>
            <w:pPr>
              <w:rPr>
                <w:rFonts w:hint="eastAsia" w:eastAsia="宋体"/>
                <w:b/>
                <w:bCs/>
                <w:color w:val="auto"/>
                <w:sz w:val="24"/>
                <w:szCs w:val="24"/>
                <w:vertAlign w:val="baseline"/>
                <w:lang w:val="en-US" w:eastAsia="zh-CN"/>
              </w:rPr>
            </w:pPr>
          </w:p>
          <w:p>
            <w:pPr>
              <w:rPr>
                <w:rFonts w:hint="default" w:eastAsia="宋体"/>
                <w:b/>
                <w:bCs/>
                <w:color w:val="auto"/>
                <w:sz w:val="24"/>
                <w:szCs w:val="24"/>
                <w:vertAlign w:val="baseline"/>
                <w:lang w:val="en-US" w:eastAsia="zh-CN"/>
              </w:rPr>
            </w:pPr>
            <w:r>
              <w:rPr>
                <w:rFonts w:hint="eastAsia" w:ascii="宋体" w:hAnsi="宋体" w:cs="宋体"/>
                <w:b w:val="0"/>
                <w:bCs w:val="0"/>
                <w:color w:val="auto"/>
                <w:sz w:val="24"/>
                <w:szCs w:val="24"/>
                <w:vertAlign w:val="baseline"/>
                <w:lang w:val="en-US" w:eastAsia="zh-CN"/>
              </w:rPr>
              <w:t>曾</w:t>
            </w:r>
            <w:r>
              <w:rPr>
                <w:rFonts w:hint="eastAsia" w:ascii="宋体" w:hAnsi="宋体" w:eastAsia="宋体" w:cs="宋体"/>
                <w:b w:val="0"/>
                <w:bCs w:val="0"/>
                <w:color w:val="auto"/>
                <w:sz w:val="24"/>
                <w:szCs w:val="24"/>
                <w:vertAlign w:val="baseline"/>
                <w:lang w:val="en-US" w:eastAsia="zh-CN"/>
              </w:rPr>
              <w:t>完成</w:t>
            </w:r>
            <w:r>
              <w:rPr>
                <w:rFonts w:hint="eastAsia" w:ascii="宋体" w:hAnsi="宋体" w:cs="宋体"/>
                <w:b w:val="0"/>
                <w:bCs w:val="0"/>
                <w:color w:val="auto"/>
                <w:sz w:val="24"/>
                <w:szCs w:val="24"/>
                <w:vertAlign w:val="baseline"/>
                <w:lang w:val="en-US" w:eastAsia="zh-CN"/>
              </w:rPr>
              <w:t>10</w:t>
            </w:r>
            <w:r>
              <w:rPr>
                <w:rFonts w:hint="eastAsia" w:ascii="宋体" w:hAnsi="宋体" w:eastAsia="宋体" w:cs="宋体"/>
                <w:b w:val="0"/>
                <w:bCs w:val="0"/>
                <w:color w:val="auto"/>
                <w:sz w:val="24"/>
                <w:szCs w:val="24"/>
                <w:vertAlign w:val="baseline"/>
                <w:lang w:val="en-US" w:eastAsia="zh-CN"/>
              </w:rPr>
              <w:t>—</w:t>
            </w:r>
            <w:r>
              <w:rPr>
                <w:rFonts w:hint="eastAsia" w:ascii="宋体" w:hAnsi="宋体" w:cs="宋体"/>
                <w:b w:val="0"/>
                <w:bCs w:val="0"/>
                <w:color w:val="auto"/>
                <w:sz w:val="24"/>
                <w:szCs w:val="24"/>
                <w:vertAlign w:val="baseline"/>
                <w:lang w:val="en-US" w:eastAsia="zh-CN"/>
              </w:rPr>
              <w:t>20</w:t>
            </w:r>
            <w:r>
              <w:rPr>
                <w:rFonts w:hint="eastAsia" w:ascii="宋体" w:hAnsi="宋体" w:eastAsia="宋体" w:cs="宋体"/>
                <w:b w:val="0"/>
                <w:bCs w:val="0"/>
                <w:color w:val="auto"/>
                <w:sz w:val="24"/>
                <w:szCs w:val="24"/>
                <w:vertAlign w:val="baseline"/>
                <w:lang w:val="en-US" w:eastAsia="zh-CN"/>
              </w:rPr>
              <w:t>个新生儿护理</w:t>
            </w:r>
            <w:r>
              <w:rPr>
                <w:rFonts w:hint="eastAsia" w:ascii="宋体" w:hAnsi="宋体" w:cs="宋体"/>
                <w:b w:val="0"/>
                <w:bCs w:val="0"/>
                <w:color w:val="auto"/>
                <w:sz w:val="24"/>
                <w:szCs w:val="24"/>
                <w:vertAlign w:val="baseline"/>
                <w:lang w:val="en-US" w:eastAsia="zh-CN"/>
              </w:rPr>
              <w:t>经验</w:t>
            </w:r>
            <w:r>
              <w:rPr>
                <w:rFonts w:hint="eastAsia" w:ascii="宋体" w:hAnsi="宋体" w:eastAsia="宋体" w:cs="宋体"/>
                <w:b w:val="0"/>
                <w:bCs w:val="0"/>
                <w:color w:val="auto"/>
                <w:sz w:val="24"/>
                <w:szCs w:val="24"/>
                <w:vertAlign w:val="baseline"/>
                <w:lang w:val="en-US" w:eastAsia="zh-CN"/>
              </w:rPr>
              <w:t>，通过月嫂技能培训考核。</w:t>
            </w:r>
          </w:p>
        </w:tc>
        <w:tc>
          <w:tcPr>
            <w:tcW w:w="1350" w:type="dxa"/>
            <w:noWrap w:val="0"/>
            <w:vAlign w:val="top"/>
          </w:tcPr>
          <w:p>
            <w:pPr>
              <w:jc w:val="center"/>
              <w:rPr>
                <w:rFonts w:hint="eastAsia"/>
                <w:b w:val="0"/>
                <w:bCs w:val="0"/>
                <w:color w:val="auto"/>
                <w:sz w:val="24"/>
                <w:szCs w:val="24"/>
                <w:vertAlign w:val="baseline"/>
                <w:lang w:val="en-US" w:eastAsia="zh-CN"/>
              </w:rPr>
            </w:pPr>
          </w:p>
          <w:p>
            <w:pPr>
              <w:jc w:val="center"/>
              <w:rPr>
                <w:rFonts w:hint="eastAsia"/>
                <w:b w:val="0"/>
                <w:bCs w:val="0"/>
                <w:color w:val="auto"/>
                <w:sz w:val="24"/>
                <w:szCs w:val="24"/>
                <w:vertAlign w:val="baseline"/>
                <w:lang w:val="en-US" w:eastAsia="zh-CN"/>
              </w:rPr>
            </w:pPr>
          </w:p>
          <w:p>
            <w:pPr>
              <w:jc w:val="both"/>
              <w:rPr>
                <w:rFonts w:hint="default"/>
                <w:b/>
                <w:bCs/>
                <w:color w:val="auto"/>
                <w:sz w:val="24"/>
                <w:szCs w:val="24"/>
                <w:vertAlign w:val="baseline"/>
                <w:lang w:val="en-US" w:eastAsia="zh-CN"/>
              </w:rPr>
            </w:pPr>
            <w:r>
              <w:rPr>
                <w:rFonts w:hint="eastAsia"/>
                <w:b w:val="0"/>
                <w:bCs w:val="0"/>
                <w:color w:val="auto"/>
                <w:sz w:val="24"/>
                <w:szCs w:val="24"/>
                <w:vertAlign w:val="baseline"/>
                <w:lang w:val="en-US" w:eastAsia="zh-CN"/>
              </w:rPr>
              <w:t>有家属陪伴，有一定护理经验，顺产产妇。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2" w:hRule="atLeast"/>
        </w:trPr>
        <w:tc>
          <w:tcPr>
            <w:tcW w:w="721" w:type="dxa"/>
            <w:noWrap w:val="0"/>
            <w:vAlign w:val="top"/>
          </w:tcPr>
          <w:p>
            <w:pPr>
              <w:rPr>
                <w:rFonts w:hint="default"/>
                <w:b/>
                <w:bCs/>
                <w:color w:val="auto"/>
                <w:sz w:val="24"/>
                <w:szCs w:val="24"/>
                <w:vertAlign w:val="baseline"/>
                <w:lang w:val="en-US" w:eastAsia="zh-CN"/>
              </w:rPr>
            </w:pPr>
            <w:r>
              <w:rPr>
                <w:rFonts w:hint="eastAsia"/>
                <w:b/>
                <w:bCs/>
                <w:color w:val="auto"/>
                <w:sz w:val="24"/>
                <w:szCs w:val="24"/>
                <w:vertAlign w:val="baseline"/>
                <w:lang w:val="en-US" w:eastAsia="zh-CN"/>
              </w:rPr>
              <w:t>中级</w:t>
            </w:r>
          </w:p>
        </w:tc>
        <w:tc>
          <w:tcPr>
            <w:tcW w:w="1293" w:type="dxa"/>
            <w:noWrap w:val="0"/>
            <w:vAlign w:val="top"/>
          </w:tcPr>
          <w:p>
            <w:pPr>
              <w:rPr>
                <w:rFonts w:hint="default"/>
                <w:b/>
                <w:bCs/>
                <w:color w:val="auto"/>
                <w:sz w:val="24"/>
                <w:szCs w:val="24"/>
                <w:vertAlign w:val="baseline"/>
                <w:lang w:val="en-US" w:eastAsia="zh-CN"/>
              </w:rPr>
            </w:pPr>
            <w:r>
              <w:rPr>
                <w:rFonts w:hint="eastAsia"/>
                <w:b/>
                <w:bCs/>
                <w:color w:val="auto"/>
                <w:sz w:val="24"/>
                <w:szCs w:val="24"/>
                <w:vertAlign w:val="baseline"/>
                <w:lang w:val="en-US" w:eastAsia="zh-CN"/>
              </w:rPr>
              <w:t>400元/天</w:t>
            </w:r>
          </w:p>
        </w:tc>
        <w:tc>
          <w:tcPr>
            <w:tcW w:w="4636" w:type="dxa"/>
            <w:vMerge w:val="continue"/>
            <w:noWrap w:val="0"/>
            <w:vAlign w:val="top"/>
          </w:tcPr>
          <w:p>
            <w:pPr>
              <w:rPr>
                <w:rFonts w:hint="eastAsia"/>
                <w:b/>
                <w:bCs/>
                <w:color w:val="auto"/>
                <w:sz w:val="24"/>
                <w:szCs w:val="24"/>
                <w:vertAlign w:val="baseline"/>
                <w:lang w:val="en-US" w:eastAsia="zh-CN"/>
              </w:rPr>
            </w:pPr>
          </w:p>
        </w:tc>
        <w:tc>
          <w:tcPr>
            <w:tcW w:w="1560" w:type="dxa"/>
            <w:noWrap w:val="0"/>
            <w:vAlign w:val="top"/>
          </w:tcPr>
          <w:p>
            <w:pPr>
              <w:rPr>
                <w:rFonts w:hint="eastAsia"/>
                <w:b/>
                <w:bCs/>
                <w:color w:val="auto"/>
                <w:sz w:val="24"/>
                <w:szCs w:val="24"/>
                <w:vertAlign w:val="baseline"/>
                <w:lang w:val="en-US" w:eastAsia="zh-CN"/>
              </w:rPr>
            </w:pPr>
          </w:p>
          <w:p>
            <w:pPr>
              <w:rPr>
                <w:rFonts w:hint="eastAsia"/>
                <w:b/>
                <w:bCs/>
                <w:color w:val="auto"/>
                <w:sz w:val="24"/>
                <w:szCs w:val="24"/>
                <w:vertAlign w:val="baseline"/>
                <w:lang w:val="en-US" w:eastAsia="zh-CN"/>
              </w:rPr>
            </w:pPr>
          </w:p>
          <w:p>
            <w:pPr>
              <w:rPr>
                <w:rFonts w:hint="default"/>
                <w:b/>
                <w:bCs/>
                <w:color w:val="auto"/>
                <w:sz w:val="24"/>
                <w:szCs w:val="24"/>
                <w:vertAlign w:val="baseline"/>
                <w:lang w:val="en-US" w:eastAsia="zh-CN"/>
              </w:rPr>
            </w:pPr>
            <w:r>
              <w:rPr>
                <w:rFonts w:hint="eastAsia" w:ascii="宋体" w:hAnsi="宋体" w:cs="宋体"/>
                <w:b w:val="0"/>
                <w:bCs w:val="0"/>
                <w:color w:val="auto"/>
                <w:sz w:val="24"/>
                <w:szCs w:val="24"/>
                <w:vertAlign w:val="baseline"/>
                <w:lang w:val="en-US" w:eastAsia="zh-CN"/>
              </w:rPr>
              <w:t>曾</w:t>
            </w:r>
            <w:r>
              <w:rPr>
                <w:rFonts w:hint="eastAsia" w:ascii="宋体" w:hAnsi="宋体" w:eastAsia="宋体" w:cs="宋体"/>
                <w:b w:val="0"/>
                <w:bCs w:val="0"/>
                <w:color w:val="auto"/>
                <w:sz w:val="24"/>
                <w:szCs w:val="24"/>
                <w:vertAlign w:val="baseline"/>
                <w:lang w:val="en-US" w:eastAsia="zh-CN"/>
              </w:rPr>
              <w:t>完成20—30个新生儿护理</w:t>
            </w:r>
            <w:r>
              <w:rPr>
                <w:rFonts w:hint="eastAsia" w:ascii="宋体" w:hAnsi="宋体" w:cs="宋体"/>
                <w:b w:val="0"/>
                <w:bCs w:val="0"/>
                <w:color w:val="auto"/>
                <w:sz w:val="24"/>
                <w:szCs w:val="24"/>
                <w:vertAlign w:val="baseline"/>
                <w:lang w:val="en-US" w:eastAsia="zh-CN"/>
              </w:rPr>
              <w:t>经验</w:t>
            </w:r>
            <w:r>
              <w:rPr>
                <w:rFonts w:hint="eastAsia" w:ascii="宋体" w:hAnsi="宋体" w:eastAsia="宋体" w:cs="宋体"/>
                <w:b w:val="0"/>
                <w:bCs w:val="0"/>
                <w:color w:val="auto"/>
                <w:sz w:val="24"/>
                <w:szCs w:val="24"/>
                <w:vertAlign w:val="baseline"/>
                <w:lang w:val="en-US" w:eastAsia="zh-CN"/>
              </w:rPr>
              <w:t>，通过中级月嫂技能培训考核。</w:t>
            </w:r>
          </w:p>
        </w:tc>
        <w:tc>
          <w:tcPr>
            <w:tcW w:w="1350" w:type="dxa"/>
            <w:noWrap w:val="0"/>
            <w:vAlign w:val="top"/>
          </w:tcPr>
          <w:p>
            <w:pPr>
              <w:rPr>
                <w:rFonts w:hint="eastAsia"/>
                <w:b w:val="0"/>
                <w:bCs w:val="0"/>
                <w:color w:val="auto"/>
                <w:sz w:val="24"/>
                <w:szCs w:val="24"/>
                <w:vertAlign w:val="baseline"/>
                <w:lang w:val="en-US" w:eastAsia="zh-CN"/>
              </w:rPr>
            </w:pPr>
          </w:p>
          <w:p>
            <w:pPr>
              <w:rPr>
                <w:rFonts w:hint="eastAsia"/>
                <w:b w:val="0"/>
                <w:bCs w:val="0"/>
                <w:color w:val="auto"/>
                <w:sz w:val="24"/>
                <w:szCs w:val="24"/>
                <w:vertAlign w:val="baseline"/>
                <w:lang w:val="en-US" w:eastAsia="zh-CN"/>
              </w:rPr>
            </w:pPr>
          </w:p>
          <w:p>
            <w:pPr>
              <w:jc w:val="both"/>
              <w:rPr>
                <w:rFonts w:hint="default"/>
                <w:b w:val="0"/>
                <w:bCs w:val="0"/>
                <w:color w:val="auto"/>
                <w:sz w:val="24"/>
                <w:szCs w:val="24"/>
                <w:vertAlign w:val="baseline"/>
                <w:lang w:val="en-US" w:eastAsia="zh-CN"/>
              </w:rPr>
            </w:pPr>
            <w:r>
              <w:rPr>
                <w:rFonts w:hint="eastAsia"/>
                <w:b w:val="0"/>
                <w:bCs w:val="0"/>
                <w:color w:val="auto"/>
                <w:sz w:val="24"/>
                <w:szCs w:val="24"/>
                <w:vertAlign w:val="baseline"/>
                <w:lang w:val="en-US" w:eastAsia="zh-CN"/>
              </w:rPr>
              <w:t>剖宫产产妇，无家属陪伴，无护理经验者。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0" w:hRule="atLeast"/>
        </w:trPr>
        <w:tc>
          <w:tcPr>
            <w:tcW w:w="721" w:type="dxa"/>
            <w:noWrap w:val="0"/>
            <w:vAlign w:val="top"/>
          </w:tcPr>
          <w:p>
            <w:pPr>
              <w:rPr>
                <w:rFonts w:hint="default"/>
                <w:b/>
                <w:bCs/>
                <w:color w:val="auto"/>
                <w:sz w:val="24"/>
                <w:szCs w:val="24"/>
                <w:vertAlign w:val="baseline"/>
                <w:lang w:val="en-US" w:eastAsia="zh-CN"/>
              </w:rPr>
            </w:pPr>
            <w:r>
              <w:rPr>
                <w:rFonts w:hint="eastAsia"/>
                <w:b/>
                <w:bCs/>
                <w:color w:val="auto"/>
                <w:sz w:val="24"/>
                <w:szCs w:val="24"/>
                <w:vertAlign w:val="baseline"/>
                <w:lang w:val="en-US" w:eastAsia="zh-CN"/>
              </w:rPr>
              <w:t>高级</w:t>
            </w:r>
          </w:p>
        </w:tc>
        <w:tc>
          <w:tcPr>
            <w:tcW w:w="1293" w:type="dxa"/>
            <w:noWrap w:val="0"/>
            <w:vAlign w:val="top"/>
          </w:tcPr>
          <w:p>
            <w:pPr>
              <w:rPr>
                <w:rFonts w:hint="default"/>
                <w:b/>
                <w:bCs/>
                <w:color w:val="auto"/>
                <w:sz w:val="24"/>
                <w:szCs w:val="24"/>
                <w:vertAlign w:val="baseline"/>
                <w:lang w:val="en-US" w:eastAsia="zh-CN"/>
              </w:rPr>
            </w:pPr>
            <w:r>
              <w:rPr>
                <w:rFonts w:hint="eastAsia"/>
                <w:b/>
                <w:bCs/>
                <w:color w:val="auto"/>
                <w:sz w:val="24"/>
                <w:szCs w:val="24"/>
                <w:vertAlign w:val="baseline"/>
                <w:lang w:val="en-US" w:eastAsia="zh-CN"/>
              </w:rPr>
              <w:t>500元/天</w:t>
            </w:r>
          </w:p>
        </w:tc>
        <w:tc>
          <w:tcPr>
            <w:tcW w:w="4636" w:type="dxa"/>
            <w:vMerge w:val="continue"/>
            <w:noWrap w:val="0"/>
            <w:vAlign w:val="top"/>
          </w:tcPr>
          <w:p>
            <w:pPr>
              <w:rPr>
                <w:rFonts w:hint="eastAsia"/>
                <w:b/>
                <w:bCs/>
                <w:color w:val="auto"/>
                <w:sz w:val="24"/>
                <w:szCs w:val="24"/>
                <w:vertAlign w:val="baseline"/>
                <w:lang w:val="en-US" w:eastAsia="zh-CN"/>
              </w:rPr>
            </w:pPr>
          </w:p>
        </w:tc>
        <w:tc>
          <w:tcPr>
            <w:tcW w:w="1560" w:type="dxa"/>
            <w:noWrap w:val="0"/>
            <w:vAlign w:val="top"/>
          </w:tcPr>
          <w:p>
            <w:pPr>
              <w:rPr>
                <w:rFonts w:hint="eastAsia"/>
                <w:b/>
                <w:bCs/>
                <w:color w:val="auto"/>
                <w:sz w:val="24"/>
                <w:szCs w:val="24"/>
                <w:vertAlign w:val="baseline"/>
                <w:lang w:val="en-US" w:eastAsia="zh-CN"/>
              </w:rPr>
            </w:pPr>
          </w:p>
          <w:p>
            <w:pPr>
              <w:rPr>
                <w:rFonts w:hint="eastAsia"/>
                <w:b/>
                <w:bCs/>
                <w:color w:val="auto"/>
                <w:sz w:val="24"/>
                <w:szCs w:val="24"/>
                <w:vertAlign w:val="baseline"/>
                <w:lang w:val="en-US" w:eastAsia="zh-CN"/>
              </w:rPr>
            </w:pPr>
          </w:p>
          <w:p>
            <w:pPr>
              <w:rPr>
                <w:rFonts w:hint="eastAsia" w:ascii="宋体" w:hAnsi="宋体" w:eastAsia="宋体" w:cs="宋体"/>
                <w:b w:val="0"/>
                <w:bCs w:val="0"/>
                <w:color w:val="auto"/>
                <w:sz w:val="24"/>
                <w:szCs w:val="24"/>
                <w:vertAlign w:val="baseline"/>
                <w:lang w:val="en-US" w:eastAsia="zh-CN"/>
              </w:rPr>
            </w:pPr>
          </w:p>
          <w:p>
            <w:pPr>
              <w:rPr>
                <w:rFonts w:hint="eastAsia"/>
                <w:b/>
                <w:bCs/>
                <w:color w:val="auto"/>
                <w:sz w:val="24"/>
                <w:szCs w:val="24"/>
                <w:vertAlign w:val="baseline"/>
                <w:lang w:val="en-US" w:eastAsia="zh-CN"/>
              </w:rPr>
            </w:pPr>
            <w:r>
              <w:rPr>
                <w:rFonts w:hint="eastAsia" w:ascii="宋体" w:hAnsi="宋体" w:cs="宋体"/>
                <w:b w:val="0"/>
                <w:bCs w:val="0"/>
                <w:color w:val="auto"/>
                <w:sz w:val="24"/>
                <w:szCs w:val="24"/>
                <w:vertAlign w:val="baseline"/>
                <w:lang w:val="en-US" w:eastAsia="zh-CN"/>
              </w:rPr>
              <w:t>曾</w:t>
            </w:r>
            <w:r>
              <w:rPr>
                <w:rFonts w:hint="eastAsia" w:ascii="宋体" w:hAnsi="宋体" w:eastAsia="宋体" w:cs="宋体"/>
                <w:b w:val="0"/>
                <w:bCs w:val="0"/>
                <w:color w:val="auto"/>
                <w:sz w:val="24"/>
                <w:szCs w:val="24"/>
                <w:vertAlign w:val="baseline"/>
                <w:lang w:val="en-US" w:eastAsia="zh-CN"/>
              </w:rPr>
              <w:t>完成30—40个新生儿护理</w:t>
            </w:r>
            <w:r>
              <w:rPr>
                <w:rFonts w:hint="eastAsia" w:ascii="宋体" w:hAnsi="宋体" w:cs="宋体"/>
                <w:b w:val="0"/>
                <w:bCs w:val="0"/>
                <w:color w:val="auto"/>
                <w:sz w:val="24"/>
                <w:szCs w:val="24"/>
                <w:vertAlign w:val="baseline"/>
                <w:lang w:val="en-US" w:eastAsia="zh-CN"/>
              </w:rPr>
              <w:t>经验</w:t>
            </w:r>
            <w:r>
              <w:rPr>
                <w:rFonts w:hint="eastAsia" w:ascii="宋体" w:hAnsi="宋体" w:eastAsia="宋体" w:cs="宋体"/>
                <w:b w:val="0"/>
                <w:bCs w:val="0"/>
                <w:color w:val="auto"/>
                <w:sz w:val="24"/>
                <w:szCs w:val="24"/>
                <w:vertAlign w:val="baseline"/>
                <w:lang w:val="en-US" w:eastAsia="zh-CN"/>
              </w:rPr>
              <w:t>，通过高级月嫂技能培训考核。</w:t>
            </w:r>
          </w:p>
        </w:tc>
        <w:tc>
          <w:tcPr>
            <w:tcW w:w="1350" w:type="dxa"/>
            <w:noWrap w:val="0"/>
            <w:vAlign w:val="top"/>
          </w:tcPr>
          <w:p>
            <w:pPr>
              <w:jc w:val="both"/>
              <w:rPr>
                <w:rFonts w:hint="eastAsia"/>
                <w:b w:val="0"/>
                <w:bCs w:val="0"/>
                <w:color w:val="auto"/>
                <w:sz w:val="24"/>
                <w:szCs w:val="24"/>
                <w:vertAlign w:val="baseline"/>
                <w:lang w:val="en-US" w:eastAsia="zh-CN"/>
              </w:rPr>
            </w:pPr>
          </w:p>
          <w:p>
            <w:pPr>
              <w:jc w:val="both"/>
              <w:rPr>
                <w:rFonts w:hint="eastAsia"/>
                <w:b w:val="0"/>
                <w:bCs w:val="0"/>
                <w:color w:val="auto"/>
                <w:sz w:val="24"/>
                <w:szCs w:val="24"/>
                <w:vertAlign w:val="baseline"/>
                <w:lang w:val="en-US" w:eastAsia="zh-CN"/>
              </w:rPr>
            </w:pPr>
          </w:p>
          <w:p>
            <w:pPr>
              <w:jc w:val="both"/>
              <w:rPr>
                <w:rFonts w:hint="eastAsia"/>
                <w:b w:val="0"/>
                <w:bCs w:val="0"/>
                <w:color w:val="auto"/>
                <w:sz w:val="24"/>
                <w:szCs w:val="24"/>
                <w:vertAlign w:val="baseline"/>
                <w:lang w:val="en-US" w:eastAsia="zh-CN"/>
              </w:rPr>
            </w:pPr>
          </w:p>
          <w:p>
            <w:pPr>
              <w:jc w:val="both"/>
              <w:rPr>
                <w:rFonts w:hint="default"/>
                <w:b/>
                <w:bCs/>
                <w:color w:val="auto"/>
                <w:sz w:val="24"/>
                <w:szCs w:val="24"/>
                <w:vertAlign w:val="baseline"/>
                <w:lang w:val="en-US" w:eastAsia="zh-CN"/>
              </w:rPr>
            </w:pPr>
            <w:r>
              <w:rPr>
                <w:rFonts w:hint="eastAsia"/>
                <w:b w:val="0"/>
                <w:bCs w:val="0"/>
                <w:color w:val="auto"/>
                <w:sz w:val="24"/>
                <w:szCs w:val="24"/>
                <w:vertAlign w:val="baseline"/>
                <w:lang w:val="en-US" w:eastAsia="zh-CN"/>
              </w:rPr>
              <w:t>双胞胎，无家属陪伴，完全没护理经验者。</w:t>
            </w:r>
          </w:p>
        </w:tc>
      </w:tr>
    </w:tbl>
    <w:p>
      <w:pPr>
        <w:pStyle w:val="6"/>
        <w:numPr>
          <w:ilvl w:val="0"/>
          <w:numId w:val="0"/>
        </w:numPr>
        <w:ind w:right="1470" w:rightChars="700"/>
        <w:rPr>
          <w:rFonts w:hint="default"/>
          <w:color w:val="auto"/>
          <w:lang w:val="en-US" w:eastAsia="zh-CN"/>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3、服务期限：3年。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4、服务地点：娄底市中心医院。</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二、项目要求及采购人权利</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（一）投标供应商要求</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
          <w:bCs w:val="0"/>
          <w:color w:val="auto"/>
          <w:kern w:val="0"/>
          <w:sz w:val="28"/>
          <w:szCs w:val="28"/>
          <w:lang w:val="en-US" w:eastAsia="zh-CN" w:bidi="ar-SA"/>
        </w:rPr>
        <w:t>★</w:t>
      </w:r>
      <w:r>
        <w:rPr>
          <w:rFonts w:hint="eastAsia" w:asciiTheme="minorEastAsia" w:hAnsiTheme="minorEastAsia" w:eastAsiaTheme="minorEastAsia" w:cstheme="minorEastAsia"/>
          <w:bCs/>
          <w:color w:val="auto"/>
          <w:kern w:val="0"/>
          <w:sz w:val="28"/>
          <w:szCs w:val="28"/>
          <w:lang w:val="en-US" w:eastAsia="zh-CN" w:bidi="ar-SA"/>
        </w:rPr>
        <w:t>1、遵守国家法律法规和采购人（医院）规章制度，维护采购人正常工作秩序。</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
          <w:bCs w:val="0"/>
          <w:color w:val="auto"/>
          <w:kern w:val="0"/>
          <w:sz w:val="28"/>
          <w:szCs w:val="28"/>
          <w:lang w:val="en-US" w:eastAsia="zh-CN" w:bidi="ar-SA"/>
        </w:rPr>
        <w:t>★</w:t>
      </w:r>
      <w:r>
        <w:rPr>
          <w:rFonts w:hint="eastAsia" w:asciiTheme="minorEastAsia" w:hAnsiTheme="minorEastAsia" w:eastAsiaTheme="minorEastAsia" w:cstheme="minorEastAsia"/>
          <w:bCs/>
          <w:color w:val="auto"/>
          <w:kern w:val="0"/>
          <w:sz w:val="28"/>
          <w:szCs w:val="28"/>
          <w:lang w:val="en-US" w:eastAsia="zh-CN" w:bidi="ar-SA"/>
        </w:rPr>
        <w:t>2、供应商为患者开展的所有护理服务业务，实行自主经营、自负盈亏、自担风险。</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3、供应商应对护理员进行职业道德、护理知识、操作技能教育和培训，并教育护理员按照《医务人员职业暴露防护管理规定》要求进行操作，提高自我防护、安全保护意识。</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
          <w:bCs w:val="0"/>
          <w:color w:val="auto"/>
          <w:kern w:val="0"/>
          <w:sz w:val="28"/>
          <w:szCs w:val="28"/>
          <w:lang w:val="en-US" w:eastAsia="zh-CN" w:bidi="ar-SA"/>
        </w:rPr>
        <w:t>★</w:t>
      </w:r>
      <w:r>
        <w:rPr>
          <w:rFonts w:hint="eastAsia" w:asciiTheme="minorEastAsia" w:hAnsiTheme="minorEastAsia" w:eastAsiaTheme="minorEastAsia" w:cstheme="minorEastAsia"/>
          <w:b w:val="0"/>
          <w:bCs/>
          <w:color w:val="auto"/>
          <w:kern w:val="0"/>
          <w:sz w:val="28"/>
          <w:szCs w:val="28"/>
          <w:shd w:val="clear" w:color="auto" w:fill="auto"/>
          <w:lang w:val="en-US" w:eastAsia="zh-CN" w:bidi="ar-SA"/>
        </w:rPr>
        <w:t>4</w:t>
      </w:r>
      <w:r>
        <w:rPr>
          <w:rFonts w:hint="eastAsia" w:asciiTheme="minorEastAsia" w:hAnsiTheme="minorEastAsia" w:eastAsiaTheme="minorEastAsia" w:cstheme="minorEastAsia"/>
          <w:bCs/>
          <w:color w:val="auto"/>
          <w:kern w:val="0"/>
          <w:sz w:val="28"/>
          <w:szCs w:val="28"/>
          <w:lang w:val="en-US" w:eastAsia="zh-CN" w:bidi="ar-SA"/>
        </w:rPr>
        <w:t>、在工作期间各供应商需严格遵守采购人相关管理制度。</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供应商派遣陪护人员健康证，身份证，技能培训证书，与护理人员建立的劳动合同等相关资料复印件在医院归口管理部门存档，成交供应商及其人员应积极配合。</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5、将护理服务方案、护理员工作管理制度、服务标准、收费标准及方式等文件报采购人审核并备案（公示）；在与患者或患者家属签订的护理协议期限内，不得随意提高收费标准或增加项目变相提高收费标准。</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6、自行购置护理所需的全部办公用品，和工作用物(如口罩、手套等)。</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7、负责护理员的招聘、培训、考核、管理。</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8、要求护理员挂牌上岗，着装整洁，做好自我防护(如穿工作服、戴口罩、帽子、手套等)和安全保护。</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9、向患者或患者家属详细介绍护理员、服务项目、护理等级等，与患者或患者家属签订护理服务协议。</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10、对护理员工作定期巡察、回访，确保向患者提供的护理服务符合护理服务协议约定。</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11、制定护理员服务标准和服务意见征询表等，根据采购人和患者或患者家属的反馈意见，对护理员的工作进行评估、考核。</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12、负责处理因护理员引起的投诉、纠纷、事故，并承担由此产生的一切费用。</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13、专门指派 1-2名管理人员对其护理人员进行 12 小时全面监督工作，统一为患者指派陪护人员。</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14、供应商与护理员建立劳动合同关系并及时向护理员支付工资、缴纳社会保险费。</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15、承担护理员培训过程中产生的师资费、场地费等一切费用。</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16、向患者或患者家属收取服务费并出具收款、收据或发票。</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（二）采购人权利及职责</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
          <w:bCs w:val="0"/>
          <w:color w:val="auto"/>
          <w:kern w:val="0"/>
          <w:sz w:val="28"/>
          <w:szCs w:val="28"/>
          <w:lang w:val="en-US" w:eastAsia="zh-CN" w:bidi="ar-SA"/>
        </w:rPr>
        <w:t>★</w:t>
      </w:r>
      <w:r>
        <w:rPr>
          <w:rFonts w:hint="eastAsia" w:asciiTheme="minorEastAsia" w:hAnsiTheme="minorEastAsia" w:eastAsiaTheme="minorEastAsia" w:cstheme="minorEastAsia"/>
          <w:bCs/>
          <w:color w:val="auto"/>
          <w:kern w:val="0"/>
          <w:sz w:val="28"/>
          <w:szCs w:val="28"/>
          <w:lang w:val="en-US" w:eastAsia="zh-CN" w:bidi="ar-SA"/>
        </w:rPr>
        <w:t>1、采购人有权对护理员的服务工作进行监督，随时向患者了解护理员的服务情况，对不称职的护理员有权要求改正，对拒不改正的有权要求成交供应商予以更换。</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2、采购人有权查看成交供应商派遣陪护人员健康证，身份证，技能培训证书等相关档案，成交供应商及其人员应积极配合。</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3、采购人有权对成交供应商提供的护理方案、护理员工作制度、服务标准、收费标准及方式成交供应商与患者或患者家属签订的护理服务协议等进行审核。</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4、有权监督成交供应商保质保量完成相关的护理工作，随时向患者了解成交供应商陪护人员的服务情况。</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5、有权制止成交供应商陪护人员在采购人从事与护理服务无关的活动。</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6、如条件许可，提供场地(房屋)供成交供应商作办公场所，具体以采购人实际交付的为准。</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7、协助成交供应商聘请相关专业人员对护理员进行职业道德、护理知识、操作技能培训。</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8、做好医务、护理、保卫等相关科室工作，配合成交供应商开展工作。</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9、除本项目成交供应外，采购人不再安排或允许其他单位或社会组织为患者提供护理员，但患者自行聘请的除外。</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default" w:asciiTheme="minorEastAsia" w:hAnsiTheme="minorEastAsia" w:eastAsiaTheme="minorEastAsia" w:cstheme="minorEastAsia"/>
          <w:b/>
          <w:bCs w:val="0"/>
          <w:color w:val="auto"/>
          <w:kern w:val="0"/>
          <w:sz w:val="28"/>
          <w:szCs w:val="28"/>
          <w:lang w:val="en-US" w:eastAsia="zh-CN" w:bidi="ar-SA"/>
        </w:rPr>
      </w:pPr>
      <w:r>
        <w:rPr>
          <w:rFonts w:hint="eastAsia" w:asciiTheme="minorEastAsia" w:hAnsiTheme="minorEastAsia" w:eastAsiaTheme="minorEastAsia" w:cstheme="minorEastAsia"/>
          <w:b/>
          <w:bCs w:val="0"/>
          <w:color w:val="auto"/>
          <w:kern w:val="0"/>
          <w:sz w:val="28"/>
          <w:szCs w:val="28"/>
          <w:lang w:val="en-US" w:eastAsia="zh-CN" w:bidi="ar-SA"/>
        </w:rPr>
        <w:t>注：本条所有标★条款为实质性要求，各投标供应商必须响应，否则视为不合格供应商。需提供采购需求响应/偏离表，并由供应商法人或授权委托人签字并加盖公章。</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1、封面：需注明标书的名称、投标文件、单位、时间。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7、投标文件的每一页都必须加盖投标单位的公章。</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8、投标文件参数响应表中必须标注响应项佐证材料所对应页面，否则视为无效投标文件。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必须胶装并用纸质文件袋封好（一正贰副），标书必须“A4规格纸张胶制（非打孔或夹装）装订成册，并编制总目录”,要求密封，否则视为符合性审查不合格，作无效投标处理，在开标现场验证时打开，采用现场开标的方式。</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ind w:firstLine="720" w:firstLineChars="200"/>
        <w:jc w:val="center"/>
        <w:rPr>
          <w:rFonts w:hint="eastAsia" w:ascii="宋体" w:hAnsi="宋体" w:cs="宋体"/>
          <w:color w:val="auto"/>
          <w:sz w:val="36"/>
          <w:szCs w:val="36"/>
          <w:lang w:val="en-US" w:eastAsia="zh-CN"/>
        </w:rPr>
      </w:pPr>
      <w:r>
        <w:rPr>
          <w:rFonts w:hint="eastAsia" w:ascii="宋体" w:hAnsi="宋体" w:cs="宋体"/>
          <w:color w:val="auto"/>
          <w:sz w:val="36"/>
          <w:szCs w:val="36"/>
          <w:lang w:val="en-US" w:eastAsia="zh-CN"/>
        </w:rPr>
        <w:t>第三章评标方法及标准</w:t>
      </w:r>
    </w:p>
    <w:p>
      <w:pPr>
        <w:adjustRightInd w:val="0"/>
        <w:snapToGrid w:val="0"/>
        <w:spacing w:line="360" w:lineRule="auto"/>
        <w:jc w:val="center"/>
        <w:rPr>
          <w:rFonts w:hint="eastAsia" w:ascii="宋体" w:hAnsi="宋体" w:cs="宋体"/>
          <w:b/>
          <w:color w:val="auto"/>
          <w:sz w:val="28"/>
          <w:szCs w:val="21"/>
        </w:rPr>
      </w:pPr>
      <w:r>
        <w:rPr>
          <w:rFonts w:hint="eastAsia" w:ascii="宋体" w:hAnsi="宋体" w:cs="宋体"/>
          <w:b/>
          <w:color w:val="auto"/>
          <w:sz w:val="28"/>
          <w:szCs w:val="21"/>
        </w:rPr>
        <w:t>投标人综合评分表</w:t>
      </w:r>
    </w:p>
    <w:tbl>
      <w:tblPr>
        <w:tblStyle w:val="10"/>
        <w:tblW w:w="5687"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06"/>
        <w:gridCol w:w="1215"/>
        <w:gridCol w:w="1343"/>
        <w:gridCol w:w="1642"/>
        <w:gridCol w:w="560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38" w:hRule="atLeast"/>
          <w:jc w:val="center"/>
        </w:trPr>
        <w:tc>
          <w:tcPr>
            <w:tcW w:w="245"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序号</w:t>
            </w:r>
          </w:p>
        </w:tc>
        <w:tc>
          <w:tcPr>
            <w:tcW w:w="589"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评审项目</w:t>
            </w:r>
          </w:p>
        </w:tc>
        <w:tc>
          <w:tcPr>
            <w:tcW w:w="1447" w:type="pct"/>
            <w:gridSpan w:val="2"/>
            <w:noWrap w:val="0"/>
            <w:vAlign w:val="top"/>
          </w:tcPr>
          <w:p>
            <w:pPr>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项目限价</w:t>
            </w:r>
          </w:p>
        </w:tc>
        <w:tc>
          <w:tcPr>
            <w:tcW w:w="2716" w:type="pct"/>
            <w:noWrap w:val="0"/>
            <w:vAlign w:val="center"/>
          </w:tcPr>
          <w:p>
            <w:pPr>
              <w:ind w:left="480"/>
              <w:jc w:val="center"/>
              <w:rPr>
                <w:rFonts w:hint="eastAsia" w:ascii="宋体" w:hAnsi="宋体" w:cs="宋体"/>
                <w:color w:val="auto"/>
                <w:sz w:val="24"/>
                <w:szCs w:val="24"/>
              </w:rPr>
            </w:pPr>
            <w:r>
              <w:rPr>
                <w:rFonts w:hint="eastAsia" w:ascii="宋体" w:hAnsi="宋体" w:cs="宋体"/>
                <w:color w:val="auto"/>
                <w:sz w:val="24"/>
                <w:szCs w:val="24"/>
              </w:rPr>
              <w:t>评审标准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227" w:hRule="atLeast"/>
          <w:jc w:val="center"/>
        </w:trPr>
        <w:tc>
          <w:tcPr>
            <w:tcW w:w="245"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1</w:t>
            </w:r>
          </w:p>
        </w:tc>
        <w:tc>
          <w:tcPr>
            <w:tcW w:w="589" w:type="pct"/>
            <w:vMerge w:val="restart"/>
            <w:noWrap w:val="0"/>
            <w:vAlign w:val="center"/>
          </w:tcPr>
          <w:p>
            <w:pPr>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服务收费（总分10分）</w:t>
            </w:r>
          </w:p>
        </w:tc>
        <w:tc>
          <w:tcPr>
            <w:tcW w:w="1447" w:type="pct"/>
            <w:gridSpan w:val="2"/>
            <w:noWrap w:val="0"/>
            <w:vAlign w:val="center"/>
          </w:tcPr>
          <w:p>
            <w:pPr>
              <w:jc w:val="left"/>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项目报价（在采购需求里说明限价与需求</w:t>
            </w:r>
          </w:p>
        </w:tc>
        <w:tc>
          <w:tcPr>
            <w:tcW w:w="2716" w:type="pct"/>
            <w:noWrap w:val="0"/>
            <w:vAlign w:val="center"/>
          </w:tcPr>
          <w:p>
            <w:pPr>
              <w:rPr>
                <w:rFonts w:hint="eastAsia"/>
                <w:color w:val="auto"/>
                <w:sz w:val="24"/>
                <w:szCs w:val="24"/>
                <w:lang w:val="en-US" w:eastAsia="zh-CN"/>
              </w:rPr>
            </w:pPr>
            <w:r>
              <w:rPr>
                <w:rFonts w:hint="eastAsia"/>
                <w:color w:val="auto"/>
                <w:sz w:val="24"/>
                <w:szCs w:val="24"/>
                <w:lang w:val="en-US" w:eastAsia="zh-CN"/>
              </w:rPr>
              <w:t>满足采购文件基本资格要求、特定资格要求、实质性条款要求且</w:t>
            </w:r>
            <w:r>
              <w:rPr>
                <w:rFonts w:hint="eastAsia" w:ascii="Times New Roman" w:hAnsi="Times New Roman" w:cs="Times New Roman"/>
                <w:color w:val="auto"/>
                <w:sz w:val="24"/>
                <w:szCs w:val="24"/>
                <w:lang w:val="en-US" w:eastAsia="zh-CN"/>
              </w:rPr>
              <w:t>最终投标价格最低的投标报价为评标基准价（</w:t>
            </w:r>
            <w:r>
              <w:rPr>
                <w:rFonts w:hint="eastAsia" w:ascii="Times New Roman" w:hAnsi="Times New Roman" w:cs="Times New Roman"/>
                <w:b/>
                <w:bCs/>
                <w:color w:val="auto"/>
                <w:sz w:val="24"/>
                <w:szCs w:val="24"/>
                <w:lang w:val="en-US" w:eastAsia="zh-CN"/>
              </w:rPr>
              <w:t>3项相加总和</w:t>
            </w:r>
            <w:r>
              <w:rPr>
                <w:rFonts w:hint="eastAsia" w:ascii="Times New Roman" w:hAnsi="Times New Roman" w:cs="Times New Roman"/>
                <w:color w:val="auto"/>
                <w:sz w:val="24"/>
                <w:szCs w:val="24"/>
                <w:lang w:val="en-US" w:eastAsia="zh-CN"/>
              </w:rPr>
              <w:t>），其价格分为满分，其他有效投标人的价格分按照下列公式计算：投标报价得分=（评标基准价 ／最终投标报价）×</w:t>
            </w:r>
            <w:r>
              <w:rPr>
                <w:rFonts w:hint="eastAsia" w:cs="Times New Roman"/>
                <w:color w:val="auto"/>
                <w:sz w:val="24"/>
                <w:szCs w:val="24"/>
                <w:lang w:val="en-US" w:eastAsia="zh-CN"/>
              </w:rPr>
              <w:t>1</w:t>
            </w:r>
            <w:r>
              <w:rPr>
                <w:rFonts w:hint="eastAsia" w:ascii="Times New Roman" w:hAnsi="Times New Roman" w:cs="Times New Roman"/>
                <w:color w:val="auto"/>
                <w:sz w:val="24"/>
                <w:szCs w:val="24"/>
                <w:lang w:val="en-US" w:eastAsia="zh-CN"/>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27" w:hRule="atLeast"/>
          <w:jc w:val="center"/>
        </w:trPr>
        <w:tc>
          <w:tcPr>
            <w:tcW w:w="245"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2</w:t>
            </w:r>
          </w:p>
        </w:tc>
        <w:tc>
          <w:tcPr>
            <w:tcW w:w="589" w:type="pct"/>
            <w:vMerge w:val="restart"/>
            <w:noWrap w:val="0"/>
            <w:vAlign w:val="center"/>
          </w:tcPr>
          <w:p>
            <w:pPr>
              <w:jc w:val="center"/>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商务评审项</w:t>
            </w:r>
          </w:p>
          <w:p>
            <w:pPr>
              <w:jc w:val="center"/>
              <w:rPr>
                <w:rFonts w:hint="default"/>
                <w:color w:val="auto"/>
                <w:sz w:val="20"/>
                <w:szCs w:val="22"/>
                <w:lang w:val="en-US"/>
              </w:rPr>
            </w:pPr>
            <w:r>
              <w:rPr>
                <w:rFonts w:hint="eastAsia" w:ascii="宋体" w:hAnsi="宋体" w:cs="宋体"/>
                <w:color w:val="auto"/>
                <w:sz w:val="24"/>
                <w:szCs w:val="24"/>
                <w:lang w:val="en-US" w:eastAsia="zh-CN"/>
              </w:rPr>
              <w:t>（35分）</w:t>
            </w:r>
          </w:p>
        </w:tc>
        <w:tc>
          <w:tcPr>
            <w:tcW w:w="651" w:type="pct"/>
            <w:noWrap w:val="0"/>
            <w:vAlign w:val="center"/>
          </w:tcPr>
          <w:p>
            <w:pPr>
              <w:jc w:val="center"/>
              <w:rPr>
                <w:rFonts w:ascii="宋体" w:hAnsi="宋体"/>
                <w:color w:val="auto"/>
                <w:sz w:val="24"/>
                <w:szCs w:val="24"/>
              </w:rPr>
            </w:pPr>
            <w:r>
              <w:rPr>
                <w:rFonts w:ascii="宋体" w:hAnsi="宋体"/>
                <w:color w:val="auto"/>
                <w:sz w:val="24"/>
                <w:szCs w:val="24"/>
              </w:rPr>
              <w:t>对招标文件的响应程度</w:t>
            </w:r>
          </w:p>
        </w:tc>
        <w:tc>
          <w:tcPr>
            <w:tcW w:w="796" w:type="pct"/>
            <w:noWrap w:val="0"/>
            <w:vAlign w:val="center"/>
          </w:tcPr>
          <w:p>
            <w:pPr>
              <w:jc w:val="center"/>
              <w:rPr>
                <w:rFonts w:hint="default" w:eastAsia="宋体"/>
                <w:color w:val="auto"/>
                <w:lang w:val="en-US" w:eastAsia="zh-CN"/>
              </w:rPr>
            </w:pPr>
            <w:r>
              <w:rPr>
                <w:rFonts w:hint="eastAsia" w:ascii="宋体" w:hAnsi="宋体"/>
                <w:color w:val="auto"/>
                <w:sz w:val="24"/>
                <w:szCs w:val="24"/>
                <w:lang w:val="en-US" w:eastAsia="zh-CN"/>
              </w:rPr>
              <w:t>5分</w:t>
            </w:r>
          </w:p>
        </w:tc>
        <w:tc>
          <w:tcPr>
            <w:tcW w:w="2716" w:type="pct"/>
            <w:noWrap w:val="0"/>
            <w:vAlign w:val="center"/>
          </w:tcPr>
          <w:p>
            <w:pPr>
              <w:rPr>
                <w:rFonts w:hint="eastAsia" w:ascii="宋体" w:hAnsi="宋体" w:cs="宋体"/>
                <w:color w:val="auto"/>
                <w:sz w:val="24"/>
                <w:szCs w:val="24"/>
              </w:rPr>
            </w:pPr>
            <w:r>
              <w:rPr>
                <w:rFonts w:hint="eastAsia" w:ascii="宋体" w:hAnsi="宋体"/>
                <w:color w:val="auto"/>
                <w:sz w:val="24"/>
                <w:szCs w:val="24"/>
              </w:rPr>
              <w:t>以招标文件格式为基础，根据投标文件制作的优劣，专家酌情打分，</w:t>
            </w:r>
            <w:r>
              <w:rPr>
                <w:rFonts w:hint="eastAsia" w:ascii="宋体" w:hAnsi="宋体"/>
                <w:color w:val="auto"/>
                <w:sz w:val="24"/>
                <w:szCs w:val="24"/>
                <w:lang w:val="en-US" w:eastAsia="zh-CN"/>
              </w:rPr>
              <w:t>满分5分，</w:t>
            </w:r>
            <w:r>
              <w:rPr>
                <w:rFonts w:hint="eastAsia" w:ascii="宋体" w:hAnsi="宋体"/>
                <w:color w:val="auto"/>
                <w:sz w:val="24"/>
                <w:szCs w:val="24"/>
              </w:rPr>
              <w:t>每有一处扣</w:t>
            </w:r>
            <w:r>
              <w:rPr>
                <w:rFonts w:hint="eastAsia" w:ascii="宋体" w:hAnsi="宋体"/>
                <w:color w:val="auto"/>
                <w:sz w:val="24"/>
                <w:szCs w:val="24"/>
                <w:lang w:val="en-US" w:eastAsia="zh-CN"/>
              </w:rPr>
              <w:t>1</w:t>
            </w:r>
            <w:r>
              <w:rPr>
                <w:rFonts w:hint="eastAsia" w:ascii="宋体" w:hAnsi="宋体"/>
                <w:color w:val="auto"/>
                <w:sz w:val="24"/>
                <w:szCs w:val="24"/>
              </w:rPr>
              <w:t>分，扣</w:t>
            </w:r>
            <w:r>
              <w:rPr>
                <w:rFonts w:hint="eastAsia" w:ascii="宋体" w:hAnsi="宋体"/>
                <w:color w:val="auto"/>
                <w:sz w:val="24"/>
                <w:szCs w:val="24"/>
                <w:lang w:val="en-US" w:eastAsia="zh-CN"/>
              </w:rPr>
              <w:t>完为止</w:t>
            </w:r>
            <w:r>
              <w:rPr>
                <w:rFonts w:hint="eastAsia" w:ascii="宋体" w:hAnsi="宋体"/>
                <w:color w:val="auto"/>
                <w:sz w:val="24"/>
                <w:szCs w:val="24"/>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27" w:hRule="atLeast"/>
          <w:jc w:val="center"/>
        </w:trPr>
        <w:tc>
          <w:tcPr>
            <w:tcW w:w="245" w:type="pct"/>
            <w:vMerge w:val="continue"/>
            <w:noWrap w:val="0"/>
            <w:vAlign w:val="center"/>
          </w:tcPr>
          <w:p>
            <w:pPr>
              <w:jc w:val="center"/>
              <w:rPr>
                <w:rFonts w:hint="eastAsia" w:ascii="宋体" w:hAnsi="宋体" w:cs="宋体"/>
                <w:color w:val="auto"/>
                <w:sz w:val="24"/>
                <w:szCs w:val="24"/>
              </w:rPr>
            </w:pPr>
          </w:p>
        </w:tc>
        <w:tc>
          <w:tcPr>
            <w:tcW w:w="589" w:type="pct"/>
            <w:vMerge w:val="continue"/>
            <w:noWrap w:val="0"/>
            <w:vAlign w:val="center"/>
          </w:tcPr>
          <w:p>
            <w:pPr>
              <w:jc w:val="center"/>
              <w:rPr>
                <w:rFonts w:hint="eastAsia" w:ascii="宋体" w:hAnsi="宋体" w:cs="宋体"/>
                <w:color w:val="auto"/>
                <w:sz w:val="24"/>
                <w:szCs w:val="24"/>
                <w:lang w:val="en-US" w:eastAsia="zh-CN"/>
              </w:rPr>
            </w:pPr>
          </w:p>
        </w:tc>
        <w:tc>
          <w:tcPr>
            <w:tcW w:w="651" w:type="pct"/>
            <w:noWrap w:val="0"/>
            <w:vAlign w:val="center"/>
          </w:tcPr>
          <w:p>
            <w:pPr>
              <w:jc w:val="center"/>
              <w:rPr>
                <w:rFonts w:hint="eastAsia" w:ascii="宋体" w:hAnsi="宋体"/>
                <w:color w:val="auto"/>
                <w:sz w:val="24"/>
                <w:szCs w:val="24"/>
                <w:lang w:val="en-US" w:eastAsia="zh-CN"/>
              </w:rPr>
            </w:pPr>
            <w:r>
              <w:rPr>
                <w:rFonts w:hint="eastAsia" w:ascii="宋体" w:hAnsi="宋体"/>
                <w:color w:val="auto"/>
                <w:sz w:val="24"/>
                <w:szCs w:val="24"/>
                <w:lang w:val="en-US" w:eastAsia="zh-CN"/>
              </w:rPr>
              <w:t>类似业绩</w:t>
            </w:r>
          </w:p>
        </w:tc>
        <w:tc>
          <w:tcPr>
            <w:tcW w:w="796" w:type="pct"/>
            <w:noWrap w:val="0"/>
            <w:vAlign w:val="center"/>
          </w:tcPr>
          <w:p>
            <w:pPr>
              <w:jc w:val="center"/>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10分</w:t>
            </w:r>
          </w:p>
        </w:tc>
        <w:tc>
          <w:tcPr>
            <w:tcW w:w="2716" w:type="pct"/>
            <w:noWrap w:val="0"/>
            <w:vAlign w:val="center"/>
          </w:tcPr>
          <w:p>
            <w:pPr>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近5年在同级医院有类似</w:t>
            </w:r>
            <w:r>
              <w:rPr>
                <w:rFonts w:hint="eastAsia" w:cs="Times New Roman"/>
                <w:bCs/>
                <w:color w:val="auto"/>
                <w:sz w:val="24"/>
                <w:szCs w:val="24"/>
                <w:lang w:val="en-US" w:eastAsia="zh-CN"/>
              </w:rPr>
              <w:t>月嫂陪护服务</w:t>
            </w:r>
            <w:r>
              <w:rPr>
                <w:rFonts w:hint="eastAsia" w:ascii="宋体" w:hAnsi="宋体"/>
                <w:color w:val="auto"/>
                <w:sz w:val="24"/>
                <w:szCs w:val="24"/>
                <w:lang w:val="en-US" w:eastAsia="zh-CN"/>
              </w:rPr>
              <w:t>经验，每提供一份合同计2分，满分10分；在三甲综合医院有陪护服务经验的另加2分。以合同签订时间为准，提供合同复印件并加盖公章，同个单位只计算一个业绩。提供原件备查，否则不计分。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32" w:hRule="atLeast"/>
          <w:jc w:val="center"/>
        </w:trPr>
        <w:tc>
          <w:tcPr>
            <w:tcW w:w="245" w:type="pct"/>
            <w:vMerge w:val="continue"/>
            <w:noWrap w:val="0"/>
            <w:vAlign w:val="center"/>
          </w:tcPr>
          <w:p>
            <w:pPr>
              <w:jc w:val="center"/>
              <w:rPr>
                <w:rFonts w:hint="eastAsia" w:ascii="宋体" w:hAnsi="宋体" w:cs="宋体"/>
                <w:color w:val="auto"/>
                <w:sz w:val="24"/>
                <w:szCs w:val="24"/>
              </w:rPr>
            </w:pPr>
          </w:p>
        </w:tc>
        <w:tc>
          <w:tcPr>
            <w:tcW w:w="589" w:type="pct"/>
            <w:vMerge w:val="continue"/>
            <w:noWrap w:val="0"/>
            <w:vAlign w:val="center"/>
          </w:tcPr>
          <w:p>
            <w:pPr>
              <w:jc w:val="center"/>
              <w:rPr>
                <w:rFonts w:hint="eastAsia" w:ascii="宋体" w:hAnsi="宋体" w:cs="宋体"/>
                <w:color w:val="auto"/>
                <w:sz w:val="24"/>
                <w:szCs w:val="24"/>
                <w:lang w:val="en-US" w:eastAsia="zh-CN"/>
              </w:rPr>
            </w:pPr>
          </w:p>
        </w:tc>
        <w:tc>
          <w:tcPr>
            <w:tcW w:w="651" w:type="pct"/>
            <w:noWrap w:val="0"/>
            <w:vAlign w:val="center"/>
          </w:tcPr>
          <w:p>
            <w:pPr>
              <w:jc w:val="center"/>
              <w:rPr>
                <w:rFonts w:hint="eastAsia" w:ascii="宋体" w:hAnsi="宋体"/>
                <w:color w:val="auto"/>
                <w:sz w:val="24"/>
                <w:szCs w:val="24"/>
                <w:lang w:val="en-US" w:eastAsia="zh-CN"/>
              </w:rPr>
            </w:pPr>
            <w:r>
              <w:rPr>
                <w:rFonts w:hint="eastAsia" w:ascii="宋体" w:hAnsi="宋体"/>
                <w:color w:val="auto"/>
                <w:sz w:val="24"/>
                <w:szCs w:val="24"/>
                <w:lang w:val="en-US" w:eastAsia="zh-CN"/>
              </w:rPr>
              <w:t>人员实力</w:t>
            </w:r>
          </w:p>
        </w:tc>
        <w:tc>
          <w:tcPr>
            <w:tcW w:w="796" w:type="pct"/>
            <w:noWrap w:val="0"/>
            <w:vAlign w:val="center"/>
          </w:tcPr>
          <w:p>
            <w:pPr>
              <w:jc w:val="center"/>
              <w:rPr>
                <w:rFonts w:hint="default"/>
                <w:color w:val="auto"/>
                <w:lang w:val="en-US" w:eastAsia="zh-CN"/>
              </w:rPr>
            </w:pPr>
            <w:r>
              <w:rPr>
                <w:rFonts w:hint="eastAsia" w:ascii="宋体" w:hAnsi="宋体"/>
                <w:color w:val="auto"/>
                <w:sz w:val="24"/>
                <w:szCs w:val="24"/>
                <w:lang w:val="en-US" w:eastAsia="zh-CN"/>
              </w:rPr>
              <w:t>10分</w:t>
            </w:r>
          </w:p>
        </w:tc>
        <w:tc>
          <w:tcPr>
            <w:tcW w:w="2716" w:type="pct"/>
            <w:noWrap w:val="0"/>
            <w:vAlign w:val="center"/>
          </w:tcPr>
          <w:p>
            <w:pPr>
              <w:rPr>
                <w:rFonts w:hint="default" w:ascii="宋体" w:hAnsi="宋体"/>
                <w:color w:val="auto"/>
                <w:sz w:val="24"/>
                <w:szCs w:val="24"/>
                <w:lang w:val="en-US" w:eastAsia="zh-CN"/>
              </w:rPr>
            </w:pPr>
            <w:r>
              <w:rPr>
                <w:rFonts w:hint="eastAsia" w:ascii="宋体" w:hAnsi="宋体"/>
                <w:color w:val="auto"/>
                <w:sz w:val="24"/>
                <w:szCs w:val="24"/>
                <w:lang w:val="en-US" w:eastAsia="zh-CN"/>
              </w:rPr>
              <w:t>供应商拟投入本项目的人员通过专业技能培训，具有国家人社部门颁发的育婴员（师）的每人计2分，最多计10分。提供证书复印件，并加盖公章，否则不计分。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32" w:hRule="atLeast"/>
          <w:jc w:val="center"/>
        </w:trPr>
        <w:tc>
          <w:tcPr>
            <w:tcW w:w="245" w:type="pct"/>
            <w:vMerge w:val="continue"/>
            <w:noWrap w:val="0"/>
            <w:vAlign w:val="center"/>
          </w:tcPr>
          <w:p>
            <w:pPr>
              <w:jc w:val="center"/>
              <w:rPr>
                <w:rFonts w:hint="eastAsia" w:ascii="宋体" w:hAnsi="宋体" w:cs="宋体"/>
                <w:color w:val="auto"/>
                <w:sz w:val="24"/>
                <w:szCs w:val="24"/>
              </w:rPr>
            </w:pPr>
          </w:p>
        </w:tc>
        <w:tc>
          <w:tcPr>
            <w:tcW w:w="589" w:type="pct"/>
            <w:vMerge w:val="continue"/>
            <w:noWrap w:val="0"/>
            <w:vAlign w:val="center"/>
          </w:tcPr>
          <w:p>
            <w:pPr>
              <w:jc w:val="center"/>
              <w:rPr>
                <w:rFonts w:hint="eastAsia" w:ascii="宋体" w:hAnsi="宋体" w:cs="宋体"/>
                <w:color w:val="auto"/>
                <w:sz w:val="24"/>
                <w:szCs w:val="24"/>
                <w:lang w:val="en-US" w:eastAsia="zh-CN"/>
              </w:rPr>
            </w:pPr>
          </w:p>
        </w:tc>
        <w:tc>
          <w:tcPr>
            <w:tcW w:w="651" w:type="pct"/>
            <w:noWrap w:val="0"/>
            <w:vAlign w:val="center"/>
          </w:tcPr>
          <w:p>
            <w:pPr>
              <w:jc w:val="center"/>
              <w:rPr>
                <w:rFonts w:hint="eastAsia" w:cs="Times New Roman"/>
                <w:bCs/>
                <w:color w:val="auto"/>
                <w:sz w:val="24"/>
                <w:szCs w:val="24"/>
                <w:lang w:val="en-US" w:eastAsia="zh-CN"/>
              </w:rPr>
            </w:pPr>
            <w:r>
              <w:rPr>
                <w:rFonts w:hint="eastAsia" w:cs="Times New Roman"/>
                <w:bCs/>
                <w:color w:val="auto"/>
                <w:sz w:val="24"/>
                <w:szCs w:val="24"/>
                <w:lang w:val="en-US" w:eastAsia="zh-CN"/>
              </w:rPr>
              <w:t>服务团队实力</w:t>
            </w:r>
          </w:p>
        </w:tc>
        <w:tc>
          <w:tcPr>
            <w:tcW w:w="796" w:type="pct"/>
            <w:noWrap w:val="0"/>
            <w:vAlign w:val="center"/>
          </w:tcPr>
          <w:p>
            <w:pPr>
              <w:jc w:val="center"/>
              <w:rPr>
                <w:rFonts w:hint="eastAsia" w:ascii="宋体" w:hAnsi="宋体"/>
                <w:color w:val="auto"/>
                <w:sz w:val="24"/>
                <w:szCs w:val="24"/>
                <w:lang w:val="en-US" w:eastAsia="zh-CN"/>
              </w:rPr>
            </w:pPr>
            <w:r>
              <w:rPr>
                <w:rFonts w:hint="eastAsia" w:cs="Times New Roman"/>
                <w:bCs/>
                <w:color w:val="auto"/>
                <w:sz w:val="24"/>
                <w:szCs w:val="24"/>
                <w:lang w:val="en-US" w:eastAsia="zh-CN"/>
              </w:rPr>
              <w:t>10分</w:t>
            </w:r>
          </w:p>
        </w:tc>
        <w:tc>
          <w:tcPr>
            <w:tcW w:w="2716" w:type="pct"/>
            <w:noWrap w:val="0"/>
            <w:vAlign w:val="top"/>
          </w:tcPr>
          <w:p>
            <w:pPr>
              <w:rPr>
                <w:rFonts w:hint="eastAsia" w:cs="Times New Roman"/>
                <w:bCs/>
                <w:color w:val="auto"/>
                <w:sz w:val="24"/>
                <w:szCs w:val="24"/>
                <w:lang w:val="en-US" w:eastAsia="zh-CN"/>
              </w:rPr>
            </w:pPr>
            <w:r>
              <w:rPr>
                <w:rFonts w:hint="eastAsia" w:ascii="宋体" w:hAnsi="宋体"/>
                <w:color w:val="auto"/>
                <w:sz w:val="24"/>
                <w:szCs w:val="24"/>
                <w:lang w:val="en-US" w:eastAsia="zh-CN"/>
              </w:rPr>
              <w:t>供应商拟投入本项目的人员具有较高的服务水平</w:t>
            </w:r>
            <w:r>
              <w:rPr>
                <w:rFonts w:hint="eastAsia" w:cs="Times New Roman"/>
                <w:bCs/>
                <w:color w:val="auto"/>
                <w:sz w:val="24"/>
                <w:szCs w:val="24"/>
                <w:lang w:val="en-US" w:eastAsia="zh-CN"/>
              </w:rPr>
              <w:t>，在专业领域中被认定为高级（月嫂、母婴护理师）的每增加1人计2分，认定为中级的每增加1人计1分。本项最多计10分；</w:t>
            </w:r>
          </w:p>
          <w:p>
            <w:pPr>
              <w:rPr>
                <w:rFonts w:hint="eastAsia" w:ascii="宋体" w:hAnsi="宋体"/>
                <w:color w:val="auto"/>
                <w:sz w:val="24"/>
                <w:szCs w:val="24"/>
                <w:lang w:val="en-US" w:eastAsia="zh-CN"/>
              </w:rPr>
            </w:pPr>
            <w:r>
              <w:rPr>
                <w:rFonts w:hint="eastAsia" w:cs="Times New Roman"/>
                <w:bCs/>
                <w:color w:val="auto"/>
                <w:sz w:val="24"/>
                <w:szCs w:val="24"/>
                <w:lang w:val="en-US" w:eastAsia="zh-CN"/>
              </w:rPr>
              <w:t>以上需提供相应证件复印件加盖公章</w:t>
            </w:r>
            <w:r>
              <w:rPr>
                <w:rFonts w:hint="eastAsia" w:ascii="宋体" w:hAnsi="宋体"/>
                <w:color w:val="auto"/>
                <w:sz w:val="24"/>
                <w:szCs w:val="24"/>
                <w:lang w:val="en-US" w:eastAsia="zh-CN"/>
              </w:rPr>
              <w:t>，否则不计分。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436" w:hRule="atLeast"/>
          <w:jc w:val="center"/>
        </w:trPr>
        <w:tc>
          <w:tcPr>
            <w:tcW w:w="245"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3</w:t>
            </w:r>
          </w:p>
        </w:tc>
        <w:tc>
          <w:tcPr>
            <w:tcW w:w="589" w:type="pct"/>
            <w:vMerge w:val="restart"/>
            <w:noWrap w:val="0"/>
            <w:vAlign w:val="center"/>
          </w:tcPr>
          <w:p>
            <w:pPr>
              <w:jc w:val="center"/>
              <w:rPr>
                <w:rFonts w:hint="eastAsia" w:ascii="宋体" w:hAnsi="宋体" w:cs="宋体"/>
                <w:color w:val="auto"/>
                <w:sz w:val="24"/>
                <w:szCs w:val="24"/>
              </w:rPr>
            </w:pPr>
            <w:r>
              <w:rPr>
                <w:rFonts w:hint="eastAsia" w:cs="Times New Roman"/>
                <w:bCs/>
                <w:color w:val="auto"/>
                <w:sz w:val="24"/>
                <w:szCs w:val="24"/>
                <w:lang w:val="en-US" w:eastAsia="zh-CN"/>
              </w:rPr>
              <w:t>技术评审项</w:t>
            </w:r>
            <w:r>
              <w:rPr>
                <w:rFonts w:hint="eastAsia" w:ascii="宋体" w:hAnsi="宋体" w:cs="宋体"/>
                <w:color w:val="auto"/>
                <w:sz w:val="24"/>
                <w:szCs w:val="24"/>
              </w:rPr>
              <w:t>（</w:t>
            </w:r>
            <w:r>
              <w:rPr>
                <w:rFonts w:hint="eastAsia" w:ascii="宋体" w:hAnsi="宋体" w:cs="宋体"/>
                <w:color w:val="auto"/>
                <w:sz w:val="24"/>
                <w:szCs w:val="24"/>
                <w:lang w:val="en-US" w:eastAsia="zh-CN"/>
              </w:rPr>
              <w:t>55</w:t>
            </w:r>
            <w:r>
              <w:rPr>
                <w:rFonts w:hint="eastAsia" w:ascii="宋体" w:hAnsi="宋体" w:cs="宋体"/>
                <w:color w:val="auto"/>
                <w:sz w:val="24"/>
                <w:szCs w:val="24"/>
              </w:rPr>
              <w:t>分）</w:t>
            </w:r>
          </w:p>
        </w:tc>
        <w:tc>
          <w:tcPr>
            <w:tcW w:w="651" w:type="pct"/>
            <w:noWrap w:val="0"/>
            <w:vAlign w:val="center"/>
          </w:tcPr>
          <w:p>
            <w:pPr>
              <w:jc w:val="center"/>
              <w:rPr>
                <w:rFonts w:hint="eastAsia" w:cs="Times New Roman"/>
                <w:bCs/>
                <w:color w:val="auto"/>
                <w:sz w:val="24"/>
                <w:szCs w:val="24"/>
                <w:highlight w:val="none"/>
                <w:lang w:val="en-US" w:eastAsia="zh-CN"/>
              </w:rPr>
            </w:pPr>
            <w:r>
              <w:rPr>
                <w:rFonts w:hint="eastAsia" w:cs="Times New Roman"/>
                <w:bCs/>
                <w:color w:val="auto"/>
                <w:sz w:val="24"/>
                <w:szCs w:val="24"/>
                <w:highlight w:val="none"/>
                <w:lang w:val="en-US" w:eastAsia="zh-CN"/>
              </w:rPr>
              <w:t>技术要求及商务要求</w:t>
            </w:r>
          </w:p>
        </w:tc>
        <w:tc>
          <w:tcPr>
            <w:tcW w:w="796" w:type="pct"/>
            <w:noWrap w:val="0"/>
            <w:vAlign w:val="center"/>
          </w:tcPr>
          <w:p>
            <w:pPr>
              <w:jc w:val="center"/>
              <w:rPr>
                <w:rFonts w:hint="default" w:ascii="宋体" w:hAnsi="宋体" w:eastAsia="宋体"/>
                <w:color w:val="auto"/>
                <w:sz w:val="24"/>
                <w:szCs w:val="24"/>
                <w:lang w:val="en-US" w:eastAsia="zh-CN"/>
              </w:rPr>
            </w:pPr>
            <w:r>
              <w:rPr>
                <w:rFonts w:hint="eastAsia" w:cs="Times New Roman"/>
                <w:bCs/>
                <w:color w:val="auto"/>
                <w:sz w:val="24"/>
                <w:szCs w:val="24"/>
                <w:highlight w:val="none"/>
                <w:lang w:val="en-US" w:eastAsia="zh-CN"/>
              </w:rPr>
              <w:t>10分</w:t>
            </w:r>
          </w:p>
        </w:tc>
        <w:tc>
          <w:tcPr>
            <w:tcW w:w="2716" w:type="pct"/>
            <w:noWrap w:val="0"/>
            <w:vAlign w:val="top"/>
          </w:tcPr>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1、完全</w:t>
            </w:r>
            <w:r>
              <w:rPr>
                <w:rFonts w:hint="eastAsia" w:ascii="宋体" w:hAnsi="宋体" w:cs="Times New Roman"/>
                <w:color w:val="auto"/>
                <w:sz w:val="24"/>
                <w:szCs w:val="24"/>
                <w:lang w:val="en-US" w:eastAsia="zh-CN"/>
              </w:rPr>
              <w:t>响应采购文件所有技术上要求的</w:t>
            </w:r>
            <w:r>
              <w:rPr>
                <w:rFonts w:hint="eastAsia" w:ascii="宋体" w:hAnsi="宋体" w:eastAsia="宋体" w:cs="Times New Roman"/>
                <w:color w:val="auto"/>
                <w:sz w:val="24"/>
                <w:szCs w:val="24"/>
                <w:lang w:val="en-US" w:eastAsia="zh-CN"/>
              </w:rPr>
              <w:t>计</w:t>
            </w:r>
            <w:r>
              <w:rPr>
                <w:rFonts w:hint="eastAsia" w:ascii="宋体" w:hAnsi="宋体" w:cs="Times New Roman"/>
                <w:color w:val="auto"/>
                <w:sz w:val="24"/>
                <w:szCs w:val="24"/>
                <w:lang w:val="en-US" w:eastAsia="zh-CN"/>
              </w:rPr>
              <w:t>10</w:t>
            </w:r>
            <w:r>
              <w:rPr>
                <w:rFonts w:hint="eastAsia" w:ascii="宋体" w:hAnsi="宋体" w:eastAsia="宋体" w:cs="Times New Roman"/>
                <w:color w:val="auto"/>
                <w:sz w:val="24"/>
                <w:szCs w:val="24"/>
                <w:lang w:val="en-US" w:eastAsia="zh-CN"/>
              </w:rPr>
              <w:t>分，任何一条</w:t>
            </w:r>
            <w:r>
              <w:rPr>
                <w:rFonts w:hint="eastAsia" w:ascii="宋体" w:hAnsi="宋体" w:cs="Times New Roman"/>
                <w:color w:val="auto"/>
                <w:sz w:val="24"/>
                <w:szCs w:val="24"/>
                <w:lang w:val="en-US" w:eastAsia="zh-CN"/>
              </w:rPr>
              <w:t>技术上要求偏离或不响应</w:t>
            </w:r>
            <w:r>
              <w:rPr>
                <w:rFonts w:hint="eastAsia" w:ascii="宋体" w:hAnsi="宋体" w:eastAsia="宋体" w:cs="Times New Roman"/>
                <w:color w:val="auto"/>
                <w:sz w:val="24"/>
                <w:szCs w:val="24"/>
                <w:lang w:val="en-US" w:eastAsia="zh-CN"/>
              </w:rPr>
              <w:t>扣</w:t>
            </w:r>
            <w:r>
              <w:rPr>
                <w:rFonts w:hint="eastAsia" w:ascii="宋体" w:hAnsi="宋体" w:cs="Times New Roman"/>
                <w:color w:val="auto"/>
                <w:sz w:val="24"/>
                <w:szCs w:val="24"/>
                <w:lang w:val="en-US" w:eastAsia="zh-CN"/>
              </w:rPr>
              <w:t>2</w:t>
            </w:r>
            <w:r>
              <w:rPr>
                <w:rFonts w:hint="eastAsia" w:ascii="宋体" w:hAnsi="宋体" w:eastAsia="宋体" w:cs="Times New Roman"/>
                <w:color w:val="auto"/>
                <w:sz w:val="24"/>
                <w:szCs w:val="24"/>
                <w:lang w:val="en-US" w:eastAsia="zh-CN"/>
              </w:rPr>
              <w:t>分，扣完为止。</w:t>
            </w:r>
          </w:p>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rPr>
              <w:t>2、</w:t>
            </w:r>
            <w:r>
              <w:rPr>
                <w:rFonts w:hint="eastAsia" w:ascii="宋体" w:hAnsi="宋体" w:eastAsia="宋体" w:cs="Times New Roman"/>
                <w:color w:val="auto"/>
                <w:sz w:val="24"/>
                <w:szCs w:val="24"/>
                <w:lang w:val="en-US" w:eastAsia="zh-CN"/>
              </w:rPr>
              <w:t>带“★”号参数为重要条款不允许偏离，否则视同无效投标。</w:t>
            </w:r>
          </w:p>
          <w:p>
            <w:pPr>
              <w:rPr>
                <w:rFonts w:hint="default" w:eastAsia="宋体"/>
                <w:color w:val="auto"/>
                <w:sz w:val="24"/>
                <w:szCs w:val="24"/>
                <w:lang w:val="en-US" w:eastAsia="zh-CN"/>
              </w:rPr>
            </w:pPr>
            <w:r>
              <w:rPr>
                <w:rFonts w:hint="eastAsia" w:ascii="宋体" w:hAnsi="宋体" w:eastAsia="宋体" w:cs="Times New Roman"/>
                <w:color w:val="auto"/>
                <w:sz w:val="24"/>
                <w:szCs w:val="24"/>
              </w:rPr>
              <w:t>3、</w:t>
            </w:r>
            <w:r>
              <w:rPr>
                <w:rFonts w:hint="eastAsia" w:ascii="宋体" w:hAnsi="宋体" w:cs="Times New Roman"/>
                <w:color w:val="auto"/>
                <w:sz w:val="24"/>
                <w:szCs w:val="24"/>
                <w:lang w:val="en-US" w:eastAsia="zh-CN"/>
              </w:rPr>
              <w:t>不响应或</w:t>
            </w:r>
            <w:r>
              <w:rPr>
                <w:rFonts w:hint="eastAsia" w:ascii="宋体" w:hAnsi="宋体" w:eastAsia="宋体" w:cs="Times New Roman"/>
                <w:color w:val="auto"/>
                <w:sz w:val="24"/>
                <w:szCs w:val="24"/>
              </w:rPr>
              <w:t>偏离项数之和大于5项将导致无效投标。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32" w:hRule="atLeast"/>
          <w:jc w:val="center"/>
        </w:trPr>
        <w:tc>
          <w:tcPr>
            <w:tcW w:w="245" w:type="pct"/>
            <w:vMerge w:val="continue"/>
            <w:noWrap w:val="0"/>
            <w:vAlign w:val="center"/>
          </w:tcPr>
          <w:p>
            <w:pPr>
              <w:jc w:val="center"/>
              <w:rPr>
                <w:rFonts w:hint="eastAsia" w:ascii="宋体" w:hAnsi="宋体" w:cs="宋体"/>
                <w:color w:val="auto"/>
                <w:sz w:val="24"/>
                <w:szCs w:val="24"/>
              </w:rPr>
            </w:pPr>
          </w:p>
        </w:tc>
        <w:tc>
          <w:tcPr>
            <w:tcW w:w="589" w:type="pct"/>
            <w:vMerge w:val="continue"/>
            <w:noWrap w:val="0"/>
            <w:vAlign w:val="center"/>
          </w:tcPr>
          <w:p>
            <w:pPr>
              <w:jc w:val="center"/>
              <w:rPr>
                <w:rFonts w:hint="eastAsia" w:cs="Times New Roman"/>
                <w:bCs/>
                <w:color w:val="auto"/>
                <w:sz w:val="24"/>
                <w:szCs w:val="24"/>
                <w:lang w:val="en-US" w:eastAsia="zh-CN"/>
              </w:rPr>
            </w:pPr>
          </w:p>
        </w:tc>
        <w:tc>
          <w:tcPr>
            <w:tcW w:w="651" w:type="pct"/>
            <w:vMerge w:val="restart"/>
            <w:noWrap w:val="0"/>
            <w:vAlign w:val="center"/>
          </w:tcPr>
          <w:p>
            <w:pPr>
              <w:jc w:val="center"/>
              <w:rPr>
                <w:rFonts w:hint="eastAsia" w:cs="Times New Roman"/>
                <w:bCs/>
                <w:color w:val="auto"/>
                <w:sz w:val="24"/>
                <w:szCs w:val="24"/>
                <w:lang w:val="en-US" w:eastAsia="zh-CN"/>
              </w:rPr>
            </w:pPr>
            <w:r>
              <w:rPr>
                <w:rFonts w:hint="eastAsia" w:cs="Times New Roman"/>
                <w:bCs/>
                <w:color w:val="auto"/>
                <w:sz w:val="24"/>
                <w:szCs w:val="24"/>
                <w:lang w:val="en-US" w:eastAsia="zh-CN"/>
              </w:rPr>
              <w:t>月嫂陪护服务方案</w:t>
            </w:r>
          </w:p>
        </w:tc>
        <w:tc>
          <w:tcPr>
            <w:tcW w:w="796" w:type="pct"/>
            <w:noWrap w:val="0"/>
            <w:vAlign w:val="center"/>
          </w:tcPr>
          <w:p>
            <w:pPr>
              <w:jc w:val="center"/>
              <w:rPr>
                <w:rFonts w:hint="default" w:ascii="Times New Roman" w:hAnsi="Times New Roman" w:eastAsia="宋体" w:cs="Times New Roman"/>
                <w:bCs/>
                <w:color w:val="auto"/>
                <w:kern w:val="2"/>
                <w:sz w:val="24"/>
                <w:szCs w:val="24"/>
                <w:lang w:val="en-US" w:eastAsia="zh-CN" w:bidi="ar-SA"/>
              </w:rPr>
            </w:pPr>
            <w:r>
              <w:rPr>
                <w:rFonts w:hint="eastAsia" w:cs="Times New Roman"/>
                <w:bCs/>
                <w:color w:val="auto"/>
                <w:sz w:val="24"/>
                <w:szCs w:val="24"/>
                <w:lang w:val="en-US" w:eastAsia="zh-CN"/>
              </w:rPr>
              <w:t>5</w:t>
            </w:r>
            <w:r>
              <w:rPr>
                <w:rFonts w:hint="eastAsia" w:cs="Times New Roman"/>
                <w:bCs/>
                <w:color w:val="auto"/>
                <w:sz w:val="24"/>
                <w:szCs w:val="24"/>
                <w:highlight w:val="none"/>
                <w:lang w:val="en-US" w:eastAsia="zh-CN"/>
              </w:rPr>
              <w:t>分</w:t>
            </w:r>
          </w:p>
        </w:tc>
        <w:tc>
          <w:tcPr>
            <w:tcW w:w="2716" w:type="pct"/>
            <w:noWrap w:val="0"/>
            <w:vAlign w:val="top"/>
          </w:tcPr>
          <w:p>
            <w:pPr>
              <w:jc w:val="left"/>
              <w:rPr>
                <w:rFonts w:hint="eastAsia" w:ascii="宋体" w:hAnsi="宋体"/>
                <w:color w:val="auto"/>
                <w:sz w:val="24"/>
                <w:szCs w:val="24"/>
                <w:lang w:val="en-US" w:eastAsia="zh-CN"/>
              </w:rPr>
            </w:pPr>
            <w:r>
              <w:rPr>
                <w:rFonts w:hint="eastAsia" w:ascii="宋体" w:hAnsi="宋体"/>
                <w:color w:val="auto"/>
                <w:sz w:val="24"/>
                <w:szCs w:val="24"/>
                <w:lang w:val="en-US" w:eastAsia="zh-CN"/>
              </w:rPr>
              <w:t>投标人提供的陪护整体方案，包含不限于1、岗位职责与工作流程；2、管理制度；3、现场管理风险防控与应急预案；4、现场管理模式；5、管理理念与管理目标，以上内容完整、科学、合理、实用、针对性强的，计5分；较完善、较合理，实用性一般的计3分，差的计1分。</w:t>
            </w:r>
          </w:p>
          <w:p>
            <w:pPr>
              <w:rPr>
                <w:rFonts w:hint="default" w:ascii="Times New Roman" w:hAnsi="Times New Roman" w:eastAsia="宋体" w:cs="Times New Roman"/>
                <w:color w:val="auto"/>
                <w:kern w:val="2"/>
                <w:sz w:val="24"/>
                <w:szCs w:val="24"/>
                <w:lang w:val="en-US" w:eastAsia="zh-CN" w:bidi="ar-SA"/>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32" w:hRule="atLeast"/>
          <w:jc w:val="center"/>
        </w:trPr>
        <w:tc>
          <w:tcPr>
            <w:tcW w:w="245" w:type="pct"/>
            <w:vMerge w:val="continue"/>
            <w:noWrap w:val="0"/>
            <w:vAlign w:val="center"/>
          </w:tcPr>
          <w:p>
            <w:pPr>
              <w:jc w:val="center"/>
              <w:rPr>
                <w:rFonts w:hint="eastAsia" w:ascii="宋体" w:hAnsi="宋体" w:cs="宋体"/>
                <w:color w:val="auto"/>
                <w:sz w:val="24"/>
                <w:szCs w:val="24"/>
              </w:rPr>
            </w:pPr>
          </w:p>
        </w:tc>
        <w:tc>
          <w:tcPr>
            <w:tcW w:w="589" w:type="pct"/>
            <w:vMerge w:val="continue"/>
            <w:noWrap w:val="0"/>
            <w:vAlign w:val="center"/>
          </w:tcPr>
          <w:p>
            <w:pPr>
              <w:jc w:val="center"/>
              <w:rPr>
                <w:rFonts w:hint="eastAsia" w:cs="Times New Roman"/>
                <w:bCs/>
                <w:color w:val="auto"/>
                <w:sz w:val="24"/>
                <w:szCs w:val="24"/>
                <w:lang w:val="en-US" w:eastAsia="zh-CN"/>
              </w:rPr>
            </w:pPr>
          </w:p>
        </w:tc>
        <w:tc>
          <w:tcPr>
            <w:tcW w:w="651" w:type="pct"/>
            <w:vMerge w:val="continue"/>
            <w:noWrap w:val="0"/>
            <w:vAlign w:val="center"/>
          </w:tcPr>
          <w:p>
            <w:pPr>
              <w:jc w:val="center"/>
              <w:rPr>
                <w:rFonts w:hint="eastAsia" w:cs="Times New Roman"/>
                <w:bCs/>
                <w:color w:val="auto"/>
                <w:sz w:val="24"/>
                <w:szCs w:val="24"/>
                <w:lang w:val="en-US" w:eastAsia="zh-CN"/>
              </w:rPr>
            </w:pPr>
          </w:p>
        </w:tc>
        <w:tc>
          <w:tcPr>
            <w:tcW w:w="796" w:type="pct"/>
            <w:noWrap w:val="0"/>
            <w:vAlign w:val="center"/>
          </w:tcPr>
          <w:p>
            <w:pPr>
              <w:jc w:val="center"/>
              <w:rPr>
                <w:rFonts w:hint="default" w:cs="Times New Roman"/>
                <w:bCs/>
                <w:color w:val="auto"/>
                <w:sz w:val="24"/>
                <w:szCs w:val="24"/>
                <w:lang w:val="en-US" w:eastAsia="zh-CN"/>
              </w:rPr>
            </w:pPr>
            <w:r>
              <w:rPr>
                <w:rFonts w:hint="eastAsia" w:cs="Times New Roman"/>
                <w:bCs/>
                <w:color w:val="auto"/>
                <w:sz w:val="24"/>
                <w:szCs w:val="24"/>
                <w:lang w:val="en-US" w:eastAsia="zh-CN"/>
              </w:rPr>
              <w:t>5</w:t>
            </w:r>
            <w:r>
              <w:rPr>
                <w:rFonts w:hint="eastAsia" w:cs="Times New Roman"/>
                <w:bCs/>
                <w:color w:val="auto"/>
                <w:sz w:val="24"/>
                <w:szCs w:val="24"/>
                <w:highlight w:val="none"/>
                <w:lang w:val="en-US" w:eastAsia="zh-CN"/>
              </w:rPr>
              <w:t>分</w:t>
            </w:r>
          </w:p>
        </w:tc>
        <w:tc>
          <w:tcPr>
            <w:tcW w:w="2716" w:type="pct"/>
            <w:noWrap w:val="0"/>
            <w:vAlign w:val="top"/>
          </w:tcPr>
          <w:p>
            <w:pPr>
              <w:rPr>
                <w:rFonts w:hint="eastAsia"/>
                <w:color w:val="auto"/>
                <w:sz w:val="24"/>
                <w:szCs w:val="24"/>
                <w:lang w:val="en-US" w:eastAsia="zh-CN"/>
              </w:rPr>
            </w:pPr>
            <w:r>
              <w:rPr>
                <w:rFonts w:hint="eastAsia" w:ascii="宋体" w:hAnsi="宋体"/>
                <w:color w:val="auto"/>
                <w:sz w:val="24"/>
                <w:szCs w:val="24"/>
                <w:lang w:val="en-US" w:eastAsia="zh-CN"/>
              </w:rPr>
              <w:t xml:space="preserve">投标人提供的服务实施与质量控制方案完整、科学、合理、实用、针对性强的，计5分；不完整、不合理或欠缺，实用性、针对性不强的计3分，差的计1分。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32" w:hRule="atLeast"/>
          <w:jc w:val="center"/>
        </w:trPr>
        <w:tc>
          <w:tcPr>
            <w:tcW w:w="245" w:type="pct"/>
            <w:vMerge w:val="continue"/>
            <w:noWrap w:val="0"/>
            <w:vAlign w:val="center"/>
          </w:tcPr>
          <w:p>
            <w:pPr>
              <w:jc w:val="center"/>
              <w:rPr>
                <w:rFonts w:hint="eastAsia" w:ascii="宋体" w:hAnsi="宋体" w:cs="宋体"/>
                <w:color w:val="auto"/>
                <w:sz w:val="24"/>
                <w:szCs w:val="24"/>
              </w:rPr>
            </w:pPr>
          </w:p>
        </w:tc>
        <w:tc>
          <w:tcPr>
            <w:tcW w:w="589" w:type="pct"/>
            <w:vMerge w:val="continue"/>
            <w:noWrap w:val="0"/>
            <w:vAlign w:val="center"/>
          </w:tcPr>
          <w:p>
            <w:pPr>
              <w:jc w:val="center"/>
              <w:rPr>
                <w:rFonts w:hint="eastAsia" w:cs="Times New Roman"/>
                <w:bCs/>
                <w:color w:val="auto"/>
                <w:sz w:val="24"/>
                <w:szCs w:val="24"/>
                <w:lang w:val="en-US" w:eastAsia="zh-CN"/>
              </w:rPr>
            </w:pPr>
          </w:p>
        </w:tc>
        <w:tc>
          <w:tcPr>
            <w:tcW w:w="651" w:type="pct"/>
            <w:vMerge w:val="continue"/>
            <w:noWrap w:val="0"/>
            <w:vAlign w:val="center"/>
          </w:tcPr>
          <w:p>
            <w:pPr>
              <w:jc w:val="center"/>
              <w:rPr>
                <w:rFonts w:hint="eastAsia" w:cs="Times New Roman"/>
                <w:bCs/>
                <w:color w:val="auto"/>
                <w:sz w:val="24"/>
                <w:szCs w:val="24"/>
                <w:lang w:val="en-US" w:eastAsia="zh-CN"/>
              </w:rPr>
            </w:pPr>
          </w:p>
        </w:tc>
        <w:tc>
          <w:tcPr>
            <w:tcW w:w="796" w:type="pct"/>
            <w:noWrap w:val="0"/>
            <w:vAlign w:val="center"/>
          </w:tcPr>
          <w:p>
            <w:pPr>
              <w:jc w:val="center"/>
              <w:rPr>
                <w:rFonts w:hint="default" w:cs="Times New Roman"/>
                <w:bCs/>
                <w:color w:val="auto"/>
                <w:sz w:val="24"/>
                <w:szCs w:val="24"/>
                <w:lang w:val="en-US" w:eastAsia="zh-CN"/>
              </w:rPr>
            </w:pPr>
            <w:r>
              <w:rPr>
                <w:rFonts w:hint="eastAsia" w:cs="Times New Roman"/>
                <w:bCs/>
                <w:color w:val="auto"/>
                <w:sz w:val="24"/>
                <w:szCs w:val="24"/>
                <w:lang w:val="en-US" w:eastAsia="zh-CN"/>
              </w:rPr>
              <w:t>5</w:t>
            </w:r>
            <w:r>
              <w:rPr>
                <w:rFonts w:hint="eastAsia" w:cs="Times New Roman"/>
                <w:bCs/>
                <w:color w:val="auto"/>
                <w:sz w:val="24"/>
                <w:szCs w:val="24"/>
                <w:highlight w:val="none"/>
                <w:lang w:val="en-US" w:eastAsia="zh-CN"/>
              </w:rPr>
              <w:t>分</w:t>
            </w:r>
          </w:p>
        </w:tc>
        <w:tc>
          <w:tcPr>
            <w:tcW w:w="2716" w:type="pct"/>
            <w:noWrap w:val="0"/>
            <w:vAlign w:val="top"/>
          </w:tcPr>
          <w:p>
            <w:pPr>
              <w:jc w:val="left"/>
              <w:rPr>
                <w:rFonts w:hint="eastAsia" w:ascii="宋体" w:hAnsi="宋体"/>
                <w:color w:val="auto"/>
                <w:sz w:val="24"/>
                <w:szCs w:val="24"/>
                <w:lang w:val="en-US" w:eastAsia="zh-CN"/>
              </w:rPr>
            </w:pPr>
            <w:r>
              <w:rPr>
                <w:rFonts w:hint="eastAsia" w:ascii="宋体" w:hAnsi="宋体"/>
                <w:color w:val="auto"/>
                <w:sz w:val="24"/>
                <w:szCs w:val="24"/>
                <w:lang w:val="en-US" w:eastAsia="zh-CN"/>
              </w:rPr>
              <w:t xml:space="preserve">投标人提供服务人员管理方案，包括：1、人员管理模式；2、人员档案管理方案；3、财务管理方案；4、人员考核方案及措施等，以上内容完整、科学、合理、实用、针对性强的，计5分；较完善、较合理，实用性一般的计3分，差的计1分。 </w:t>
            </w:r>
          </w:p>
          <w:p>
            <w:pPr>
              <w:rPr>
                <w:rFonts w:hint="eastAsia"/>
                <w:color w:val="auto"/>
                <w:sz w:val="24"/>
                <w:szCs w:val="24"/>
                <w:lang w:val="en-US" w:eastAsia="zh-CN"/>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32" w:hRule="atLeast"/>
          <w:jc w:val="center"/>
        </w:trPr>
        <w:tc>
          <w:tcPr>
            <w:tcW w:w="245" w:type="pct"/>
            <w:vMerge w:val="continue"/>
            <w:noWrap w:val="0"/>
            <w:vAlign w:val="center"/>
          </w:tcPr>
          <w:p>
            <w:pPr>
              <w:jc w:val="center"/>
              <w:rPr>
                <w:rFonts w:hint="eastAsia" w:ascii="宋体" w:hAnsi="宋体" w:cs="宋体"/>
                <w:color w:val="auto"/>
                <w:sz w:val="24"/>
                <w:szCs w:val="24"/>
              </w:rPr>
            </w:pPr>
          </w:p>
        </w:tc>
        <w:tc>
          <w:tcPr>
            <w:tcW w:w="589" w:type="pct"/>
            <w:vMerge w:val="continue"/>
            <w:noWrap w:val="0"/>
            <w:vAlign w:val="center"/>
          </w:tcPr>
          <w:p>
            <w:pPr>
              <w:jc w:val="center"/>
              <w:rPr>
                <w:rFonts w:hint="eastAsia" w:cs="Times New Roman"/>
                <w:bCs/>
                <w:color w:val="auto"/>
                <w:sz w:val="24"/>
                <w:szCs w:val="24"/>
                <w:lang w:val="en-US" w:eastAsia="zh-CN"/>
              </w:rPr>
            </w:pPr>
          </w:p>
        </w:tc>
        <w:tc>
          <w:tcPr>
            <w:tcW w:w="651" w:type="pct"/>
            <w:vMerge w:val="continue"/>
            <w:noWrap w:val="0"/>
            <w:vAlign w:val="center"/>
          </w:tcPr>
          <w:p>
            <w:pPr>
              <w:jc w:val="center"/>
              <w:rPr>
                <w:rFonts w:hint="eastAsia" w:cs="Times New Roman"/>
                <w:bCs/>
                <w:color w:val="auto"/>
                <w:sz w:val="24"/>
                <w:szCs w:val="24"/>
                <w:lang w:val="en-US" w:eastAsia="zh-CN"/>
              </w:rPr>
            </w:pPr>
          </w:p>
        </w:tc>
        <w:tc>
          <w:tcPr>
            <w:tcW w:w="796" w:type="pct"/>
            <w:noWrap w:val="0"/>
            <w:vAlign w:val="center"/>
          </w:tcPr>
          <w:p>
            <w:pPr>
              <w:jc w:val="center"/>
              <w:rPr>
                <w:rFonts w:hint="default" w:cs="Times New Roman"/>
                <w:bCs/>
                <w:color w:val="auto"/>
                <w:sz w:val="24"/>
                <w:szCs w:val="24"/>
                <w:lang w:val="en-US" w:eastAsia="zh-CN"/>
              </w:rPr>
            </w:pPr>
            <w:r>
              <w:rPr>
                <w:rFonts w:hint="eastAsia" w:cs="Times New Roman"/>
                <w:bCs/>
                <w:color w:val="auto"/>
                <w:sz w:val="24"/>
                <w:szCs w:val="24"/>
                <w:lang w:val="en-US" w:eastAsia="zh-CN"/>
              </w:rPr>
              <w:t>5</w:t>
            </w:r>
            <w:r>
              <w:rPr>
                <w:rFonts w:hint="eastAsia" w:cs="Times New Roman"/>
                <w:bCs/>
                <w:color w:val="auto"/>
                <w:sz w:val="24"/>
                <w:szCs w:val="24"/>
                <w:highlight w:val="none"/>
                <w:lang w:val="en-US" w:eastAsia="zh-CN"/>
              </w:rPr>
              <w:t>分</w:t>
            </w:r>
          </w:p>
        </w:tc>
        <w:tc>
          <w:tcPr>
            <w:tcW w:w="2716" w:type="pct"/>
            <w:noWrap w:val="0"/>
            <w:vAlign w:val="top"/>
          </w:tcPr>
          <w:p>
            <w:pPr>
              <w:numPr>
                <w:ilvl w:val="0"/>
                <w:numId w:val="0"/>
              </w:numPr>
              <w:jc w:val="left"/>
              <w:rPr>
                <w:rFonts w:hint="eastAsia" w:ascii="宋体" w:hAnsi="宋体"/>
                <w:color w:val="auto"/>
                <w:sz w:val="24"/>
                <w:szCs w:val="24"/>
                <w:lang w:val="en-US" w:eastAsia="zh-CN"/>
              </w:rPr>
            </w:pPr>
            <w:r>
              <w:rPr>
                <w:rFonts w:hint="eastAsia" w:ascii="宋体" w:hAnsi="宋体"/>
                <w:color w:val="auto"/>
                <w:sz w:val="24"/>
                <w:szCs w:val="24"/>
                <w:lang w:val="en-US" w:eastAsia="zh-CN"/>
              </w:rPr>
              <w:t>1、投标人提供的人员培训方案完善、科学、合理，且实用性、针对性强的，计5分；方案较完善、较合理，实用性一般的计3分，差的计1分。</w:t>
            </w:r>
          </w:p>
          <w:p>
            <w:pPr>
              <w:rPr>
                <w:rFonts w:hint="eastAsia"/>
                <w:color w:val="auto"/>
                <w:sz w:val="24"/>
                <w:szCs w:val="24"/>
                <w:lang w:val="en-US" w:eastAsia="zh-CN"/>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61" w:hRule="atLeast"/>
          <w:jc w:val="center"/>
        </w:trPr>
        <w:tc>
          <w:tcPr>
            <w:tcW w:w="245" w:type="pct"/>
            <w:vMerge w:val="continue"/>
            <w:noWrap w:val="0"/>
            <w:vAlign w:val="center"/>
          </w:tcPr>
          <w:p>
            <w:pPr>
              <w:jc w:val="center"/>
              <w:rPr>
                <w:rFonts w:hint="eastAsia" w:ascii="宋体" w:hAnsi="宋体" w:cs="宋体"/>
                <w:color w:val="auto"/>
                <w:sz w:val="24"/>
                <w:szCs w:val="24"/>
              </w:rPr>
            </w:pPr>
          </w:p>
        </w:tc>
        <w:tc>
          <w:tcPr>
            <w:tcW w:w="589" w:type="pct"/>
            <w:vMerge w:val="continue"/>
            <w:noWrap w:val="0"/>
            <w:vAlign w:val="center"/>
          </w:tcPr>
          <w:p>
            <w:pPr>
              <w:jc w:val="center"/>
              <w:rPr>
                <w:rFonts w:hint="eastAsia" w:cs="Times New Roman"/>
                <w:bCs/>
                <w:color w:val="auto"/>
                <w:sz w:val="24"/>
                <w:szCs w:val="24"/>
                <w:lang w:val="en-US" w:eastAsia="zh-CN"/>
              </w:rPr>
            </w:pPr>
          </w:p>
        </w:tc>
        <w:tc>
          <w:tcPr>
            <w:tcW w:w="651" w:type="pct"/>
            <w:noWrap w:val="0"/>
            <w:vAlign w:val="center"/>
          </w:tcPr>
          <w:p>
            <w:pPr>
              <w:jc w:val="center"/>
              <w:rPr>
                <w:rFonts w:hint="eastAsia" w:cs="Times New Roman"/>
                <w:bCs/>
                <w:color w:val="auto"/>
                <w:sz w:val="24"/>
                <w:szCs w:val="24"/>
                <w:lang w:val="en-US" w:eastAsia="zh-CN"/>
              </w:rPr>
            </w:pPr>
            <w:r>
              <w:rPr>
                <w:rFonts w:hint="eastAsia" w:cs="Times New Roman"/>
                <w:bCs/>
                <w:color w:val="auto"/>
                <w:sz w:val="24"/>
                <w:szCs w:val="24"/>
                <w:lang w:val="en-US" w:eastAsia="zh-CN"/>
              </w:rPr>
              <w:t>共性服务内容及方案</w:t>
            </w:r>
          </w:p>
        </w:tc>
        <w:tc>
          <w:tcPr>
            <w:tcW w:w="796" w:type="pct"/>
            <w:noWrap w:val="0"/>
            <w:vAlign w:val="center"/>
          </w:tcPr>
          <w:p>
            <w:pPr>
              <w:jc w:val="center"/>
              <w:rPr>
                <w:rFonts w:hint="default"/>
                <w:color w:val="auto"/>
                <w:lang w:val="en-US" w:eastAsia="zh-CN"/>
              </w:rPr>
            </w:pPr>
            <w:r>
              <w:rPr>
                <w:rFonts w:hint="eastAsia" w:cs="Times New Roman"/>
                <w:bCs/>
                <w:color w:val="auto"/>
                <w:sz w:val="24"/>
                <w:szCs w:val="24"/>
                <w:lang w:val="en-US" w:eastAsia="zh-CN"/>
              </w:rPr>
              <w:t>25分</w:t>
            </w:r>
          </w:p>
        </w:tc>
        <w:tc>
          <w:tcPr>
            <w:tcW w:w="2716" w:type="pct"/>
            <w:noWrap w:val="0"/>
            <w:vAlign w:val="top"/>
          </w:tcPr>
          <w:p>
            <w:pPr>
              <w:jc w:val="left"/>
              <w:rPr>
                <w:rFonts w:hint="eastAsia"/>
                <w:color w:val="auto"/>
                <w:sz w:val="24"/>
                <w:szCs w:val="24"/>
                <w:lang w:val="en-US" w:eastAsia="zh-CN"/>
              </w:rPr>
            </w:pPr>
            <w:r>
              <w:rPr>
                <w:rFonts w:hint="eastAsia"/>
                <w:color w:val="auto"/>
                <w:sz w:val="24"/>
                <w:szCs w:val="24"/>
                <w:lang w:val="en-US" w:eastAsia="zh-CN"/>
              </w:rPr>
              <w:t>招标人根据采购人具体要求，向采购人提供至少1个公益岗位供采购人使用，满足条件的计10分，在此基础上每多提供1名计5分，计满25分为止。</w:t>
            </w:r>
          </w:p>
          <w:p>
            <w:pPr>
              <w:rPr>
                <w:rFonts w:hint="default" w:eastAsia="宋体"/>
                <w:color w:val="auto"/>
                <w:sz w:val="24"/>
                <w:szCs w:val="24"/>
                <w:lang w:val="en-US" w:eastAsia="zh-CN"/>
              </w:rPr>
            </w:pPr>
          </w:p>
        </w:tc>
      </w:tr>
    </w:tbl>
    <w:p>
      <w:pPr>
        <w:spacing w:before="120" w:beforeLines="50" w:after="120" w:afterLines="50" w:line="360" w:lineRule="auto"/>
        <w:rPr>
          <w:rFonts w:hint="eastAsia" w:ascii="宋体" w:hAnsi="宋体" w:cs="宋体"/>
          <w:color w:val="auto"/>
          <w:sz w:val="24"/>
          <w:szCs w:val="24"/>
        </w:rPr>
      </w:pPr>
      <w:r>
        <w:rPr>
          <w:rFonts w:hint="eastAsia" w:ascii="宋体" w:hAnsi="宋体" w:cs="宋体"/>
          <w:color w:val="auto"/>
          <w:sz w:val="24"/>
          <w:szCs w:val="24"/>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2"/>
        </w:numPr>
        <w:spacing w:before="120" w:beforeLines="50" w:after="120" w:afterLines="50" w:line="360" w:lineRule="auto"/>
        <w:ind w:leftChars="0" w:firstLine="480" w:firstLineChars="200"/>
        <w:rPr>
          <w:rFonts w:hint="eastAsia" w:ascii="宋体" w:hAnsi="宋体" w:cs="宋体"/>
          <w:color w:val="auto"/>
          <w:sz w:val="24"/>
          <w:szCs w:val="24"/>
        </w:rPr>
      </w:pPr>
      <w:r>
        <w:rPr>
          <w:rFonts w:hint="eastAsia" w:ascii="宋体" w:hAnsi="宋体" w:cs="宋体"/>
          <w:color w:val="auto"/>
          <w:sz w:val="24"/>
          <w:szCs w:val="24"/>
        </w:rPr>
        <w:t>评标结果按评审后得分由高到低顺序排列；综合得分相同的，按技术得分由高到低顺序排列。</w:t>
      </w:r>
    </w:p>
    <w:p>
      <w:pPr>
        <w:widowControl w:val="0"/>
        <w:numPr>
          <w:ilvl w:val="0"/>
          <w:numId w:val="0"/>
        </w:numPr>
        <w:spacing w:before="120" w:beforeLines="50" w:after="120" w:afterLines="50" w:line="360" w:lineRule="auto"/>
        <w:jc w:val="both"/>
        <w:rPr>
          <w:rFonts w:hint="eastAsia" w:ascii="宋体" w:hAnsi="宋体" w:cs="宋体"/>
          <w:color w:val="auto"/>
          <w:sz w:val="24"/>
          <w:szCs w:val="24"/>
        </w:rPr>
      </w:pPr>
    </w:p>
    <w:p>
      <w:pPr>
        <w:widowControl w:val="0"/>
        <w:numPr>
          <w:ilvl w:val="0"/>
          <w:numId w:val="0"/>
        </w:numPr>
        <w:spacing w:before="120" w:beforeLines="50" w:after="120" w:afterLines="50" w:line="360" w:lineRule="auto"/>
        <w:jc w:val="both"/>
        <w:rPr>
          <w:rFonts w:hint="eastAsia" w:ascii="宋体" w:hAnsi="宋体" w:cs="宋体"/>
          <w:color w:val="auto"/>
          <w:sz w:val="24"/>
          <w:szCs w:val="24"/>
        </w:rPr>
      </w:pPr>
    </w:p>
    <w:p>
      <w:pPr>
        <w:widowControl w:val="0"/>
        <w:numPr>
          <w:ilvl w:val="0"/>
          <w:numId w:val="0"/>
        </w:numPr>
        <w:spacing w:before="120" w:beforeLines="50" w:after="120" w:afterLines="50" w:line="360" w:lineRule="auto"/>
        <w:jc w:val="both"/>
        <w:rPr>
          <w:rFonts w:hint="eastAsia" w:ascii="宋体" w:hAnsi="宋体" w:cs="宋体"/>
          <w:color w:val="auto"/>
          <w:sz w:val="24"/>
          <w:szCs w:val="24"/>
        </w:rPr>
      </w:pPr>
    </w:p>
    <w:p>
      <w:pPr>
        <w:widowControl w:val="0"/>
        <w:numPr>
          <w:ilvl w:val="0"/>
          <w:numId w:val="0"/>
        </w:numPr>
        <w:spacing w:before="120" w:beforeLines="50" w:after="120" w:afterLines="50" w:line="360" w:lineRule="auto"/>
        <w:jc w:val="both"/>
        <w:rPr>
          <w:rFonts w:hint="eastAsia" w:ascii="宋体" w:hAnsi="宋体" w:cs="宋体"/>
          <w:color w:val="auto"/>
          <w:sz w:val="24"/>
          <w:szCs w:val="24"/>
        </w:rPr>
      </w:pPr>
    </w:p>
    <w:p>
      <w:pPr>
        <w:pStyle w:val="15"/>
        <w:rPr>
          <w:color w:val="auto"/>
          <w:sz w:val="20"/>
          <w:szCs w:val="22"/>
        </w:rPr>
      </w:pPr>
    </w:p>
    <w:p>
      <w:pPr>
        <w:pStyle w:val="2"/>
        <w:numPr>
          <w:ilvl w:val="0"/>
          <w:numId w:val="3"/>
        </w:numPr>
        <w:spacing w:line="240" w:lineRule="auto"/>
        <w:ind w:firstLine="2409" w:firstLineChars="80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rFonts w:hint="eastAsia" w:ascii="宋体" w:hAnsi="宋体" w:cs="宋体"/>
          <w:b/>
          <w:color w:val="auto"/>
          <w:sz w:val="28"/>
          <w:szCs w:val="28"/>
        </w:rPr>
      </w:pPr>
      <w:r>
        <w:rPr>
          <w:b/>
          <w:color w:val="auto"/>
          <w:sz w:val="28"/>
          <w:szCs w:val="28"/>
        </w:rPr>
        <w:t>第一部分、</w:t>
      </w:r>
      <w:r>
        <w:rPr>
          <w:rFonts w:hint="eastAsia"/>
          <w:b/>
          <w:color w:val="auto"/>
          <w:sz w:val="28"/>
          <w:szCs w:val="28"/>
          <w:lang w:val="en-US" w:eastAsia="zh-CN"/>
        </w:rPr>
        <w:t>营业执照</w:t>
      </w: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5"/>
        <w:rPr>
          <w:rFonts w:hint="eastAsia"/>
          <w:color w:val="auto"/>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w:t>
      </w:r>
      <w:r>
        <w:rPr>
          <w:rFonts w:hint="eastAsia" w:ascii="宋体" w:hAnsi="宋体" w:cs="Times New Roman"/>
          <w:b w:val="0"/>
          <w:bCs w:val="0"/>
          <w:color w:val="auto"/>
          <w:kern w:val="2"/>
          <w:sz w:val="24"/>
          <w:szCs w:val="24"/>
          <w:lang w:val="en-US" w:eastAsia="zh-CN" w:bidi="ar-SA"/>
        </w:rPr>
        <w:t xml:space="preserve"> </w:t>
      </w:r>
      <w:r>
        <w:rPr>
          <w:rFonts w:hint="eastAsia" w:ascii="宋体" w:hAnsi="宋体" w:eastAsia="宋体" w:cs="Times New Roman"/>
          <w:b w:val="0"/>
          <w:bCs w:val="0"/>
          <w:color w:val="auto"/>
          <w:kern w:val="2"/>
          <w:sz w:val="24"/>
          <w:szCs w:val="24"/>
          <w:lang w:val="en-US" w:eastAsia="zh-CN" w:bidi="ar-SA"/>
        </w:rPr>
        <w:t xml:space="preserve">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法定代表人姓名 (签字)：         </w:t>
      </w:r>
      <w:r>
        <w:rPr>
          <w:rFonts w:hint="eastAsia" w:ascii="宋体" w:hAnsi="宋体" w:cs="Times New Roman"/>
          <w:b w:val="0"/>
          <w:bCs w:val="0"/>
          <w:color w:val="auto"/>
          <w:kern w:val="2"/>
          <w:sz w:val="24"/>
          <w:szCs w:val="24"/>
          <w:lang w:val="en-US" w:eastAsia="zh-CN" w:bidi="ar-SA"/>
        </w:rPr>
        <w:t xml:space="preserve">    </w:t>
      </w:r>
      <w:r>
        <w:rPr>
          <w:rFonts w:hint="eastAsia" w:ascii="宋体" w:hAnsi="宋体" w:eastAsia="宋体" w:cs="Times New Roman"/>
          <w:b w:val="0"/>
          <w:bCs w:val="0"/>
          <w:color w:val="auto"/>
          <w:kern w:val="2"/>
          <w:sz w:val="24"/>
          <w:szCs w:val="24"/>
          <w:lang w:val="en-US" w:eastAsia="zh-CN" w:bidi="ar-SA"/>
        </w:rPr>
        <w:t xml:space="preserve">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w:t>
      </w:r>
      <w:r>
        <w:rPr>
          <w:rFonts w:hint="eastAsia" w:ascii="宋体" w:hAnsi="宋体" w:cs="Times New Roman"/>
          <w:b w:val="0"/>
          <w:bCs w:val="0"/>
          <w:color w:val="auto"/>
          <w:kern w:val="2"/>
          <w:sz w:val="24"/>
          <w:szCs w:val="24"/>
          <w:lang w:val="en-US" w:eastAsia="zh-CN" w:bidi="ar-SA"/>
        </w:rPr>
        <w:t xml:space="preserve"> </w:t>
      </w:r>
      <w:r>
        <w:rPr>
          <w:rFonts w:hint="eastAsia" w:ascii="宋体" w:hAnsi="宋体" w:eastAsia="宋体" w:cs="Times New Roman"/>
          <w:b w:val="0"/>
          <w:bCs w:val="0"/>
          <w:color w:val="auto"/>
          <w:kern w:val="2"/>
          <w:sz w:val="24"/>
          <w:szCs w:val="24"/>
          <w:lang w:val="en-US" w:eastAsia="zh-CN" w:bidi="ar-SA"/>
        </w:rPr>
        <w:t xml:space="preserve">  、身份证号：               </w:t>
      </w:r>
      <w:r>
        <w:rPr>
          <w:rFonts w:hint="eastAsia" w:ascii="宋体" w:hAnsi="宋体" w:cs="Times New Roman"/>
          <w:b w:val="0"/>
          <w:bCs w:val="0"/>
          <w:color w:val="auto"/>
          <w:kern w:val="2"/>
          <w:sz w:val="24"/>
          <w:szCs w:val="24"/>
          <w:lang w:val="en-US" w:eastAsia="zh-CN" w:bidi="ar-SA"/>
        </w:rPr>
        <w:t xml:space="preserve"> </w:t>
      </w:r>
      <w:r>
        <w:rPr>
          <w:rFonts w:hint="eastAsia" w:ascii="宋体" w:hAnsi="宋体" w:eastAsia="宋体" w:cs="Times New Roman"/>
          <w:b w:val="0"/>
          <w:bCs w:val="0"/>
          <w:color w:val="auto"/>
          <w:kern w:val="2"/>
          <w:sz w:val="24"/>
          <w:szCs w:val="24"/>
          <w:lang w:val="en-US" w:eastAsia="zh-CN" w:bidi="ar-SA"/>
        </w:rPr>
        <w:t xml:space="preserve">      </w:t>
      </w:r>
      <w:r>
        <w:rPr>
          <w:rFonts w:hint="eastAsia" w:ascii="宋体" w:hAnsi="宋体" w:cs="Times New Roman"/>
          <w:b w:val="0"/>
          <w:bCs w:val="0"/>
          <w:color w:val="auto"/>
          <w:kern w:val="2"/>
          <w:sz w:val="24"/>
          <w:szCs w:val="24"/>
          <w:lang w:val="en-US" w:eastAsia="zh-CN" w:bidi="ar-SA"/>
        </w:rPr>
        <w:t>、</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417" w:right="1474" w:bottom="1417" w:left="1587" w:header="567" w:footer="283" w:gutter="0"/>
          <w:cols w:space="720" w:num="1"/>
          <w:docGrid w:linePitch="312" w:charSpace="0"/>
        </w:sectPr>
      </w:pPr>
    </w:p>
    <w:p>
      <w:pPr>
        <w:spacing w:before="120" w:beforeLines="50" w:after="120" w:afterLines="50" w:line="276" w:lineRule="auto"/>
        <w:jc w:val="center"/>
        <w:rPr>
          <w:rFonts w:hint="eastAsia"/>
          <w:color w:val="auto"/>
          <w:lang w:eastAsia="zh-CN"/>
        </w:rPr>
      </w:pPr>
      <w:r>
        <w:rPr>
          <w:rFonts w:hint="eastAsia" w:ascii="宋体" w:hAnsi="宋体" w:cs="宋体"/>
          <w:b/>
          <w:color w:val="auto"/>
          <w:sz w:val="28"/>
          <w:szCs w:val="28"/>
        </w:rPr>
        <w:t>第三部分、采购需求响应程度</w:t>
      </w:r>
      <w:bookmarkStart w:id="2" w:name="_Toc486424819"/>
      <w:bookmarkStart w:id="3" w:name="_Toc476514128"/>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0"/>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525"/>
        <w:gridCol w:w="1976"/>
        <w:gridCol w:w="1670"/>
        <w:gridCol w:w="1608"/>
        <w:gridCol w:w="1513"/>
        <w:gridCol w:w="10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1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82"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999"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15" w:type="pct"/>
            <w:noWrap w:val="0"/>
            <w:vAlign w:val="center"/>
          </w:tcPr>
          <w:p>
            <w:pPr>
              <w:adjustRightInd w:val="0"/>
              <w:snapToGrid w:val="0"/>
              <w:spacing w:before="50" w:line="360" w:lineRule="auto"/>
              <w:ind w:left="-88" w:leftChars="-42"/>
              <w:jc w:val="center"/>
              <w:rPr>
                <w:color w:val="auto"/>
                <w:szCs w:val="21"/>
              </w:rPr>
            </w:pPr>
          </w:p>
        </w:tc>
        <w:tc>
          <w:tcPr>
            <w:tcW w:w="1182" w:type="pct"/>
            <w:noWrap w:val="0"/>
            <w:vAlign w:val="center"/>
          </w:tcPr>
          <w:p>
            <w:pPr>
              <w:adjustRightInd w:val="0"/>
              <w:snapToGrid w:val="0"/>
              <w:spacing w:before="50" w:line="360" w:lineRule="auto"/>
              <w:ind w:left="-88" w:leftChars="-42"/>
              <w:jc w:val="center"/>
              <w:rPr>
                <w:color w:val="auto"/>
                <w:szCs w:val="21"/>
              </w:rPr>
            </w:pPr>
          </w:p>
        </w:tc>
        <w:tc>
          <w:tcPr>
            <w:tcW w:w="999"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15" w:type="pct"/>
            <w:noWrap w:val="0"/>
            <w:vAlign w:val="center"/>
          </w:tcPr>
          <w:p>
            <w:pPr>
              <w:adjustRightInd w:val="0"/>
              <w:snapToGrid w:val="0"/>
              <w:spacing w:before="50" w:line="360" w:lineRule="auto"/>
              <w:ind w:left="-88" w:leftChars="-42"/>
              <w:jc w:val="center"/>
              <w:rPr>
                <w:color w:val="auto"/>
                <w:szCs w:val="21"/>
              </w:rPr>
            </w:pPr>
          </w:p>
        </w:tc>
        <w:tc>
          <w:tcPr>
            <w:tcW w:w="1182" w:type="pct"/>
            <w:noWrap w:val="0"/>
            <w:vAlign w:val="center"/>
          </w:tcPr>
          <w:p>
            <w:pPr>
              <w:adjustRightInd w:val="0"/>
              <w:snapToGrid w:val="0"/>
              <w:spacing w:before="50" w:line="360" w:lineRule="auto"/>
              <w:ind w:left="-88" w:leftChars="-42"/>
              <w:jc w:val="center"/>
              <w:rPr>
                <w:color w:val="auto"/>
                <w:szCs w:val="21"/>
              </w:rPr>
            </w:pPr>
          </w:p>
        </w:tc>
        <w:tc>
          <w:tcPr>
            <w:tcW w:w="999"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15" w:type="pct"/>
            <w:noWrap w:val="0"/>
            <w:vAlign w:val="center"/>
          </w:tcPr>
          <w:p>
            <w:pPr>
              <w:adjustRightInd w:val="0"/>
              <w:snapToGrid w:val="0"/>
              <w:spacing w:before="50" w:line="360" w:lineRule="auto"/>
              <w:ind w:left="-88" w:leftChars="-42"/>
              <w:jc w:val="center"/>
              <w:rPr>
                <w:color w:val="auto"/>
                <w:szCs w:val="21"/>
              </w:rPr>
            </w:pPr>
          </w:p>
        </w:tc>
        <w:tc>
          <w:tcPr>
            <w:tcW w:w="1182" w:type="pct"/>
            <w:noWrap w:val="0"/>
            <w:vAlign w:val="center"/>
          </w:tcPr>
          <w:p>
            <w:pPr>
              <w:adjustRightInd w:val="0"/>
              <w:snapToGrid w:val="0"/>
              <w:spacing w:before="50" w:line="360" w:lineRule="auto"/>
              <w:ind w:left="-88" w:leftChars="-42"/>
              <w:jc w:val="center"/>
              <w:rPr>
                <w:color w:val="auto"/>
                <w:szCs w:val="21"/>
              </w:rPr>
            </w:pPr>
          </w:p>
        </w:tc>
        <w:tc>
          <w:tcPr>
            <w:tcW w:w="999"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7"/>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pPr>
        <w:pStyle w:val="16"/>
        <w:rPr>
          <w:color w:val="auto"/>
        </w:rPr>
      </w:pPr>
    </w:p>
    <w:p>
      <w:pPr>
        <w:pStyle w:val="16"/>
        <w:rPr>
          <w:rFonts w:hint="eastAsia"/>
          <w:color w:val="auto"/>
        </w:rPr>
      </w:pPr>
    </w:p>
    <w:p>
      <w:pPr>
        <w:pStyle w:val="16"/>
        <w:rPr>
          <w:color w:val="auto"/>
        </w:rPr>
      </w:pPr>
    </w:p>
    <w:p>
      <w:pPr>
        <w:pStyle w:val="16"/>
        <w:rPr>
          <w:color w:val="auto"/>
        </w:rPr>
      </w:pPr>
    </w:p>
    <w:p>
      <w:pPr>
        <w:pStyle w:val="16"/>
        <w:rPr>
          <w:color w:val="auto"/>
        </w:rPr>
      </w:pPr>
    </w:p>
    <w:p>
      <w:pPr>
        <w:pStyle w:val="16"/>
        <w:rPr>
          <w:color w:val="auto"/>
        </w:rPr>
      </w:pPr>
    </w:p>
    <w:p>
      <w:pPr>
        <w:pStyle w:val="16"/>
        <w:rPr>
          <w:color w:val="auto"/>
        </w:rPr>
      </w:pPr>
    </w:p>
    <w:p>
      <w:pPr>
        <w:pStyle w:val="16"/>
        <w:rPr>
          <w:rFonts w:hint="eastAsia"/>
          <w:color w:val="auto"/>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hint="eastAsia" w:ascii="Times New Roman" w:hAnsi="Times New Roman"/>
          <w:b/>
          <w:bCs/>
          <w:color w:val="auto"/>
          <w:sz w:val="28"/>
          <w:szCs w:val="28"/>
        </w:rPr>
      </w:pPr>
      <w:r>
        <w:rPr>
          <w:rFonts w:hint="eastAsia" w:ascii="Times New Roman" w:hAnsi="Times New Roman"/>
          <w:b/>
          <w:bCs/>
          <w:color w:val="auto"/>
          <w:sz w:val="28"/>
          <w:szCs w:val="28"/>
        </w:rPr>
        <w:t xml:space="preserve"> </w:t>
      </w:r>
    </w:p>
    <w:p>
      <w:pPr>
        <w:rPr>
          <w:rFonts w:hint="eastAsia" w:ascii="Times New Roman" w:hAnsi="Times New Roman"/>
          <w:b/>
          <w:bCs/>
          <w:color w:val="auto"/>
          <w:sz w:val="28"/>
          <w:szCs w:val="28"/>
        </w:rPr>
      </w:pPr>
      <w:r>
        <w:rPr>
          <w:rFonts w:hint="eastAsia" w:ascii="Times New Roman" w:hAnsi="Times New Roman"/>
          <w:b/>
          <w:bCs/>
          <w:color w:val="auto"/>
          <w:sz w:val="28"/>
          <w:szCs w:val="28"/>
        </w:rPr>
        <w:br w:type="page"/>
      </w:r>
    </w:p>
    <w:p>
      <w:pPr>
        <w:pStyle w:val="17"/>
        <w:tabs>
          <w:tab w:val="left" w:pos="2312"/>
          <w:tab w:val="left" w:pos="2313"/>
        </w:tabs>
        <w:autoSpaceDE w:val="0"/>
        <w:autoSpaceDN w:val="0"/>
        <w:spacing w:before="43"/>
        <w:ind w:left="2312" w:firstLine="0" w:firstLineChars="0"/>
        <w:rPr>
          <w:rFonts w:ascii="宋体" w:hAnsi="宋体" w:cs="宋体"/>
          <w:b/>
          <w:color w:val="auto"/>
          <w:sz w:val="28"/>
          <w:szCs w:val="28"/>
        </w:rPr>
      </w:pP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pPr>
        <w:pStyle w:val="15"/>
        <w:rPr>
          <w:rFonts w:hint="eastAsia"/>
          <w:color w:val="auto"/>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rPr>
          <w:color w:val="auto"/>
        </w:rPr>
      </w:pPr>
    </w:p>
    <w:p>
      <w:pPr>
        <w:rPr>
          <w:color w:val="auto"/>
        </w:rPr>
      </w:pP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                                         </w:t>
      </w:r>
    </w:p>
    <w:p>
      <w:pPr>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br w:type="page"/>
      </w:r>
    </w:p>
    <w:p>
      <w:pPr>
        <w:keepNext w:val="0"/>
        <w:keepLines w:val="0"/>
        <w:pageBreakBefore w:val="0"/>
        <w:widowControl w:val="0"/>
        <w:kinsoku/>
        <w:wordWrap/>
        <w:overflowPunct/>
        <w:topLinePunct w:val="0"/>
        <w:autoSpaceDE/>
        <w:autoSpaceDN/>
        <w:bidi w:val="0"/>
        <w:adjustRightInd/>
        <w:snapToGrid/>
        <w:spacing w:line="480" w:lineRule="exact"/>
        <w:jc w:val="right"/>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合同编号：</w:t>
      </w:r>
    </w:p>
    <w:p>
      <w:pPr>
        <w:keepNext w:val="0"/>
        <w:keepLines w:val="0"/>
        <w:pageBreakBefore w:val="0"/>
        <w:widowControl w:val="0"/>
        <w:kinsoku/>
        <w:wordWrap/>
        <w:overflowPunct/>
        <w:topLinePunct w:val="0"/>
        <w:autoSpaceDE/>
        <w:autoSpaceDN/>
        <w:bidi w:val="0"/>
        <w:adjustRightInd/>
        <w:snapToGrid/>
        <w:spacing w:line="480" w:lineRule="exact"/>
        <w:ind w:firstLine="565" w:firstLineChars="128"/>
        <w:jc w:val="center"/>
        <w:textAlignment w:val="auto"/>
        <w:rPr>
          <w:b/>
          <w:bCs w:val="0"/>
          <w:color w:val="000000" w:themeColor="text1"/>
          <w:sz w:val="44"/>
          <w:szCs w:val="44"/>
          <w14:textFill>
            <w14:solidFill>
              <w14:schemeClr w14:val="tx1"/>
            </w14:solidFill>
          </w14:textFill>
        </w:rPr>
      </w:pPr>
      <w:r>
        <w:rPr>
          <w:rFonts w:hint="eastAsia"/>
          <w:b/>
          <w:bCs w:val="0"/>
          <w:color w:val="000000" w:themeColor="text1"/>
          <w:sz w:val="44"/>
          <w:szCs w:val="44"/>
          <w:lang w:val="en-US" w:eastAsia="zh-CN"/>
          <w14:textFill>
            <w14:solidFill>
              <w14:schemeClr w14:val="tx1"/>
            </w14:solidFill>
          </w14:textFill>
        </w:rPr>
        <w:t>第三方母婴护理</w:t>
      </w:r>
      <w:r>
        <w:rPr>
          <w:rFonts w:hint="eastAsia" w:ascii="宋体" w:hAnsi="宋体" w:eastAsia="宋体" w:cs="宋体"/>
          <w:b/>
          <w:bCs w:val="0"/>
          <w:i w:val="0"/>
          <w:iCs w:val="0"/>
          <w:caps w:val="0"/>
          <w:color w:val="000000" w:themeColor="text1"/>
          <w:spacing w:val="0"/>
          <w:sz w:val="44"/>
          <w:szCs w:val="44"/>
          <w:shd w:val="clear" w:color="auto" w:fill="FFFFFF"/>
          <w14:textFill>
            <w14:solidFill>
              <w14:schemeClr w14:val="tx1"/>
            </w14:solidFill>
          </w14:textFill>
        </w:rPr>
        <w:t>服务</w:t>
      </w:r>
      <w:r>
        <w:rPr>
          <w:rFonts w:hint="eastAsia"/>
          <w:b/>
          <w:bCs w:val="0"/>
          <w:color w:val="000000" w:themeColor="text1"/>
          <w:sz w:val="44"/>
          <w:szCs w:val="44"/>
          <w14:textFill>
            <w14:solidFill>
              <w14:schemeClr w14:val="tx1"/>
            </w14:solidFill>
          </w14:textFill>
        </w:rPr>
        <w:t>协议</w:t>
      </w:r>
    </w:p>
    <w:p>
      <w:pPr>
        <w:keepNext w:val="0"/>
        <w:keepLines w:val="0"/>
        <w:pageBreakBefore w:val="0"/>
        <w:widowControl w:val="0"/>
        <w:kinsoku/>
        <w:wordWrap/>
        <w:overflowPunct/>
        <w:topLinePunct w:val="0"/>
        <w:autoSpaceDE/>
        <w:autoSpaceDN/>
        <w:bidi w:val="0"/>
        <w:adjustRightInd/>
        <w:snapToGrid/>
        <w:spacing w:line="480" w:lineRule="exact"/>
        <w:ind w:firstLine="358" w:firstLineChars="128"/>
        <w:textAlignment w:val="auto"/>
        <w:rPr>
          <w:b w:val="0"/>
          <w:bCs w:val="0"/>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ind w:firstLine="638" w:firstLineChars="227"/>
        <w:textAlignment w:val="auto"/>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甲方</w:t>
      </w:r>
      <w:r>
        <w:rPr>
          <w:rFonts w:hint="eastAsia" w:asciiTheme="minorEastAsia" w:hAnsiTheme="minorEastAsia" w:eastAsiaTheme="minorEastAsia" w:cstheme="minorEastAsia"/>
          <w:b/>
          <w:bCs/>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b/>
          <w:bCs/>
          <w:color w:val="000000" w:themeColor="text1"/>
          <w:sz w:val="28"/>
          <w:szCs w:val="28"/>
          <w14:textFill>
            <w14:solidFill>
              <w14:schemeClr w14:val="tx1"/>
            </w14:solidFill>
          </w14:textFill>
        </w:rPr>
        <w:t xml:space="preserve">娄底市中心医院    </w:t>
      </w:r>
      <w:r>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480" w:lineRule="exact"/>
        <w:ind w:firstLine="635" w:firstLineChars="227"/>
        <w:textAlignment w:val="auto"/>
        <w:rPr>
          <w:rFonts w:hint="default"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法定代表人：左建辉</w:t>
      </w:r>
    </w:p>
    <w:p>
      <w:pPr>
        <w:keepNext w:val="0"/>
        <w:keepLines w:val="0"/>
        <w:pageBreakBefore w:val="0"/>
        <w:widowControl w:val="0"/>
        <w:kinsoku/>
        <w:wordWrap/>
        <w:overflowPunct/>
        <w:topLinePunct w:val="0"/>
        <w:autoSpaceDE/>
        <w:autoSpaceDN/>
        <w:bidi w:val="0"/>
        <w:adjustRightInd/>
        <w:snapToGrid/>
        <w:spacing w:line="480" w:lineRule="exact"/>
        <w:ind w:firstLine="635" w:firstLineChars="227"/>
        <w:textAlignment w:val="auto"/>
        <w:rPr>
          <w:rFonts w:hint="default"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pPr>
      <w:r>
        <w:rPr>
          <w:rFonts w:hint="default"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ind w:firstLine="635" w:firstLineChars="227"/>
        <w:textAlignment w:val="auto"/>
        <w:rPr>
          <w:rFonts w:hint="default"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联系人：肖同权</w:t>
      </w:r>
    </w:p>
    <w:p>
      <w:pPr>
        <w:keepNext w:val="0"/>
        <w:keepLines w:val="0"/>
        <w:pageBreakBefore w:val="0"/>
        <w:widowControl w:val="0"/>
        <w:kinsoku/>
        <w:wordWrap/>
        <w:overflowPunct/>
        <w:topLinePunct w:val="0"/>
        <w:autoSpaceDE/>
        <w:autoSpaceDN/>
        <w:bidi w:val="0"/>
        <w:adjustRightInd/>
        <w:snapToGrid/>
        <w:spacing w:line="480" w:lineRule="exact"/>
        <w:ind w:firstLine="635" w:firstLineChars="227"/>
        <w:textAlignment w:val="auto"/>
        <w:rPr>
          <w:rFonts w:hint="default"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638" w:firstLineChars="227"/>
        <w:textAlignment w:val="auto"/>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乙方：</w:t>
      </w:r>
    </w:p>
    <w:p>
      <w:pPr>
        <w:keepNext w:val="0"/>
        <w:keepLines w:val="0"/>
        <w:pageBreakBefore w:val="0"/>
        <w:widowControl w:val="0"/>
        <w:kinsoku/>
        <w:wordWrap/>
        <w:overflowPunct/>
        <w:topLinePunct w:val="0"/>
        <w:autoSpaceDE/>
        <w:autoSpaceDN/>
        <w:bidi w:val="0"/>
        <w:adjustRightInd/>
        <w:snapToGrid/>
        <w:spacing w:line="480" w:lineRule="exact"/>
        <w:ind w:firstLine="635" w:firstLineChars="227"/>
        <w:textAlignment w:val="auto"/>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法定代表人：</w:t>
      </w:r>
    </w:p>
    <w:p>
      <w:pPr>
        <w:keepNext w:val="0"/>
        <w:keepLines w:val="0"/>
        <w:pageBreakBefore w:val="0"/>
        <w:widowControl w:val="0"/>
        <w:kinsoku/>
        <w:wordWrap/>
        <w:overflowPunct/>
        <w:topLinePunct w:val="0"/>
        <w:autoSpaceDE/>
        <w:autoSpaceDN/>
        <w:bidi w:val="0"/>
        <w:adjustRightInd/>
        <w:snapToGrid/>
        <w:spacing w:line="480" w:lineRule="exact"/>
        <w:ind w:firstLine="635" w:firstLineChars="227"/>
        <w:textAlignment w:val="auto"/>
        <w:rPr>
          <w:rFonts w:hint="default"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pPr>
      <w:r>
        <w:rPr>
          <w:rFonts w:hint="default"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统一社会信用代码：</w:t>
      </w:r>
    </w:p>
    <w:p>
      <w:pPr>
        <w:keepNext w:val="0"/>
        <w:keepLines w:val="0"/>
        <w:pageBreakBefore w:val="0"/>
        <w:widowControl w:val="0"/>
        <w:kinsoku/>
        <w:wordWrap/>
        <w:overflowPunct/>
        <w:topLinePunct w:val="0"/>
        <w:autoSpaceDE/>
        <w:autoSpaceDN/>
        <w:bidi w:val="0"/>
        <w:adjustRightInd/>
        <w:snapToGrid/>
        <w:spacing w:line="480" w:lineRule="exact"/>
        <w:ind w:firstLine="635" w:firstLineChars="227"/>
        <w:textAlignment w:val="auto"/>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联系人：</w:t>
      </w:r>
    </w:p>
    <w:p>
      <w:pPr>
        <w:keepNext w:val="0"/>
        <w:keepLines w:val="0"/>
        <w:pageBreakBefore w:val="0"/>
        <w:widowControl w:val="0"/>
        <w:kinsoku/>
        <w:wordWrap/>
        <w:overflowPunct/>
        <w:topLinePunct w:val="0"/>
        <w:autoSpaceDE/>
        <w:autoSpaceDN/>
        <w:bidi w:val="0"/>
        <w:adjustRightInd/>
        <w:snapToGrid/>
        <w:spacing w:line="480" w:lineRule="exact"/>
        <w:ind w:firstLine="635" w:firstLineChars="227"/>
        <w:textAlignment w:val="auto"/>
        <w:rPr>
          <w:rFonts w:hint="default"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635" w:firstLineChars="227"/>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ind w:firstLine="635" w:firstLineChars="227"/>
        <w:textAlignment w:val="auto"/>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为</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提升患者的就医体验感和满意度，</w:t>
      </w:r>
      <w:r>
        <w:rPr>
          <w:rFonts w:hint="eastAsia" w:asciiTheme="minorEastAsia" w:hAnsiTheme="minorEastAsia" w:eastAsiaTheme="minorEastAsia" w:cstheme="minorEastAsia"/>
          <w:color w:val="000000" w:themeColor="text1"/>
          <w:sz w:val="28"/>
          <w:szCs w:val="28"/>
          <w14:textFill>
            <w14:solidFill>
              <w14:schemeClr w14:val="tx1"/>
            </w14:solidFill>
          </w14:textFill>
        </w:rPr>
        <w:t>甲方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通过医院公开挂网遴选第三方母婴护理服务机构，乙方入选。现依据《中华人民共和国民法典》《中华人民共和国消费者权益保护法》等法律法规之规定，甲乙双方在遴选项目确定的基础上，就乙方在甲方开展母婴护理服务相关事宜协商一致，特订立本协议，以资共同遵守。</w:t>
      </w:r>
    </w:p>
    <w:p>
      <w:pPr>
        <w:keepNext w:val="0"/>
        <w:keepLines w:val="0"/>
        <w:pageBreakBefore w:val="0"/>
        <w:widowControl w:val="0"/>
        <w:kinsoku/>
        <w:wordWrap/>
        <w:overflowPunct/>
        <w:topLinePunct w:val="0"/>
        <w:autoSpaceDE/>
        <w:autoSpaceDN/>
        <w:bidi w:val="0"/>
        <w:adjustRightInd/>
        <w:snapToGrid/>
        <w:spacing w:line="480" w:lineRule="exact"/>
        <w:ind w:firstLine="638" w:firstLineChars="227"/>
        <w:textAlignment w:val="auto"/>
        <w:rPr>
          <w:rFonts w:hint="default"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sz w:val="28"/>
          <w:szCs w:val="28"/>
          <w14:textFill>
            <w14:solidFill>
              <w14:schemeClr w14:val="tx1"/>
            </w14:solidFill>
          </w14:textFill>
        </w:rPr>
        <w:t xml:space="preserve">第一条 </w:t>
      </w: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母婴护理服务内容</w:t>
      </w:r>
    </w:p>
    <w:p>
      <w:pPr>
        <w:keepNext w:val="0"/>
        <w:keepLines w:val="0"/>
        <w:pageBreakBefore w:val="0"/>
        <w:widowControl w:val="0"/>
        <w:kinsoku/>
        <w:wordWrap/>
        <w:overflowPunct/>
        <w:topLinePunct w:val="0"/>
        <w:autoSpaceDE/>
        <w:autoSpaceDN/>
        <w:bidi w:val="0"/>
        <w:adjustRightInd/>
        <w:snapToGrid/>
        <w:spacing w:line="480" w:lineRule="exact"/>
        <w:ind w:left="141" w:leftChars="67" w:firstLine="492" w:firstLineChars="176"/>
        <w:textAlignment w:val="auto"/>
        <w:rPr>
          <w:rFonts w:hint="default"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t>1.1 乙方根据甲方患方（包括产妇、新生儿及其家属，下同）自愿需要，委派具备职业资质的母婴护理员（以下称护理员）为甲方产妇及新生儿在院期间提供专业、规范的母婴护理服务，并按本协议确定的标准向患方收取服务费用。</w:t>
      </w:r>
    </w:p>
    <w:p>
      <w:pPr>
        <w:keepNext w:val="0"/>
        <w:keepLines w:val="0"/>
        <w:pageBreakBefore w:val="0"/>
        <w:widowControl w:val="0"/>
        <w:kinsoku/>
        <w:wordWrap/>
        <w:overflowPunct/>
        <w:topLinePunct w:val="0"/>
        <w:autoSpaceDE/>
        <w:autoSpaceDN/>
        <w:bidi w:val="0"/>
        <w:adjustRightInd/>
        <w:snapToGrid/>
        <w:spacing w:line="480" w:lineRule="exact"/>
        <w:ind w:left="141" w:leftChars="67" w:firstLine="492" w:firstLineChars="176"/>
        <w:textAlignment w:val="auto"/>
        <w:rPr>
          <w:rFonts w:hint="default"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t>1.2 乙方提供的母婴护理服务内容、收费标准详见附件。</w:t>
      </w:r>
    </w:p>
    <w:p>
      <w:pPr>
        <w:keepNext w:val="0"/>
        <w:keepLines w:val="0"/>
        <w:pageBreakBefore w:val="0"/>
        <w:widowControl w:val="0"/>
        <w:kinsoku/>
        <w:wordWrap/>
        <w:overflowPunct/>
        <w:topLinePunct w:val="0"/>
        <w:autoSpaceDE/>
        <w:autoSpaceDN/>
        <w:bidi w:val="0"/>
        <w:adjustRightInd/>
        <w:snapToGrid/>
        <w:spacing w:line="480" w:lineRule="exact"/>
        <w:ind w:firstLine="638" w:firstLineChars="227"/>
        <w:textAlignment w:val="auto"/>
        <w:rPr>
          <w:rFonts w:hint="default"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第二条 母婴护理服务地点</w:t>
      </w:r>
    </w:p>
    <w:p>
      <w:pPr>
        <w:keepNext w:val="0"/>
        <w:keepLines w:val="0"/>
        <w:pageBreakBefore w:val="0"/>
        <w:widowControl w:val="0"/>
        <w:kinsoku/>
        <w:wordWrap/>
        <w:overflowPunct/>
        <w:topLinePunct w:val="0"/>
        <w:autoSpaceDE/>
        <w:autoSpaceDN/>
        <w:bidi w:val="0"/>
        <w:adjustRightInd/>
        <w:snapToGrid/>
        <w:spacing w:line="480" w:lineRule="exact"/>
        <w:ind w:firstLine="635" w:firstLineChars="227"/>
        <w:textAlignment w:val="auto"/>
        <w:rPr>
          <w:rFonts w:hint="default" w:asciiTheme="minorEastAsia" w:hAnsiTheme="minorEastAsia" w:eastAsiaTheme="minorEastAsia" w:cstheme="minorEastAsia"/>
          <w:b/>
          <w:color w:val="000000" w:themeColor="text1"/>
          <w:sz w:val="28"/>
          <w:szCs w:val="28"/>
          <w:lang w:val="en-US"/>
          <w14:textFill>
            <w14:solidFill>
              <w14:schemeClr w14:val="tx1"/>
            </w14:solidFill>
          </w14:textFill>
        </w:rPr>
      </w:pPr>
      <w:r>
        <w:rPr>
          <w:rFonts w:hint="eastAsia"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t>乙方限在甲方产科区域开展母婴护理服务。</w:t>
      </w:r>
    </w:p>
    <w:p>
      <w:pPr>
        <w:keepNext w:val="0"/>
        <w:keepLines w:val="0"/>
        <w:pageBreakBefore w:val="0"/>
        <w:widowControl w:val="0"/>
        <w:kinsoku/>
        <w:wordWrap/>
        <w:overflowPunct/>
        <w:topLinePunct w:val="0"/>
        <w:autoSpaceDE/>
        <w:autoSpaceDN/>
        <w:bidi w:val="0"/>
        <w:adjustRightInd/>
        <w:snapToGrid/>
        <w:spacing w:line="480" w:lineRule="exact"/>
        <w:ind w:firstLine="638" w:firstLineChars="227"/>
        <w:textAlignment w:val="auto"/>
        <w:rPr>
          <w:rFonts w:hint="default"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第三条 协议期限</w:t>
      </w:r>
    </w:p>
    <w:p>
      <w:pPr>
        <w:keepNext w:val="0"/>
        <w:keepLines w:val="0"/>
        <w:pageBreakBefore w:val="0"/>
        <w:widowControl w:val="0"/>
        <w:kinsoku/>
        <w:wordWrap/>
        <w:overflowPunct/>
        <w:topLinePunct w:val="0"/>
        <w:autoSpaceDE/>
        <w:autoSpaceDN/>
        <w:bidi w:val="0"/>
        <w:adjustRightInd/>
        <w:snapToGrid/>
        <w:spacing w:line="480" w:lineRule="exact"/>
        <w:ind w:firstLine="635" w:firstLineChars="227"/>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3.1 本</w:t>
      </w:r>
      <w:r>
        <w:rPr>
          <w:rFonts w:hint="eastAsia" w:asciiTheme="minorEastAsia" w:hAnsiTheme="minorEastAsia" w:eastAsiaTheme="minorEastAsia" w:cstheme="minorEastAsia"/>
          <w:color w:val="000000" w:themeColor="text1"/>
          <w:sz w:val="28"/>
          <w:szCs w:val="28"/>
          <w14:textFill>
            <w14:solidFill>
              <w14:schemeClr w14:val="tx1"/>
            </w14:solidFill>
          </w14:textFill>
        </w:rPr>
        <w:t>协议期限为</w:t>
      </w:r>
      <w:r>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14:textFill>
            <w14:solidFill>
              <w14:schemeClr w14:val="tx1"/>
            </w14:solidFill>
          </w14:textFill>
        </w:rPr>
        <w:t>年，自</w:t>
      </w:r>
      <w:r>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14:textFill>
            <w14:solidFill>
              <w14:schemeClr w14:val="tx1"/>
            </w14:solidFill>
          </w14:textFill>
        </w:rPr>
        <w:t>年</w:t>
      </w:r>
      <w:r>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14:textFill>
            <w14:solidFill>
              <w14:schemeClr w14:val="tx1"/>
            </w14:solidFill>
          </w14:textFill>
        </w:rPr>
        <w:t>月</w:t>
      </w:r>
      <w:r>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14:textFill>
            <w14:solidFill>
              <w14:schemeClr w14:val="tx1"/>
            </w14:solidFill>
          </w14:textFill>
        </w:rPr>
        <w:t>日起至</w:t>
      </w:r>
      <w:r>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14:textFill>
            <w14:solidFill>
              <w14:schemeClr w14:val="tx1"/>
            </w14:solidFill>
          </w14:textFill>
        </w:rPr>
        <w:t>年</w:t>
      </w:r>
      <w:r>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14:textFill>
            <w14:solidFill>
              <w14:schemeClr w14:val="tx1"/>
            </w14:solidFill>
          </w14:textFill>
        </w:rPr>
        <w:t>月</w:t>
      </w:r>
      <w:r>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14:textFill>
            <w14:solidFill>
              <w14:schemeClr w14:val="tx1"/>
            </w14:solidFill>
          </w14:textFill>
        </w:rPr>
        <w:t>日止。</w:t>
      </w:r>
    </w:p>
    <w:p>
      <w:pPr>
        <w:keepNext w:val="0"/>
        <w:keepLines w:val="0"/>
        <w:pageBreakBefore w:val="0"/>
        <w:widowControl w:val="0"/>
        <w:kinsoku/>
        <w:wordWrap/>
        <w:overflowPunct/>
        <w:topLinePunct w:val="0"/>
        <w:autoSpaceDE/>
        <w:autoSpaceDN/>
        <w:bidi w:val="0"/>
        <w:adjustRightInd/>
        <w:snapToGrid/>
        <w:spacing w:line="480" w:lineRule="exact"/>
        <w:ind w:firstLine="635" w:firstLineChars="227"/>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3.2 如本协议期限届满，在甲方依规遴选的第三方</w:t>
      </w:r>
      <w:r>
        <w:rPr>
          <w:rFonts w:hint="eastAsia"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t>母婴护理</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服务机构未进场前，乙方承诺按照本协议约定继续提供第三方</w:t>
      </w:r>
      <w:r>
        <w:rPr>
          <w:rFonts w:hint="eastAsia"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t>母婴护理</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服务。</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38" w:firstLineChars="227"/>
        <w:textAlignment w:val="auto"/>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kern w:val="2"/>
          <w:sz w:val="28"/>
          <w:szCs w:val="28"/>
          <w:lang w:val="en-US" w:eastAsia="zh-CN" w:bidi="ar-SA"/>
          <w14:textFill>
            <w14:solidFill>
              <w14:schemeClr w14:val="tx1"/>
            </w14:solidFill>
          </w14:textFill>
        </w:rPr>
        <w:t xml:space="preserve">第四条 </w:t>
      </w: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甲方职责</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color w:val="000000" w:themeColor="text1"/>
          <w:sz w:val="28"/>
          <w:szCs w:val="28"/>
          <w:lang w:val="en-US"/>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 xml:space="preserve">4.1 </w:t>
      </w:r>
      <w:r>
        <w:rPr>
          <w:rFonts w:hint="eastAsia" w:asciiTheme="minorEastAsia" w:hAnsiTheme="minorEastAsia" w:eastAsiaTheme="minorEastAsia" w:cstheme="minorEastAsia"/>
          <w:color w:val="000000" w:themeColor="text1"/>
          <w:sz w:val="28"/>
          <w:szCs w:val="28"/>
          <w14:textFill>
            <w14:solidFill>
              <w14:schemeClr w14:val="tx1"/>
            </w14:solidFill>
          </w14:textFill>
        </w:rPr>
        <w:t>甲方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不提供乙方管理人员驻院办公场所。</w:t>
      </w:r>
    </w:p>
    <w:p>
      <w:pPr>
        <w:keepNext w:val="0"/>
        <w:keepLines w:val="0"/>
        <w:pageBreakBefore w:val="0"/>
        <w:widowControl w:val="0"/>
        <w:kinsoku/>
        <w:wordWrap/>
        <w:overflowPunct/>
        <w:topLinePunct w:val="0"/>
        <w:autoSpaceDE/>
        <w:autoSpaceDN/>
        <w:bidi w:val="0"/>
        <w:adjustRightInd/>
        <w:snapToGrid/>
        <w:spacing w:line="480" w:lineRule="exact"/>
        <w:ind w:firstLine="495" w:firstLineChars="177"/>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4.2 甲方医务科、护理部、保卫科等科室为乙方开展工作提供必要支持。</w:t>
      </w:r>
    </w:p>
    <w:p>
      <w:pPr>
        <w:keepNext w:val="0"/>
        <w:keepLines w:val="0"/>
        <w:pageBreakBefore w:val="0"/>
        <w:widowControl w:val="0"/>
        <w:kinsoku/>
        <w:wordWrap/>
        <w:overflowPunct/>
        <w:topLinePunct w:val="0"/>
        <w:autoSpaceDE/>
        <w:autoSpaceDN/>
        <w:bidi w:val="0"/>
        <w:adjustRightInd/>
        <w:snapToGrid/>
        <w:spacing w:line="480" w:lineRule="exact"/>
        <w:ind w:firstLine="495" w:firstLineChars="177"/>
        <w:textAlignment w:val="auto"/>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4.3 甲方</w:t>
      </w:r>
      <w:r>
        <w:rPr>
          <w:rFonts w:hint="eastAsia" w:asciiTheme="minorEastAsia" w:hAnsiTheme="minorEastAsia" w:eastAsiaTheme="minorEastAsia" w:cstheme="minorEastAsia"/>
          <w:color w:val="000000" w:themeColor="text1"/>
          <w:sz w:val="28"/>
          <w:szCs w:val="28"/>
          <w14:textFill>
            <w14:solidFill>
              <w14:schemeClr w14:val="tx1"/>
            </w14:solidFill>
          </w14:textFill>
        </w:rPr>
        <w:t>对乙方提供的</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母婴护理</w:t>
      </w:r>
      <w:r>
        <w:rPr>
          <w:rFonts w:hint="eastAsia" w:asciiTheme="minorEastAsia" w:hAnsiTheme="minorEastAsia" w:eastAsiaTheme="minorEastAsia" w:cstheme="minorEastAsia"/>
          <w:color w:val="000000" w:themeColor="text1"/>
          <w:sz w:val="28"/>
          <w:szCs w:val="28"/>
          <w14:textFill>
            <w14:solidFill>
              <w14:schemeClr w14:val="tx1"/>
            </w14:solidFill>
          </w14:textFill>
        </w:rPr>
        <w:t>方案、</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护理</w:t>
      </w:r>
      <w:r>
        <w:rPr>
          <w:rFonts w:hint="eastAsia" w:asciiTheme="minorEastAsia" w:hAnsiTheme="minorEastAsia" w:eastAsiaTheme="minorEastAsia" w:cstheme="minorEastAsia"/>
          <w:color w:val="000000" w:themeColor="text1"/>
          <w:sz w:val="28"/>
          <w:szCs w:val="28"/>
          <w14:textFill>
            <w14:solidFill>
              <w14:schemeClr w14:val="tx1"/>
            </w14:solidFill>
          </w14:textFill>
        </w:rPr>
        <w:t>员工作制度、服务标准、收费标准及方式、乙方与</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患方</w:t>
      </w:r>
      <w:r>
        <w:rPr>
          <w:rFonts w:hint="eastAsia" w:asciiTheme="minorEastAsia" w:hAnsiTheme="minorEastAsia" w:eastAsiaTheme="minorEastAsia" w:cstheme="minorEastAsia"/>
          <w:color w:val="000000" w:themeColor="text1"/>
          <w:sz w:val="28"/>
          <w:szCs w:val="28"/>
          <w14:textFill>
            <w14:solidFill>
              <w14:schemeClr w14:val="tx1"/>
            </w14:solidFill>
          </w14:textFill>
        </w:rPr>
        <w:t>签订的</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母婴护理</w:t>
      </w:r>
      <w:r>
        <w:rPr>
          <w:rFonts w:hint="eastAsia" w:asciiTheme="minorEastAsia" w:hAnsiTheme="minorEastAsia" w:eastAsiaTheme="minorEastAsia" w:cstheme="minorEastAsia"/>
          <w:color w:val="000000" w:themeColor="text1"/>
          <w:sz w:val="28"/>
          <w:szCs w:val="28"/>
          <w14:textFill>
            <w14:solidFill>
              <w14:schemeClr w14:val="tx1"/>
            </w14:solidFill>
          </w14:textFill>
        </w:rPr>
        <w:t>服务</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合同</w:t>
      </w:r>
      <w:r>
        <w:rPr>
          <w:rFonts w:hint="eastAsia" w:asciiTheme="minorEastAsia" w:hAnsiTheme="minorEastAsia" w:eastAsiaTheme="minorEastAsia" w:cstheme="minorEastAsia"/>
          <w:color w:val="000000" w:themeColor="text1"/>
          <w:sz w:val="28"/>
          <w:szCs w:val="28"/>
          <w14:textFill>
            <w14:solidFill>
              <w14:schemeClr w14:val="tx1"/>
            </w14:solidFill>
          </w14:textFill>
        </w:rPr>
        <w:t>等进行审核</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甲方有权监督</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乙方母婴护理服务的质量</w:t>
      </w:r>
      <w:r>
        <w:rPr>
          <w:rFonts w:hint="eastAsia" w:asciiTheme="minorEastAsia" w:hAnsiTheme="minorEastAsia" w:eastAsiaTheme="minorEastAsia" w:cstheme="minorEastAsia"/>
          <w:color w:val="000000" w:themeColor="text1"/>
          <w:sz w:val="28"/>
          <w:szCs w:val="28"/>
          <w14:textFill>
            <w14:solidFill>
              <w14:schemeClr w14:val="tx1"/>
            </w14:solidFill>
          </w14:textFill>
        </w:rPr>
        <w:t>，对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护理</w:t>
      </w:r>
      <w:r>
        <w:rPr>
          <w:rFonts w:hint="eastAsia" w:asciiTheme="minorEastAsia" w:hAnsiTheme="minorEastAsia" w:eastAsiaTheme="minorEastAsia" w:cstheme="minorEastAsia"/>
          <w:color w:val="000000" w:themeColor="text1"/>
          <w:sz w:val="28"/>
          <w:szCs w:val="28"/>
          <w14:textFill>
            <w14:solidFill>
              <w14:schemeClr w14:val="tx1"/>
            </w14:solidFill>
          </w14:textFill>
        </w:rPr>
        <w:t>员工作定期巡察、回访，确保向患者提供的服务符合</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母婴护理</w:t>
      </w:r>
      <w:r>
        <w:rPr>
          <w:rFonts w:hint="eastAsia" w:asciiTheme="minorEastAsia" w:hAnsiTheme="minorEastAsia" w:eastAsiaTheme="minorEastAsia" w:cstheme="minorEastAsia"/>
          <w:color w:val="000000" w:themeColor="text1"/>
          <w:sz w:val="28"/>
          <w:szCs w:val="28"/>
          <w14:textFill>
            <w14:solidFill>
              <w14:schemeClr w14:val="tx1"/>
            </w14:solidFill>
          </w14:textFill>
        </w:rPr>
        <w:t>服务</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合同</w:t>
      </w:r>
      <w:r>
        <w:rPr>
          <w:rFonts w:hint="eastAsia" w:asciiTheme="minorEastAsia" w:hAnsiTheme="minorEastAsia" w:eastAsiaTheme="minorEastAsia" w:cstheme="minorEastAsia"/>
          <w:color w:val="000000" w:themeColor="text1"/>
          <w:sz w:val="28"/>
          <w:szCs w:val="28"/>
          <w14:textFill>
            <w14:solidFill>
              <w14:schemeClr w14:val="tx1"/>
            </w14:solidFill>
          </w14:textFill>
        </w:rPr>
        <w:t>约定。</w:t>
      </w:r>
    </w:p>
    <w:p>
      <w:pPr>
        <w:keepNext w:val="0"/>
        <w:keepLines w:val="0"/>
        <w:pageBreakBefore w:val="0"/>
        <w:widowControl w:val="0"/>
        <w:kinsoku/>
        <w:wordWrap/>
        <w:overflowPunct/>
        <w:topLinePunct w:val="0"/>
        <w:autoSpaceDE/>
        <w:autoSpaceDN/>
        <w:bidi w:val="0"/>
        <w:adjustRightInd/>
        <w:snapToGrid/>
        <w:spacing w:line="480" w:lineRule="exact"/>
        <w:ind w:firstLine="495" w:firstLineChars="177"/>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 xml:space="preserve">4.4 </w:t>
      </w:r>
      <w:r>
        <w:rPr>
          <w:rFonts w:hint="eastAsia" w:asciiTheme="minorEastAsia" w:hAnsiTheme="minorEastAsia" w:eastAsiaTheme="minorEastAsia" w:cstheme="minorEastAsia"/>
          <w:color w:val="000000" w:themeColor="text1"/>
          <w:sz w:val="28"/>
          <w:szCs w:val="28"/>
          <w14:textFill>
            <w14:solidFill>
              <w14:schemeClr w14:val="tx1"/>
            </w14:solidFill>
          </w14:textFill>
        </w:rPr>
        <w:t>甲方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有权</w:t>
      </w:r>
      <w:r>
        <w:rPr>
          <w:rFonts w:hint="eastAsia" w:asciiTheme="minorEastAsia" w:hAnsiTheme="minorEastAsia" w:eastAsiaTheme="minorEastAsia" w:cstheme="minorEastAsia"/>
          <w:color w:val="000000" w:themeColor="text1"/>
          <w:sz w:val="28"/>
          <w:szCs w:val="28"/>
          <w14:textFill>
            <w14:solidFill>
              <w14:schemeClr w14:val="tx1"/>
            </w14:solidFill>
          </w14:textFill>
        </w:rPr>
        <w:t>制止乙方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护理员</w:t>
      </w:r>
      <w:r>
        <w:rPr>
          <w:rFonts w:hint="eastAsia" w:asciiTheme="minorEastAsia" w:hAnsiTheme="minorEastAsia" w:eastAsiaTheme="minorEastAsia" w:cstheme="minorEastAsia"/>
          <w:color w:val="000000" w:themeColor="text1"/>
          <w:sz w:val="28"/>
          <w:szCs w:val="28"/>
          <w14:textFill>
            <w14:solidFill>
              <w14:schemeClr w14:val="tx1"/>
            </w14:solidFill>
          </w14:textFill>
        </w:rPr>
        <w:t>在甲方从事与</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母婴护理</w:t>
      </w:r>
      <w:r>
        <w:rPr>
          <w:rFonts w:hint="eastAsia" w:asciiTheme="minorEastAsia" w:hAnsiTheme="minorEastAsia" w:eastAsiaTheme="minorEastAsia" w:cstheme="minorEastAsia"/>
          <w:color w:val="000000" w:themeColor="text1"/>
          <w:sz w:val="28"/>
          <w:szCs w:val="28"/>
          <w14:textFill>
            <w14:solidFill>
              <w14:schemeClr w14:val="tx1"/>
            </w14:solidFill>
          </w14:textFill>
        </w:rPr>
        <w:t>服务无关的活动</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随时向患者了解</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护理</w:t>
      </w:r>
      <w:r>
        <w:rPr>
          <w:rFonts w:hint="eastAsia" w:asciiTheme="minorEastAsia" w:hAnsiTheme="minorEastAsia" w:eastAsiaTheme="minorEastAsia" w:cstheme="minorEastAsia"/>
          <w:color w:val="000000" w:themeColor="text1"/>
          <w:sz w:val="28"/>
          <w:szCs w:val="28"/>
          <w14:textFill>
            <w14:solidFill>
              <w14:schemeClr w14:val="tx1"/>
            </w14:solidFill>
          </w14:textFill>
        </w:rPr>
        <w:t>员的服务情况</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对不称职的</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护理员</w:t>
      </w:r>
      <w:r>
        <w:rPr>
          <w:rFonts w:hint="eastAsia" w:asciiTheme="minorEastAsia" w:hAnsiTheme="minorEastAsia" w:eastAsiaTheme="minorEastAsia" w:cstheme="minorEastAsia"/>
          <w:color w:val="000000" w:themeColor="text1"/>
          <w:sz w:val="28"/>
          <w:szCs w:val="28"/>
          <w14:textFill>
            <w14:solidFill>
              <w14:schemeClr w14:val="tx1"/>
            </w14:solidFill>
          </w14:textFill>
        </w:rPr>
        <w:t>有权要求改正，对拒不改正的有权要求乙方予以更换。</w:t>
      </w:r>
    </w:p>
    <w:p>
      <w:pPr>
        <w:keepNext w:val="0"/>
        <w:keepLines w:val="0"/>
        <w:pageBreakBefore w:val="0"/>
        <w:widowControl w:val="0"/>
        <w:kinsoku/>
        <w:wordWrap/>
        <w:overflowPunct/>
        <w:topLinePunct w:val="0"/>
        <w:autoSpaceDE/>
        <w:autoSpaceDN/>
        <w:bidi w:val="0"/>
        <w:adjustRightInd/>
        <w:snapToGrid/>
        <w:spacing w:line="480" w:lineRule="exact"/>
        <w:ind w:firstLine="495" w:firstLineChars="177"/>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4.5 甲方有权</w:t>
      </w:r>
      <w:r>
        <w:rPr>
          <w:rFonts w:hint="eastAsia" w:asciiTheme="minorEastAsia" w:hAnsiTheme="minorEastAsia" w:eastAsiaTheme="minorEastAsia" w:cstheme="minorEastAsia"/>
          <w:color w:val="000000" w:themeColor="text1"/>
          <w:sz w:val="28"/>
          <w:szCs w:val="28"/>
          <w14:textFill>
            <w14:solidFill>
              <w14:schemeClr w14:val="tx1"/>
            </w14:solidFill>
          </w14:textFill>
        </w:rPr>
        <w:t>查看乙方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护理</w:t>
      </w:r>
      <w:r>
        <w:rPr>
          <w:rFonts w:hint="eastAsia" w:asciiTheme="minorEastAsia" w:hAnsiTheme="minorEastAsia" w:eastAsiaTheme="minorEastAsia" w:cstheme="minorEastAsia"/>
          <w:color w:val="000000" w:themeColor="text1"/>
          <w:sz w:val="28"/>
          <w:szCs w:val="28"/>
          <w14:textFill>
            <w14:solidFill>
              <w14:schemeClr w14:val="tx1"/>
            </w14:solidFill>
          </w14:textFill>
        </w:rPr>
        <w:t>员</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的</w:t>
      </w:r>
      <w:r>
        <w:rPr>
          <w:rFonts w:hint="eastAsia" w:asciiTheme="minorEastAsia" w:hAnsiTheme="minorEastAsia" w:eastAsiaTheme="minorEastAsia" w:cstheme="minorEastAsia"/>
          <w:color w:val="000000" w:themeColor="text1"/>
          <w:sz w:val="28"/>
          <w:szCs w:val="28"/>
          <w14:textFill>
            <w14:solidFill>
              <w14:schemeClr w14:val="tx1"/>
            </w14:solidFill>
          </w14:textFill>
        </w:rPr>
        <w:t>健康证</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身份证</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技能</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培训</w:t>
      </w:r>
      <w:r>
        <w:rPr>
          <w:rFonts w:hint="eastAsia" w:asciiTheme="minorEastAsia" w:hAnsiTheme="minorEastAsia" w:eastAsiaTheme="minorEastAsia" w:cstheme="minorEastAsia"/>
          <w:color w:val="000000" w:themeColor="text1"/>
          <w:sz w:val="28"/>
          <w:szCs w:val="28"/>
          <w14:textFill>
            <w14:solidFill>
              <w14:schemeClr w14:val="tx1"/>
            </w14:solidFill>
          </w14:textFill>
        </w:rPr>
        <w:t>证书等相关</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证件原件及留存前述证件复印件</w:t>
      </w:r>
      <w:r>
        <w:rPr>
          <w:rFonts w:hint="eastAsia" w:asciiTheme="minorEastAsia" w:hAnsiTheme="minorEastAsia" w:eastAsiaTheme="minorEastAsia" w:cstheme="minorEastAsia"/>
          <w:color w:val="000000" w:themeColor="text1"/>
          <w:sz w:val="28"/>
          <w:szCs w:val="28"/>
          <w14:textFill>
            <w14:solidFill>
              <w14:schemeClr w14:val="tx1"/>
            </w14:solidFill>
          </w14:textFill>
        </w:rPr>
        <w:t>，乙方及其人员应积极配合。</w:t>
      </w:r>
    </w:p>
    <w:p>
      <w:pPr>
        <w:keepNext w:val="0"/>
        <w:keepLines w:val="0"/>
        <w:pageBreakBefore w:val="0"/>
        <w:widowControl w:val="0"/>
        <w:kinsoku/>
        <w:wordWrap/>
        <w:overflowPunct/>
        <w:topLinePunct w:val="0"/>
        <w:autoSpaceDE/>
        <w:autoSpaceDN/>
        <w:bidi w:val="0"/>
        <w:adjustRightInd/>
        <w:snapToGrid/>
        <w:spacing w:line="480" w:lineRule="exact"/>
        <w:ind w:firstLine="495" w:firstLineChars="177"/>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4.6 甲方</w:t>
      </w:r>
      <w:r>
        <w:rPr>
          <w:rFonts w:hint="eastAsia" w:asciiTheme="minorEastAsia" w:hAnsiTheme="minorEastAsia" w:eastAsiaTheme="minorEastAsia" w:cstheme="minorEastAsia"/>
          <w:color w:val="000000" w:themeColor="text1"/>
          <w:sz w:val="28"/>
          <w:szCs w:val="28"/>
          <w14:textFill>
            <w14:solidFill>
              <w14:schemeClr w14:val="tx1"/>
            </w14:solidFill>
          </w14:textFill>
        </w:rPr>
        <w:t>协助乙方聘请相关专业人员对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护理员</w:t>
      </w:r>
      <w:r>
        <w:rPr>
          <w:rFonts w:hint="eastAsia" w:asciiTheme="minorEastAsia" w:hAnsiTheme="minorEastAsia" w:eastAsiaTheme="minorEastAsia" w:cstheme="minorEastAsia"/>
          <w:color w:val="000000" w:themeColor="text1"/>
          <w:sz w:val="28"/>
          <w:szCs w:val="28"/>
          <w14:textFill>
            <w14:solidFill>
              <w14:schemeClr w14:val="tx1"/>
            </w14:solidFill>
          </w14:textFill>
        </w:rPr>
        <w:t>进行职业道德、</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护理</w:t>
      </w:r>
      <w:r>
        <w:rPr>
          <w:rFonts w:hint="eastAsia" w:asciiTheme="minorEastAsia" w:hAnsiTheme="minorEastAsia" w:eastAsiaTheme="minorEastAsia" w:cstheme="minorEastAsia"/>
          <w:color w:val="000000" w:themeColor="text1"/>
          <w:sz w:val="28"/>
          <w:szCs w:val="28"/>
          <w14:textFill>
            <w14:solidFill>
              <w14:schemeClr w14:val="tx1"/>
            </w14:solidFill>
          </w14:textFill>
        </w:rPr>
        <w:t>知识、操作技能培训。</w:t>
      </w:r>
    </w:p>
    <w:p>
      <w:pPr>
        <w:keepNext w:val="0"/>
        <w:keepLines w:val="0"/>
        <w:pageBreakBefore w:val="0"/>
        <w:widowControl w:val="0"/>
        <w:kinsoku/>
        <w:wordWrap/>
        <w:overflowPunct/>
        <w:topLinePunct w:val="0"/>
        <w:autoSpaceDE/>
        <w:autoSpaceDN/>
        <w:bidi w:val="0"/>
        <w:adjustRightInd/>
        <w:snapToGrid/>
        <w:spacing w:line="480" w:lineRule="exact"/>
        <w:ind w:firstLine="495" w:firstLineChars="177"/>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4.7 本协议期限内，甲方</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不</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再选择</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其他单位或社会组织</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驻院</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为患者提供</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本协议服务内容的母婴护理服务</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，患</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方</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自行</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委</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托乙方之外的机构、人员开展</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母婴护理</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服务</w:t>
      </w:r>
      <w:r>
        <w:rPr>
          <w:rFonts w:hint="eastAsia" w:asciiTheme="minorEastAsia" w:hAnsiTheme="minorEastAsia" w:eastAsiaTheme="minorEastAsia" w:cstheme="minorEastAsia"/>
          <w:color w:val="000000" w:themeColor="text1"/>
          <w:sz w:val="28"/>
          <w:szCs w:val="28"/>
          <w14:textFill>
            <w14:solidFill>
              <w14:schemeClr w14:val="tx1"/>
            </w14:solidFill>
          </w14:textFill>
        </w:rPr>
        <w:t>除外。</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4.8向患方、甲方产科人员就乙方提供的母婴护理服务进行满意度调查。</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第五条 乙方职责</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5.1 乙方不得在甲方产科以外区域开展服务，在甲方开展工作所需的</w:t>
      </w:r>
      <w:r>
        <w:rPr>
          <w:rFonts w:hint="eastAsia" w:asciiTheme="minorEastAsia" w:hAnsiTheme="minorEastAsia" w:eastAsiaTheme="minorEastAsia" w:cstheme="minorEastAsia"/>
          <w:color w:val="000000" w:themeColor="text1"/>
          <w:sz w:val="28"/>
          <w:szCs w:val="28"/>
          <w14:textFill>
            <w14:solidFill>
              <w14:schemeClr w14:val="tx1"/>
            </w14:solidFill>
          </w14:textFill>
        </w:rPr>
        <w:t>全部</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设备设施、</w:t>
      </w:r>
      <w:r>
        <w:rPr>
          <w:rFonts w:hint="eastAsia" w:asciiTheme="minorEastAsia" w:hAnsiTheme="minorEastAsia" w:eastAsiaTheme="minorEastAsia" w:cstheme="minorEastAsia"/>
          <w:color w:val="000000" w:themeColor="text1"/>
          <w:sz w:val="28"/>
          <w:szCs w:val="28"/>
          <w14:textFill>
            <w14:solidFill>
              <w14:schemeClr w14:val="tx1"/>
            </w14:solidFill>
          </w14:textFill>
        </w:rPr>
        <w:t>办公用品</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及</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工作用物（如口罩、手套等）</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均由乙方自行购置。</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u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5.2 乙方</w:t>
      </w:r>
      <w:r>
        <w:rPr>
          <w:rFonts w:hint="eastAsia" w:asciiTheme="minorEastAsia" w:hAnsiTheme="minorEastAsia" w:eastAsiaTheme="minorEastAsia" w:cstheme="minorEastAsia"/>
          <w:color w:val="000000" w:themeColor="text1"/>
          <w:kern w:val="1"/>
          <w:sz w:val="28"/>
          <w:szCs w:val="28"/>
          <w:lang w:val="en-US" w:eastAsia="zh-CN"/>
          <w14:textFill>
            <w14:solidFill>
              <w14:schemeClr w14:val="tx1"/>
            </w14:solidFill>
          </w14:textFill>
        </w:rPr>
        <w:t>全面</w:t>
      </w:r>
      <w:r>
        <w:rPr>
          <w:rFonts w:hint="eastAsia" w:asciiTheme="minorEastAsia" w:hAnsiTheme="minorEastAsia" w:eastAsiaTheme="minorEastAsia" w:cstheme="minorEastAsia"/>
          <w:color w:val="000000" w:themeColor="text1"/>
          <w:sz w:val="28"/>
          <w:szCs w:val="28"/>
          <w14:textFill>
            <w14:solidFill>
              <w14:schemeClr w14:val="tx1"/>
            </w14:solidFill>
          </w14:textFill>
        </w:rPr>
        <w:t>负责</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护理员</w:t>
      </w:r>
      <w:r>
        <w:rPr>
          <w:rFonts w:hint="eastAsia" w:asciiTheme="minorEastAsia" w:hAnsiTheme="minorEastAsia" w:eastAsiaTheme="minorEastAsia" w:cstheme="minorEastAsia"/>
          <w:color w:val="000000" w:themeColor="text1"/>
          <w:sz w:val="28"/>
          <w:szCs w:val="28"/>
          <w14:textFill>
            <w14:solidFill>
              <w14:schemeClr w14:val="tx1"/>
            </w14:solidFill>
          </w14:textFill>
        </w:rPr>
        <w:t>的招聘、培训、考核、管理</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指派</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u w:val="none"/>
          <w:lang w:val="en-US" w:eastAsia="zh-CN"/>
          <w14:textFill>
            <w14:solidFill>
              <w14:schemeClr w14:val="tx1"/>
            </w14:solidFill>
          </w14:textFill>
        </w:rPr>
        <w:t xml:space="preserve">（联系电话： </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u w:val="none"/>
          <w:lang w:val="en-US" w:eastAsia="zh-CN"/>
          <w14:textFill>
            <w14:solidFill>
              <w14:schemeClr w14:val="tx1"/>
            </w14:solidFill>
          </w14:textFill>
        </w:rPr>
        <w:t>） 为负责人。</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u w:val="none"/>
          <w:lang w:val="en-US" w:eastAsia="zh-CN"/>
          <w14:textFill>
            <w14:solidFill>
              <w14:schemeClr w14:val="tx1"/>
            </w14:solidFill>
          </w14:textFill>
        </w:rPr>
        <w:t xml:space="preserve">5.3 </w:t>
      </w:r>
      <w:r>
        <w:rPr>
          <w:rFonts w:hint="eastAsia" w:asciiTheme="minorEastAsia" w:hAnsiTheme="minorEastAsia" w:eastAsiaTheme="minorEastAsia" w:cstheme="minorEastAsia"/>
          <w:color w:val="000000" w:themeColor="text1"/>
          <w:kern w:val="1"/>
          <w:sz w:val="28"/>
          <w:szCs w:val="28"/>
          <w:lang w:val="en-US" w:eastAsia="zh-CN"/>
          <w14:textFill>
            <w14:solidFill>
              <w14:schemeClr w14:val="tx1"/>
            </w14:solidFill>
          </w14:textFill>
        </w:rPr>
        <w:t>乙方须</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与</w:t>
      </w:r>
      <w:r>
        <w:rPr>
          <w:rFonts w:hint="eastAsia" w:asciiTheme="minorEastAsia" w:hAnsiTheme="minorEastAsia" w:eastAsiaTheme="minorEastAsia" w:cstheme="minorEastAsia"/>
          <w:color w:val="000000" w:themeColor="text1"/>
          <w:kern w:val="1"/>
          <w:sz w:val="28"/>
          <w:szCs w:val="28"/>
          <w:lang w:val="en-US" w:eastAsia="zh-CN"/>
          <w14:textFill>
            <w14:solidFill>
              <w14:schemeClr w14:val="tx1"/>
            </w14:solidFill>
          </w14:textFill>
        </w:rPr>
        <w:t>指派的护理员</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签订劳动合同并足额缴纳养老保险费、职工基本医疗保费、工伤保险费等社会保险费，护理员</w:t>
      </w:r>
      <w:r>
        <w:rPr>
          <w:rFonts w:hint="eastAsia" w:asciiTheme="minorEastAsia" w:hAnsiTheme="minorEastAsia" w:eastAsiaTheme="minorEastAsia" w:cstheme="minorEastAsia"/>
          <w:color w:val="000000" w:themeColor="text1"/>
          <w:sz w:val="28"/>
          <w:szCs w:val="28"/>
          <w14:textFill>
            <w14:solidFill>
              <w14:schemeClr w14:val="tx1"/>
            </w14:solidFill>
          </w14:textFill>
        </w:rPr>
        <w:t>名单</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须</w:t>
      </w:r>
      <w:r>
        <w:rPr>
          <w:rFonts w:hint="eastAsia" w:asciiTheme="minorEastAsia" w:hAnsiTheme="minorEastAsia" w:eastAsiaTheme="minorEastAsia" w:cstheme="minorEastAsia"/>
          <w:color w:val="000000" w:themeColor="text1"/>
          <w:sz w:val="28"/>
          <w:szCs w:val="28"/>
          <w14:textFill>
            <w14:solidFill>
              <w14:schemeClr w14:val="tx1"/>
            </w14:solidFill>
          </w14:textFill>
        </w:rPr>
        <w:t>报甲方备案</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乙方确保履行本协议的护理员持母婴护理职业资格证书上岗，</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岗前体检健康，且已经完成</w:t>
      </w:r>
      <w:r>
        <w:rPr>
          <w:rFonts w:hint="eastAsia" w:asciiTheme="minorEastAsia" w:hAnsiTheme="minorEastAsia" w:eastAsiaTheme="minorEastAsia" w:cstheme="minorEastAsia"/>
          <w:color w:val="000000" w:themeColor="text1"/>
          <w:sz w:val="28"/>
          <w:szCs w:val="28"/>
          <w14:textFill>
            <w14:solidFill>
              <w14:schemeClr w14:val="tx1"/>
            </w14:solidFill>
          </w14:textFill>
        </w:rPr>
        <w:t>职业道德、护理知识、操作技能教育和培训，培训过程中产生的师资费、场地费等一切费用</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均由乙方承担。</w:t>
      </w:r>
    </w:p>
    <w:p>
      <w:pPr>
        <w:keepNext w:val="0"/>
        <w:keepLines w:val="0"/>
        <w:pageBreakBefore w:val="0"/>
        <w:widowControl w:val="0"/>
        <w:kinsoku/>
        <w:wordWrap/>
        <w:overflowPunct/>
        <w:topLinePunct w:val="0"/>
        <w:autoSpaceDE/>
        <w:autoSpaceDN/>
        <w:bidi w:val="0"/>
        <w:adjustRightInd/>
        <w:snapToGrid/>
        <w:spacing w:line="480" w:lineRule="exact"/>
        <w:ind w:firstLine="495" w:firstLineChars="177"/>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u w:val="none"/>
          <w:lang w:val="en-US" w:eastAsia="zh-CN"/>
          <w14:textFill>
            <w14:solidFill>
              <w14:schemeClr w14:val="tx1"/>
            </w14:solidFill>
          </w14:textFill>
        </w:rPr>
        <w:t xml:space="preserve">5.4 </w:t>
      </w:r>
      <w:r>
        <w:rPr>
          <w:rFonts w:hint="eastAsia" w:asciiTheme="minorEastAsia" w:hAnsiTheme="minorEastAsia" w:eastAsiaTheme="minorEastAsia" w:cstheme="minorEastAsia"/>
          <w:color w:val="000000" w:themeColor="text1"/>
          <w:sz w:val="28"/>
          <w:szCs w:val="28"/>
          <w14:textFill>
            <w14:solidFill>
              <w14:schemeClr w14:val="tx1"/>
            </w14:solidFill>
          </w14:textFill>
        </w:rPr>
        <w:t>乙方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人员工作期间应</w:t>
      </w:r>
      <w:r>
        <w:rPr>
          <w:rFonts w:hint="eastAsia" w:asciiTheme="minorEastAsia" w:hAnsiTheme="minorEastAsia" w:eastAsiaTheme="minorEastAsia" w:cstheme="minorEastAsia"/>
          <w:color w:val="000000" w:themeColor="text1"/>
          <w:sz w:val="28"/>
          <w:szCs w:val="28"/>
          <w14:textFill>
            <w14:solidFill>
              <w14:schemeClr w14:val="tx1"/>
            </w14:solidFill>
          </w14:textFill>
        </w:rPr>
        <w:t>挂牌上岗</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统一</w:t>
      </w:r>
      <w:r>
        <w:rPr>
          <w:rFonts w:hint="eastAsia" w:asciiTheme="minorEastAsia" w:hAnsiTheme="minorEastAsia" w:eastAsiaTheme="minorEastAsia" w:cstheme="minorEastAsia"/>
          <w:color w:val="000000" w:themeColor="text1"/>
          <w:sz w:val="28"/>
          <w:szCs w:val="28"/>
          <w14:textFill>
            <w14:solidFill>
              <w14:schemeClr w14:val="tx1"/>
            </w14:solidFill>
          </w14:textFill>
        </w:rPr>
        <w:t>着装</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工作牌、工作服应标识乙方公司名称</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并</w:t>
      </w:r>
      <w:r>
        <w:rPr>
          <w:rFonts w:hint="eastAsia" w:asciiTheme="minorEastAsia" w:hAnsiTheme="minorEastAsia" w:eastAsiaTheme="minorEastAsia" w:cstheme="minorEastAsia"/>
          <w:color w:val="000000" w:themeColor="text1"/>
          <w:sz w:val="28"/>
          <w:szCs w:val="28"/>
          <w14:textFill>
            <w14:solidFill>
              <w14:schemeClr w14:val="tx1"/>
            </w14:solidFill>
          </w14:textFill>
        </w:rPr>
        <w:t>按照《医务人员职业暴露防护管理规定》</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要求</w:t>
      </w:r>
      <w:r>
        <w:rPr>
          <w:rFonts w:hint="eastAsia" w:asciiTheme="minorEastAsia" w:hAnsiTheme="minorEastAsia" w:eastAsiaTheme="minorEastAsia" w:cstheme="minorEastAsia"/>
          <w:color w:val="000000" w:themeColor="text1"/>
          <w:sz w:val="28"/>
          <w:szCs w:val="28"/>
          <w14:textFill>
            <w14:solidFill>
              <w14:schemeClr w14:val="tx1"/>
            </w14:solidFill>
          </w14:textFill>
        </w:rPr>
        <w:t>进行操作，做好自我防护（如穿工作服、戴口罩、帽子、手套等）和安全保护。</w:t>
      </w:r>
    </w:p>
    <w:p>
      <w:pPr>
        <w:keepNext w:val="0"/>
        <w:keepLines w:val="0"/>
        <w:pageBreakBefore w:val="0"/>
        <w:widowControl w:val="0"/>
        <w:kinsoku/>
        <w:wordWrap/>
        <w:overflowPunct/>
        <w:topLinePunct w:val="0"/>
        <w:autoSpaceDE/>
        <w:autoSpaceDN/>
        <w:bidi w:val="0"/>
        <w:adjustRightInd/>
        <w:snapToGrid/>
        <w:spacing w:line="480" w:lineRule="exact"/>
        <w:ind w:firstLine="495" w:firstLineChars="177"/>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u w:val="none"/>
          <w:lang w:val="en-US" w:eastAsia="zh-CN"/>
          <w14:textFill>
            <w14:solidFill>
              <w14:schemeClr w14:val="tx1"/>
            </w14:solidFill>
          </w14:textFill>
        </w:rPr>
        <w:t>5.5 乙方对护理员实行统一管理，</w:t>
      </w:r>
      <w:r>
        <w:rPr>
          <w:rFonts w:hint="eastAsia" w:asciiTheme="minorEastAsia" w:hAnsiTheme="minorEastAsia" w:eastAsiaTheme="minorEastAsia" w:cstheme="minorEastAsia"/>
          <w:color w:val="000000" w:themeColor="text1"/>
          <w:kern w:val="1"/>
          <w:sz w:val="28"/>
          <w:szCs w:val="28"/>
          <w14:textFill>
            <w14:solidFill>
              <w14:schemeClr w14:val="tx1"/>
            </w14:solidFill>
          </w14:textFill>
        </w:rPr>
        <w:t>为患者</w:t>
      </w:r>
      <w:r>
        <w:rPr>
          <w:rFonts w:hint="eastAsia" w:asciiTheme="minorEastAsia" w:hAnsiTheme="minorEastAsia" w:eastAsiaTheme="minorEastAsia" w:cstheme="minorEastAsia"/>
          <w:color w:val="000000" w:themeColor="text1"/>
          <w:kern w:val="1"/>
          <w:sz w:val="28"/>
          <w:szCs w:val="28"/>
          <w:lang w:val="en-US" w:eastAsia="zh-CN"/>
          <w14:textFill>
            <w14:solidFill>
              <w14:schemeClr w14:val="tx1"/>
            </w14:solidFill>
          </w14:textFill>
        </w:rPr>
        <w:t>提供具体服务的护理员均由乙方指派</w:t>
      </w:r>
      <w:r>
        <w:rPr>
          <w:rFonts w:hint="eastAsia" w:asciiTheme="minorEastAsia" w:hAnsiTheme="minorEastAsia" w:eastAsiaTheme="minorEastAsia" w:cstheme="minorEastAsia"/>
          <w:color w:val="000000" w:themeColor="text1"/>
          <w:kern w:val="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u w:val="none"/>
          <w:lang w:val="en-US" w:eastAsia="zh-CN"/>
          <w14:textFill>
            <w14:solidFill>
              <w14:schemeClr w14:val="tx1"/>
            </w14:solidFill>
          </w14:textFill>
        </w:rPr>
        <w:t>乙方全面监督护理员工作，</w:t>
      </w:r>
      <w:r>
        <w:rPr>
          <w:rFonts w:hint="eastAsia" w:asciiTheme="minorEastAsia" w:hAnsiTheme="minorEastAsia" w:eastAsiaTheme="minorEastAsia" w:cstheme="minorEastAsia"/>
          <w:color w:val="000000" w:themeColor="text1"/>
          <w:sz w:val="28"/>
          <w:szCs w:val="28"/>
          <w14:textFill>
            <w14:solidFill>
              <w14:schemeClr w14:val="tx1"/>
            </w14:solidFill>
          </w14:textFill>
        </w:rPr>
        <w:t>制定</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护理员</w:t>
      </w:r>
      <w:r>
        <w:rPr>
          <w:rFonts w:hint="eastAsia" w:asciiTheme="minorEastAsia" w:hAnsiTheme="minorEastAsia" w:eastAsiaTheme="minorEastAsia" w:cstheme="minorEastAsia"/>
          <w:color w:val="000000" w:themeColor="text1"/>
          <w:sz w:val="28"/>
          <w:szCs w:val="28"/>
          <w14:textFill>
            <w14:solidFill>
              <w14:schemeClr w14:val="tx1"/>
            </w14:solidFill>
          </w14:textFill>
        </w:rPr>
        <w:t>服务标准和服务意见征询表等，根据甲方和</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患方</w:t>
      </w:r>
      <w:r>
        <w:rPr>
          <w:rFonts w:hint="eastAsia" w:asciiTheme="minorEastAsia" w:hAnsiTheme="minorEastAsia" w:eastAsiaTheme="minorEastAsia" w:cstheme="minorEastAsia"/>
          <w:color w:val="000000" w:themeColor="text1"/>
          <w:sz w:val="28"/>
          <w:szCs w:val="28"/>
          <w14:textFill>
            <w14:solidFill>
              <w14:schemeClr w14:val="tx1"/>
            </w14:solidFill>
          </w14:textFill>
        </w:rPr>
        <w:t>的反馈意见，对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护理员</w:t>
      </w:r>
      <w:r>
        <w:rPr>
          <w:rFonts w:hint="eastAsia" w:asciiTheme="minorEastAsia" w:hAnsiTheme="minorEastAsia" w:eastAsiaTheme="minorEastAsia" w:cstheme="minorEastAsia"/>
          <w:color w:val="000000" w:themeColor="text1"/>
          <w:sz w:val="28"/>
          <w:szCs w:val="28"/>
          <w14:textFill>
            <w14:solidFill>
              <w14:schemeClr w14:val="tx1"/>
            </w14:solidFill>
          </w14:textFill>
        </w:rPr>
        <w:t>的工作进行评估、考核。</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如甲方要求更换护理员，乙方应在接到甲方通知后1日内更换到位。</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5.6 乙方应在本协议签订后3日内将母婴护理</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服务方案</w:t>
      </w:r>
      <w:r>
        <w:rPr>
          <w:rFonts w:hint="eastAsia" w:asciiTheme="minorEastAsia" w:hAnsiTheme="minorEastAsia" w:eastAsiaTheme="minorEastAsia" w:cstheme="minorEastAsia"/>
          <w:color w:val="000000" w:themeColor="text1"/>
          <w:sz w:val="28"/>
          <w:szCs w:val="28"/>
          <w14:textFill>
            <w14:solidFill>
              <w14:schemeClr w14:val="tx1"/>
            </w14:solidFill>
          </w14:textFill>
        </w:rPr>
        <w:t>、</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护理员</w:t>
      </w:r>
      <w:r>
        <w:rPr>
          <w:rFonts w:hint="eastAsia" w:asciiTheme="minorEastAsia" w:hAnsiTheme="minorEastAsia" w:eastAsiaTheme="minorEastAsia" w:cstheme="minorEastAsia"/>
          <w:color w:val="000000" w:themeColor="text1"/>
          <w:sz w:val="28"/>
          <w:szCs w:val="28"/>
          <w14:textFill>
            <w14:solidFill>
              <w14:schemeClr w14:val="tx1"/>
            </w14:solidFill>
          </w14:textFill>
        </w:rPr>
        <w:t>工作管理制度、服务标准、收费标准及方式等文件报甲方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确认并备案，本协议期限内乙方不得擅自</w:t>
      </w:r>
      <w:r>
        <w:rPr>
          <w:rFonts w:hint="eastAsia" w:asciiTheme="minorEastAsia" w:hAnsiTheme="minorEastAsia" w:eastAsiaTheme="minorEastAsia" w:cstheme="minorEastAsia"/>
          <w:color w:val="000000" w:themeColor="text1"/>
          <w:sz w:val="28"/>
          <w:szCs w:val="28"/>
          <w14:textFill>
            <w14:solidFill>
              <w14:schemeClr w14:val="tx1"/>
            </w14:solidFill>
          </w14:textFill>
        </w:rPr>
        <w:t>提高收费标准或增加项目变相提高收费标准。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5.7 患方有母婴护理需求时，乙方应</w:t>
      </w: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向患方详细介绍护理员、服务项目、护理等级等内容。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护理员开展母婴护理服务前，乙方须</w:t>
      </w:r>
      <w:r>
        <w:rPr>
          <w:rFonts w:hint="eastAsia" w:asciiTheme="minorEastAsia" w:hAnsiTheme="minorEastAsia" w:eastAsiaTheme="minorEastAsia" w:cstheme="minorEastAsia"/>
          <w:color w:val="000000" w:themeColor="text1"/>
          <w:sz w:val="28"/>
          <w:szCs w:val="28"/>
          <w14:textFill>
            <w14:solidFill>
              <w14:schemeClr w14:val="tx1"/>
            </w14:solidFill>
          </w14:textFill>
        </w:rPr>
        <w:t>与</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患方</w:t>
      </w:r>
      <w:r>
        <w:rPr>
          <w:rFonts w:hint="eastAsia" w:asciiTheme="minorEastAsia" w:hAnsiTheme="minorEastAsia" w:eastAsiaTheme="minorEastAsia" w:cstheme="minorEastAsia"/>
          <w:color w:val="000000" w:themeColor="text1"/>
          <w:sz w:val="28"/>
          <w:szCs w:val="28"/>
          <w14:textFill>
            <w14:solidFill>
              <w14:schemeClr w14:val="tx1"/>
            </w14:solidFill>
          </w14:textFill>
        </w:rPr>
        <w:t>签订</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服务合同，乙方</w:t>
      </w:r>
      <w:r>
        <w:rPr>
          <w:rFonts w:hint="eastAsia" w:asciiTheme="minorEastAsia" w:hAnsiTheme="minorEastAsia" w:eastAsiaTheme="minorEastAsia" w:cstheme="minorEastAsia"/>
          <w:color w:val="000000" w:themeColor="text1"/>
          <w:sz w:val="28"/>
          <w:szCs w:val="28"/>
          <w14:textFill>
            <w14:solidFill>
              <w14:schemeClr w14:val="tx1"/>
            </w14:solidFill>
          </w14:textFill>
        </w:rPr>
        <w:t>与</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患方</w:t>
      </w:r>
      <w:r>
        <w:rPr>
          <w:rFonts w:hint="eastAsia" w:asciiTheme="minorEastAsia" w:hAnsiTheme="minorEastAsia" w:eastAsiaTheme="minorEastAsia" w:cstheme="minorEastAsia"/>
          <w:color w:val="000000" w:themeColor="text1"/>
          <w:sz w:val="28"/>
          <w:szCs w:val="28"/>
          <w14:textFill>
            <w14:solidFill>
              <w14:schemeClr w14:val="tx1"/>
            </w14:solidFill>
          </w14:textFill>
        </w:rPr>
        <w:t>约定</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的母婴护理</w:t>
      </w:r>
      <w:r>
        <w:rPr>
          <w:rFonts w:hint="eastAsia" w:asciiTheme="minorEastAsia" w:hAnsiTheme="minorEastAsia" w:eastAsiaTheme="minorEastAsia" w:cstheme="minorEastAsia"/>
          <w:color w:val="000000" w:themeColor="text1"/>
          <w:sz w:val="28"/>
          <w:szCs w:val="28"/>
          <w14:textFill>
            <w14:solidFill>
              <w14:schemeClr w14:val="tx1"/>
            </w14:solidFill>
          </w14:textFill>
        </w:rPr>
        <w:t>服务期限不得超过本协议期限</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患方</w:t>
      </w:r>
      <w:r>
        <w:rPr>
          <w:rFonts w:hint="eastAsia" w:asciiTheme="minorEastAsia" w:hAnsiTheme="minorEastAsia" w:eastAsiaTheme="minorEastAsia" w:cstheme="minorEastAsia"/>
          <w:color w:val="000000" w:themeColor="text1"/>
          <w:sz w:val="28"/>
          <w:szCs w:val="28"/>
          <w14:textFill>
            <w14:solidFill>
              <w14:schemeClr w14:val="tx1"/>
            </w14:solidFill>
          </w14:textFill>
        </w:rPr>
        <w:t>要求</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除外</w:t>
      </w:r>
      <w:r>
        <w:rPr>
          <w:rFonts w:hint="eastAsia" w:asciiTheme="minorEastAsia" w:hAnsiTheme="minorEastAsia" w:eastAsiaTheme="minorEastAsia" w:cstheme="minorEastAsia"/>
          <w:color w:val="000000" w:themeColor="text1"/>
          <w:sz w:val="28"/>
          <w:szCs w:val="28"/>
          <w14:textFill>
            <w14:solidFill>
              <w14:schemeClr w14:val="tx1"/>
            </w14:solidFill>
          </w14:textFill>
        </w:rPr>
        <w:t>。</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乙方收取服务费用后，应及时向患方开具发票</w:t>
      </w:r>
      <w:r>
        <w:rPr>
          <w:rFonts w:hint="eastAsia" w:asciiTheme="minorEastAsia" w:hAnsiTheme="minorEastAsia" w:eastAsiaTheme="minorEastAsia" w:cstheme="minorEastAsia"/>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495" w:firstLineChars="177"/>
        <w:textAlignment w:val="auto"/>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 xml:space="preserve">5.8 </w:t>
      </w:r>
      <w:r>
        <w:rPr>
          <w:rFonts w:hint="eastAsia" w:asciiTheme="minorEastAsia" w:hAnsiTheme="minorEastAsia" w:eastAsiaTheme="minorEastAsia" w:cstheme="minorEastAsia"/>
          <w:color w:val="000000" w:themeColor="text1"/>
          <w:sz w:val="28"/>
          <w:szCs w:val="28"/>
          <w14:textFill>
            <w14:solidFill>
              <w14:schemeClr w14:val="tx1"/>
            </w14:solidFill>
          </w14:textFill>
        </w:rPr>
        <w:t>乙方必须尊重</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患方</w:t>
      </w:r>
      <w:r>
        <w:rPr>
          <w:rFonts w:hint="eastAsia" w:asciiTheme="minorEastAsia" w:hAnsiTheme="minorEastAsia" w:eastAsiaTheme="minorEastAsia" w:cstheme="minorEastAsia"/>
          <w:color w:val="000000" w:themeColor="text1"/>
          <w:sz w:val="28"/>
          <w:szCs w:val="28"/>
          <w14:textFill>
            <w14:solidFill>
              <w14:schemeClr w14:val="tx1"/>
            </w14:solidFill>
          </w14:textFill>
        </w:rPr>
        <w:t>意愿，不得以甲方名义</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诱导患方</w:t>
      </w:r>
      <w:r>
        <w:rPr>
          <w:rFonts w:hint="eastAsia" w:asciiTheme="minorEastAsia" w:hAnsiTheme="minorEastAsia" w:eastAsiaTheme="minorEastAsia" w:cstheme="minorEastAsia"/>
          <w:color w:val="000000" w:themeColor="text1"/>
          <w:sz w:val="28"/>
          <w:szCs w:val="28"/>
          <w14:textFill>
            <w14:solidFill>
              <w14:schemeClr w14:val="tx1"/>
            </w14:solidFill>
          </w14:textFill>
        </w:rPr>
        <w:t>或强迫</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患方接受乙方母婴护理服务，服务过程中必须严格</w:t>
      </w:r>
      <w:r>
        <w:rPr>
          <w:rFonts w:hint="eastAsia" w:asciiTheme="minorEastAsia" w:hAnsiTheme="minorEastAsia" w:eastAsiaTheme="minorEastAsia" w:cstheme="minorEastAsia"/>
          <w:color w:val="000000" w:themeColor="text1"/>
          <w:sz w:val="28"/>
          <w:szCs w:val="28"/>
          <w14:textFill>
            <w14:solidFill>
              <w14:schemeClr w14:val="tx1"/>
            </w14:solidFill>
          </w14:textFill>
        </w:rPr>
        <w:t>遵守国家法律法规</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护理员工作制度、</w:t>
      </w:r>
      <w:r>
        <w:rPr>
          <w:rFonts w:hint="eastAsia" w:asciiTheme="minorEastAsia" w:hAnsiTheme="minorEastAsia" w:eastAsiaTheme="minorEastAsia" w:cstheme="minorEastAsia"/>
          <w:color w:val="000000" w:themeColor="text1"/>
          <w:sz w:val="28"/>
          <w:szCs w:val="28"/>
          <w14:textFill>
            <w14:solidFill>
              <w14:schemeClr w14:val="tx1"/>
            </w14:solidFill>
          </w14:textFill>
        </w:rPr>
        <w:t>甲方规章制度</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和服务合同约定</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因乙方母婴护理服务引起的</w:t>
      </w:r>
      <w:r>
        <w:rPr>
          <w:rFonts w:hint="eastAsia" w:asciiTheme="minorEastAsia" w:hAnsiTheme="minorEastAsia" w:eastAsiaTheme="minorEastAsia" w:cstheme="minorEastAsia"/>
          <w:color w:val="000000" w:themeColor="text1"/>
          <w:sz w:val="28"/>
          <w:szCs w:val="28"/>
          <w14:textFill>
            <w14:solidFill>
              <w14:schemeClr w14:val="tx1"/>
            </w14:solidFill>
          </w14:textFill>
        </w:rPr>
        <w:t>投诉、纠纷、事故，</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均由乙方负责处理并承担法律责任和经济赔偿责任。</w:t>
      </w:r>
    </w:p>
    <w:p>
      <w:pPr>
        <w:keepNext w:val="0"/>
        <w:keepLines w:val="0"/>
        <w:pageBreakBefore w:val="0"/>
        <w:widowControl w:val="0"/>
        <w:kinsoku/>
        <w:wordWrap/>
        <w:overflowPunct/>
        <w:topLinePunct w:val="0"/>
        <w:autoSpaceDE/>
        <w:autoSpaceDN/>
        <w:bidi w:val="0"/>
        <w:adjustRightInd/>
        <w:snapToGrid/>
        <w:spacing w:line="480" w:lineRule="exact"/>
        <w:ind w:firstLine="495" w:firstLineChars="177"/>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5.9 如本协议期限届满，甲方依规遴选第三方母婴护理服务机构，乙方未入选，乙方须在新入选的服务机构入场前撤离人员并自行运离乙方添置的全部设备设施及物品，甲方不对前述设备设施、物品等进行任何补偿。</w:t>
      </w:r>
    </w:p>
    <w:p>
      <w:pPr>
        <w:keepNext w:val="0"/>
        <w:keepLines w:val="0"/>
        <w:pageBreakBefore w:val="0"/>
        <w:widowControl w:val="0"/>
        <w:kinsoku/>
        <w:wordWrap/>
        <w:overflowPunct/>
        <w:topLinePunct w:val="0"/>
        <w:autoSpaceDE/>
        <w:autoSpaceDN/>
        <w:bidi w:val="0"/>
        <w:adjustRightInd/>
        <w:snapToGrid/>
        <w:spacing w:line="480" w:lineRule="exact"/>
        <w:ind w:firstLine="638" w:firstLineChars="227"/>
        <w:textAlignment w:val="auto"/>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第六条 风险承担</w:t>
      </w:r>
    </w:p>
    <w:p>
      <w:pPr>
        <w:keepNext w:val="0"/>
        <w:keepLines w:val="0"/>
        <w:pageBreakBefore w:val="0"/>
        <w:widowControl w:val="0"/>
        <w:kinsoku/>
        <w:wordWrap/>
        <w:overflowPunct/>
        <w:topLinePunct w:val="0"/>
        <w:autoSpaceDE/>
        <w:autoSpaceDN/>
        <w:bidi w:val="0"/>
        <w:adjustRightInd/>
        <w:snapToGrid/>
        <w:spacing w:line="480" w:lineRule="exact"/>
        <w:ind w:firstLine="635" w:firstLineChars="227"/>
        <w:textAlignment w:val="auto"/>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 xml:space="preserve">6.1 </w:t>
      </w:r>
      <w:r>
        <w:rPr>
          <w:rFonts w:hint="eastAsia" w:asciiTheme="minorEastAsia" w:hAnsiTheme="minorEastAsia" w:eastAsiaTheme="minorEastAsia" w:cstheme="minorEastAsia"/>
          <w:color w:val="000000" w:themeColor="text1"/>
          <w:sz w:val="28"/>
          <w:szCs w:val="28"/>
          <w14:textFill>
            <w14:solidFill>
              <w14:schemeClr w14:val="tx1"/>
            </w14:solidFill>
          </w14:textFill>
        </w:rPr>
        <w:t>乙方在甲</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方场地开展的</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所有</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母婴护理</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服务业务</w:t>
      </w:r>
      <w:r>
        <w:rPr>
          <w:rFonts w:hint="eastAsia" w:asciiTheme="minorEastAsia" w:hAnsiTheme="minorEastAsia" w:eastAsiaTheme="minorEastAsia" w:cstheme="minorEastAsia"/>
          <w:color w:val="000000" w:themeColor="text1"/>
          <w:sz w:val="28"/>
          <w:szCs w:val="28"/>
          <w14:textFill>
            <w14:solidFill>
              <w14:schemeClr w14:val="tx1"/>
            </w14:solidFill>
          </w14:textFill>
        </w:rPr>
        <w:t>，实行自主经营、自负盈亏、自担风险。</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6.2 乙方及</w:t>
      </w:r>
      <w:r>
        <w:rPr>
          <w:rFonts w:hint="eastAsia" w:asciiTheme="minorEastAsia" w:hAnsiTheme="minorEastAsia" w:eastAsiaTheme="minorEastAsia" w:cstheme="minorEastAsia"/>
          <w:color w:val="000000" w:themeColor="text1"/>
          <w:sz w:val="28"/>
          <w:szCs w:val="28"/>
          <w14:textFill>
            <w14:solidFill>
              <w14:schemeClr w14:val="tx1"/>
            </w14:solidFill>
          </w14:textFill>
        </w:rPr>
        <w:t>乙方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护理员</w:t>
      </w:r>
      <w:r>
        <w:rPr>
          <w:rFonts w:hint="eastAsia" w:asciiTheme="minorEastAsia" w:hAnsiTheme="minorEastAsia" w:eastAsiaTheme="minorEastAsia" w:cstheme="minorEastAsia"/>
          <w:color w:val="000000" w:themeColor="text1"/>
          <w:sz w:val="28"/>
          <w:szCs w:val="28"/>
          <w14:textFill>
            <w14:solidFill>
              <w14:schemeClr w14:val="tx1"/>
            </w14:solidFill>
          </w14:textFill>
        </w:rPr>
        <w:t>在履行本协议过程中，给甲方（包括与甲方诊疗活动相关人员）、乙方</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患方</w:t>
      </w:r>
      <w:r>
        <w:rPr>
          <w:rFonts w:hint="eastAsia" w:asciiTheme="minorEastAsia" w:hAnsiTheme="minorEastAsia" w:eastAsiaTheme="minorEastAsia" w:cstheme="minorEastAsia"/>
          <w:color w:val="000000" w:themeColor="text1"/>
          <w:sz w:val="28"/>
          <w:szCs w:val="28"/>
          <w14:textFill>
            <w14:solidFill>
              <w14:schemeClr w14:val="tx1"/>
            </w14:solidFill>
          </w14:textFill>
        </w:rPr>
        <w:t>及第三方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造成的所有人身、财产</w:t>
      </w:r>
      <w:r>
        <w:rPr>
          <w:rFonts w:hint="eastAsia" w:asciiTheme="minorEastAsia" w:hAnsiTheme="minorEastAsia" w:eastAsiaTheme="minorEastAsia" w:cstheme="minorEastAsia"/>
          <w:color w:val="000000" w:themeColor="text1"/>
          <w:sz w:val="28"/>
          <w:szCs w:val="28"/>
          <w14:textFill>
            <w14:solidFill>
              <w14:schemeClr w14:val="tx1"/>
            </w14:solidFill>
          </w14:textFill>
        </w:rPr>
        <w:t>损失，均由乙方负责处理和承担全部法律责任、经济赔偿。</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6.3 如甲方因乙方服务等原因涉及纠纷、诉讼或被处以行政处罚，由乙方承担甲方因纠纷、诉讼、处罚等造成补偿款、赔偿款、诉讼费、律师费、罚款等全部经济损失。</w:t>
      </w:r>
    </w:p>
    <w:p>
      <w:pPr>
        <w:keepNext w:val="0"/>
        <w:keepLines w:val="0"/>
        <w:pageBreakBefore w:val="0"/>
        <w:widowControl w:val="0"/>
        <w:kinsoku/>
        <w:wordWrap/>
        <w:overflowPunct/>
        <w:topLinePunct w:val="0"/>
        <w:autoSpaceDE/>
        <w:autoSpaceDN/>
        <w:bidi w:val="0"/>
        <w:adjustRightInd/>
        <w:snapToGrid/>
        <w:spacing w:line="480" w:lineRule="exact"/>
        <w:ind w:firstLine="638" w:firstLineChars="227"/>
        <w:textAlignment w:val="auto"/>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第七条 保密条款</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7.1 本协议订立、履行、变更等产生的研究、商讨、交流等信息，履行本协议获悉的甲方商业秘密、运营信息、工作人员信息、患陪个人信息等，均属保密信息。</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7.2 乙方应对保密信息应当采取有效手段严格保密，不得用于非本协议之目的或向第三方泄露。如政府部门、法院或其他有权部门要求乙方提供保密信息，乙方应当立即向甲方通报。</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7.3 因乙方未履行本协议保密义务造成甲方或第三方损失的，由乙方承担全部赔偿责任。</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7.4 本协议保密条款在协议被认定无效、被撤销或终止、解除后仍然有效。</w:t>
      </w:r>
    </w:p>
    <w:p>
      <w:pPr>
        <w:keepNext w:val="0"/>
        <w:keepLines w:val="0"/>
        <w:pageBreakBefore w:val="0"/>
        <w:widowControl w:val="0"/>
        <w:kinsoku/>
        <w:wordWrap/>
        <w:overflowPunct/>
        <w:topLinePunct w:val="0"/>
        <w:autoSpaceDE/>
        <w:autoSpaceDN/>
        <w:bidi w:val="0"/>
        <w:adjustRightInd/>
        <w:snapToGrid/>
        <w:spacing w:line="480" w:lineRule="exact"/>
        <w:ind w:firstLine="638" w:firstLineChars="227"/>
        <w:textAlignment w:val="auto"/>
        <w:rPr>
          <w:rFonts w:hint="default"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第八条 廉洁条款</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t>8.1 乙方应严格遵守国家相关法律法规，涉及</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协议</w:t>
      </w:r>
      <w:r>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t>的有关业务活动必须坚持公开、公平、公正、诚信原则，不得为获取不正当利益，损害国家、集体和甲方利益。</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Theme="minorEastAsia" w:hAnsiTheme="minorEastAsia" w:eastAsiaTheme="minorEastAsia" w:cstheme="minorEastAsia"/>
          <w:b/>
          <w:bCs/>
          <w:color w:val="000000" w:themeColor="text1"/>
          <w:sz w:val="28"/>
          <w:szCs w:val="28"/>
          <w:u w:val="single"/>
          <w:lang w:val="en-US" w:eastAsia="zh-CN"/>
          <w14:textFill>
            <w14:solidFill>
              <w14:schemeClr w14:val="tx1"/>
            </w14:solidFill>
          </w14:textFill>
        </w:rPr>
      </w:pPr>
      <w:r>
        <w:rPr>
          <w:rFonts w:hint="default" w:asciiTheme="minorEastAsia" w:hAnsiTheme="minorEastAsia" w:eastAsiaTheme="minorEastAsia" w:cstheme="minorEastAsia"/>
          <w:b/>
          <w:bCs/>
          <w:color w:val="000000" w:themeColor="text1"/>
          <w:sz w:val="28"/>
          <w:szCs w:val="28"/>
          <w:u w:val="single"/>
          <w:lang w:val="en-US" w:eastAsia="zh-CN"/>
          <w14:textFill>
            <w14:solidFill>
              <w14:schemeClr w14:val="tx1"/>
            </w14:solidFill>
          </w14:textFill>
        </w:rPr>
        <w:t>8.2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w:t>
      </w:r>
      <w:r>
        <w:rPr>
          <w:rFonts w:hint="eastAsia" w:asciiTheme="minorEastAsia" w:hAnsiTheme="minorEastAsia" w:eastAsiaTheme="minorEastAsia" w:cstheme="minorEastAsia"/>
          <w:b/>
          <w:bCs/>
          <w:color w:val="000000" w:themeColor="text1"/>
          <w:sz w:val="28"/>
          <w:szCs w:val="28"/>
          <w:u w:val="single"/>
          <w:lang w:val="en-US" w:eastAsia="zh-CN"/>
          <w14:textFill>
            <w14:solidFill>
              <w14:schemeClr w14:val="tx1"/>
            </w14:solidFill>
          </w14:textFill>
        </w:rPr>
        <w:t>协议</w:t>
      </w:r>
      <w:r>
        <w:rPr>
          <w:rFonts w:hint="default" w:asciiTheme="minorEastAsia" w:hAnsiTheme="minorEastAsia" w:eastAsiaTheme="minorEastAsia" w:cstheme="minorEastAsia"/>
          <w:b/>
          <w:bCs/>
          <w:color w:val="000000" w:themeColor="text1"/>
          <w:sz w:val="28"/>
          <w:szCs w:val="28"/>
          <w:u w:val="single"/>
          <w:lang w:val="en-US" w:eastAsia="zh-CN"/>
          <w14:textFill>
            <w14:solidFill>
              <w14:schemeClr w14:val="tx1"/>
            </w14:solidFill>
          </w14:textFill>
        </w:rPr>
        <w:t>约定向甲方支付违反廉洁条款的惩罚性违约金。</w:t>
      </w:r>
    </w:p>
    <w:p>
      <w:pPr>
        <w:keepNext w:val="0"/>
        <w:keepLines w:val="0"/>
        <w:pageBreakBefore w:val="0"/>
        <w:widowControl w:val="0"/>
        <w:kinsoku/>
        <w:wordWrap/>
        <w:overflowPunct/>
        <w:topLinePunct w:val="0"/>
        <w:autoSpaceDE/>
        <w:autoSpaceDN/>
        <w:bidi w:val="0"/>
        <w:adjustRightInd/>
        <w:snapToGrid/>
        <w:spacing w:line="480" w:lineRule="exact"/>
        <w:ind w:firstLine="638" w:firstLineChars="227"/>
        <w:textAlignment w:val="auto"/>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第九条 通知与送达</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9.1 甲乙双方同意，与本协议有关的任何文书，应以书面方式按照本协议约定发送，书面方式包括手机短信、微信、书面函件、电子邮件等形式。</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9.2 双方确认的文书（包括未来可能发生的诉讼或仲裁活动中法院或仲裁机构的送达法律文书）送达地址：</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 xml:space="preserve">9.2.1 </w:t>
      </w:r>
      <w:r>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t>甲方的联系地址：</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娄底市娄星区</w:t>
      </w:r>
      <w:r>
        <w:rPr>
          <w:rFonts w:hint="default"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长青中街51号</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娄底市中心医院病友服务中心</w:t>
      </w:r>
      <w:r>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t>，联系人：</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肖同权</w:t>
      </w:r>
      <w:r>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t>，联系电话：</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t>，邮箱地址</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w:t>
      </w:r>
      <w:r>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t>或微信号</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default"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 xml:space="preserve">9.2.2 </w:t>
      </w:r>
      <w:r>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t>乙方的联系地址：</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t>，联系人：</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t>， 联系电话：</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t>，邮箱地址</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w:t>
      </w:r>
      <w:r>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t>或微信号</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9.3 上述通知应被视为在下列时间送达：以快递或专人发送的，在收件人签收之日或拒收之日；以挂号邮件发出的，在发出之日起7个工作日；以电子邮件发出的，在电子邮件进入收件方电子邮箱服务器之日。</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9.4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pPr>
        <w:keepNext w:val="0"/>
        <w:keepLines w:val="0"/>
        <w:pageBreakBefore w:val="0"/>
        <w:widowControl w:val="0"/>
        <w:kinsoku/>
        <w:wordWrap/>
        <w:overflowPunct/>
        <w:topLinePunct w:val="0"/>
        <w:autoSpaceDE/>
        <w:autoSpaceDN/>
        <w:bidi w:val="0"/>
        <w:adjustRightInd/>
        <w:snapToGrid/>
        <w:spacing w:line="480" w:lineRule="exact"/>
        <w:ind w:firstLine="638" w:firstLineChars="227"/>
        <w:textAlignment w:val="auto"/>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第十条 协议的更改、解除</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t>10.1 本协议未尽事宜，双方协商一致后签订补充协议。</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10.2 如甲方因政策变化等非自身主观原因需要终止本协议，经书面通知乙方后可以提前终止本协议。</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 xml:space="preserve">10.3 </w:t>
      </w:r>
      <w:r>
        <w:rPr>
          <w:rFonts w:hint="eastAsia" w:asciiTheme="minorEastAsia" w:hAnsiTheme="minorEastAsia" w:eastAsiaTheme="minorEastAsia" w:cstheme="minorEastAsia"/>
          <w:color w:val="000000" w:themeColor="text1"/>
          <w:sz w:val="28"/>
          <w:szCs w:val="28"/>
          <w14:textFill>
            <w14:solidFill>
              <w14:schemeClr w14:val="tx1"/>
            </w14:solidFill>
          </w14:textFill>
        </w:rPr>
        <w:t>如乙方出现下列情形，甲方有权单方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面</w:t>
      </w:r>
      <w:r>
        <w:rPr>
          <w:rFonts w:hint="eastAsia" w:asciiTheme="minorEastAsia" w:hAnsiTheme="minorEastAsia" w:eastAsiaTheme="minorEastAsia" w:cstheme="minorEastAsia"/>
          <w:color w:val="000000" w:themeColor="text1"/>
          <w:sz w:val="28"/>
          <w:szCs w:val="28"/>
          <w14:textFill>
            <w14:solidFill>
              <w14:schemeClr w14:val="tx1"/>
            </w14:solidFill>
          </w14:textFill>
        </w:rPr>
        <w:t>解除本协议：</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10.3.1 乙方母婴护理服务满意度调查的满意率低于</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 xml:space="preserve">10.3.2 </w:t>
      </w:r>
      <w:r>
        <w:rPr>
          <w:rFonts w:hint="eastAsia" w:asciiTheme="minorEastAsia" w:hAnsiTheme="minorEastAsia" w:eastAsiaTheme="minorEastAsia" w:cstheme="minorEastAsia"/>
          <w:color w:val="000000" w:themeColor="text1"/>
          <w:sz w:val="28"/>
          <w:szCs w:val="28"/>
          <w14:textFill>
            <w14:solidFill>
              <w14:schemeClr w14:val="tx1"/>
            </w14:solidFill>
          </w14:textFill>
        </w:rPr>
        <w:t>乙方擅自变更</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母婴护理</w:t>
      </w:r>
      <w:r>
        <w:rPr>
          <w:rFonts w:hint="eastAsia" w:asciiTheme="minorEastAsia" w:hAnsiTheme="minorEastAsia" w:eastAsiaTheme="minorEastAsia" w:cstheme="minorEastAsia"/>
          <w:color w:val="000000" w:themeColor="text1"/>
          <w:sz w:val="28"/>
          <w:szCs w:val="28"/>
          <w14:textFill>
            <w14:solidFill>
              <w14:schemeClr w14:val="tx1"/>
            </w14:solidFill>
          </w14:textFill>
        </w:rPr>
        <w:t>方案、</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护理员</w:t>
      </w:r>
      <w:r>
        <w:rPr>
          <w:rFonts w:hint="eastAsia" w:asciiTheme="minorEastAsia" w:hAnsiTheme="minorEastAsia" w:eastAsiaTheme="minorEastAsia" w:cstheme="minorEastAsia"/>
          <w:color w:val="000000" w:themeColor="text1"/>
          <w:sz w:val="28"/>
          <w:szCs w:val="28"/>
          <w14:textFill>
            <w14:solidFill>
              <w14:schemeClr w14:val="tx1"/>
            </w14:solidFill>
          </w14:textFill>
        </w:rPr>
        <w:t>工作制度、服务标准、收费标准及方式，损害患者利益</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 xml:space="preserve">10.3.3 </w:t>
      </w:r>
      <w:r>
        <w:rPr>
          <w:rFonts w:hint="eastAsia" w:asciiTheme="minorEastAsia" w:hAnsiTheme="minorEastAsia" w:eastAsiaTheme="minorEastAsia" w:cstheme="minorEastAsia"/>
          <w:color w:val="000000" w:themeColor="text1"/>
          <w:sz w:val="28"/>
          <w:szCs w:val="28"/>
          <w14:textFill>
            <w14:solidFill>
              <w14:schemeClr w14:val="tx1"/>
            </w14:solidFill>
          </w14:textFill>
        </w:rPr>
        <w:t>乙方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以甲方名义诱导患方或</w:t>
      </w:r>
      <w:r>
        <w:rPr>
          <w:rFonts w:hint="eastAsia" w:asciiTheme="minorEastAsia" w:hAnsiTheme="minorEastAsia" w:eastAsiaTheme="minorEastAsia" w:cstheme="minorEastAsia"/>
          <w:color w:val="000000" w:themeColor="text1"/>
          <w:sz w:val="28"/>
          <w:szCs w:val="28"/>
          <w14:textFill>
            <w14:solidFill>
              <w14:schemeClr w14:val="tx1"/>
            </w14:solidFill>
          </w14:textFill>
        </w:rPr>
        <w:t>强迫</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患方接受乙方母婴护理服务</w:t>
      </w:r>
      <w:r>
        <w:rPr>
          <w:rFonts w:hint="eastAsia" w:asciiTheme="minorEastAsia" w:hAnsiTheme="minorEastAsia" w:eastAsiaTheme="minorEastAsia" w:cstheme="minorEastAsia"/>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 xml:space="preserve">10.3.4 </w:t>
      </w:r>
      <w:r>
        <w:rPr>
          <w:rFonts w:hint="eastAsia" w:asciiTheme="minorEastAsia" w:hAnsiTheme="minorEastAsia" w:eastAsiaTheme="minorEastAsia" w:cstheme="minorEastAsia"/>
          <w:color w:val="000000" w:themeColor="text1"/>
          <w:sz w:val="28"/>
          <w:szCs w:val="28"/>
          <w14:textFill>
            <w14:solidFill>
              <w14:schemeClr w14:val="tx1"/>
            </w14:solidFill>
          </w14:textFill>
        </w:rPr>
        <w:t>乙方人员</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存在</w:t>
      </w:r>
      <w:r>
        <w:rPr>
          <w:rFonts w:hint="eastAsia" w:asciiTheme="minorEastAsia" w:hAnsiTheme="minorEastAsia" w:eastAsiaTheme="minorEastAsia" w:cstheme="minorEastAsia"/>
          <w:color w:val="000000" w:themeColor="text1"/>
          <w:sz w:val="28"/>
          <w:szCs w:val="28"/>
          <w14:textFill>
            <w14:solidFill>
              <w14:schemeClr w14:val="tx1"/>
            </w14:solidFill>
          </w14:textFill>
        </w:rPr>
        <w:t>工作中辱骂他人</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打架斗殴</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等违反法律法规、工作制度、甲方管理制度的情形</w:t>
      </w:r>
      <w:r>
        <w:rPr>
          <w:rFonts w:hint="eastAsia" w:asciiTheme="minorEastAsia" w:hAnsiTheme="minorEastAsia" w:eastAsiaTheme="minorEastAsia" w:cstheme="minorEastAsia"/>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638" w:firstLineChars="227"/>
        <w:textAlignment w:val="auto"/>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第十一条 违约责任</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11.1 甲方因10.2情形提前终止本协议无须承担违约责任，乙方不得因此要求甲方予以任何经济赔偿或补偿。</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11.2 如患方因乙方人员服务问题投诉至甲方，每发生一例，乙方须按500元的标准向甲方支付违约金。</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 xml:space="preserve">11.3 </w:t>
      </w:r>
      <w:r>
        <w:rPr>
          <w:rFonts w:hint="eastAsia" w:asciiTheme="minorEastAsia" w:hAnsiTheme="minorEastAsia" w:eastAsiaTheme="minorEastAsia" w:cstheme="minorEastAsia"/>
          <w:color w:val="000000" w:themeColor="text1"/>
          <w:sz w:val="28"/>
          <w:szCs w:val="28"/>
          <w14:textFill>
            <w14:solidFill>
              <w14:schemeClr w14:val="tx1"/>
            </w14:solidFill>
          </w14:textFill>
        </w:rPr>
        <w:t>如乙方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护理员在服务</w:t>
      </w:r>
      <w:r>
        <w:rPr>
          <w:rFonts w:hint="eastAsia" w:asciiTheme="minorEastAsia" w:hAnsiTheme="minorEastAsia" w:eastAsiaTheme="minorEastAsia" w:cstheme="minorEastAsia"/>
          <w:color w:val="000000" w:themeColor="text1"/>
          <w:sz w:val="28"/>
          <w:szCs w:val="28"/>
          <w14:textFill>
            <w14:solidFill>
              <w14:schemeClr w14:val="tx1"/>
            </w14:solidFill>
          </w14:textFill>
        </w:rPr>
        <w:t>过程中导致</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患方人身、财产</w:t>
      </w:r>
      <w:r>
        <w:rPr>
          <w:rFonts w:hint="eastAsia" w:asciiTheme="minorEastAsia" w:hAnsiTheme="minorEastAsia" w:eastAsiaTheme="minorEastAsia" w:cstheme="minorEastAsia"/>
          <w:color w:val="000000" w:themeColor="text1"/>
          <w:sz w:val="28"/>
          <w:szCs w:val="28"/>
          <w14:textFill>
            <w14:solidFill>
              <w14:schemeClr w14:val="tx1"/>
            </w14:solidFill>
          </w14:textFill>
        </w:rPr>
        <w:t>损害，除赔偿</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患方</w:t>
      </w:r>
      <w:r>
        <w:rPr>
          <w:rFonts w:hint="eastAsia" w:asciiTheme="minorEastAsia" w:hAnsiTheme="minorEastAsia" w:eastAsiaTheme="minorEastAsia" w:cstheme="minorEastAsia"/>
          <w:color w:val="000000" w:themeColor="text1"/>
          <w:sz w:val="28"/>
          <w:szCs w:val="28"/>
          <w14:textFill>
            <w14:solidFill>
              <w14:schemeClr w14:val="tx1"/>
            </w14:solidFill>
          </w14:textFill>
        </w:rPr>
        <w:t>和甲方由此造成的损失外，还</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须</w:t>
      </w:r>
      <w:r>
        <w:rPr>
          <w:rFonts w:hint="eastAsia" w:asciiTheme="minorEastAsia" w:hAnsiTheme="minorEastAsia" w:eastAsiaTheme="minorEastAsia" w:cstheme="minorEastAsia"/>
          <w:color w:val="000000" w:themeColor="text1"/>
          <w:sz w:val="28"/>
          <w:szCs w:val="28"/>
          <w14:textFill>
            <w14:solidFill>
              <w14:schemeClr w14:val="tx1"/>
            </w14:solidFill>
          </w14:textFill>
        </w:rPr>
        <w:t>向甲方支付违约金</w:t>
      </w:r>
      <w:r>
        <w:rPr>
          <w:rFonts w:hint="eastAsia" w:asciiTheme="minorEastAsia" w:hAnsiTheme="minorEastAsia" w:eastAsiaTheme="minorEastAsia" w:cstheme="minorEastAsia"/>
          <w:color w:val="000000" w:themeColor="text1"/>
          <w:sz w:val="28"/>
          <w:szCs w:val="28"/>
          <w:u w:val="none"/>
          <w:lang w:val="en-US" w:eastAsia="zh-CN"/>
          <w14:textFill>
            <w14:solidFill>
              <w14:schemeClr w14:val="tx1"/>
            </w14:solidFill>
          </w14:textFill>
        </w:rPr>
        <w:t>10000</w:t>
      </w:r>
      <w:r>
        <w:rPr>
          <w:rFonts w:hint="eastAsia" w:asciiTheme="minorEastAsia" w:hAnsiTheme="minorEastAsia" w:eastAsiaTheme="minorEastAsia" w:cstheme="minorEastAsia"/>
          <w:color w:val="000000" w:themeColor="text1"/>
          <w:sz w:val="28"/>
          <w:szCs w:val="28"/>
          <w14:textFill>
            <w14:solidFill>
              <w14:schemeClr w14:val="tx1"/>
            </w14:solidFill>
          </w14:textFill>
        </w:rPr>
        <w:t>元。</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11.4 如乙方单方面解除协议或甲方因乙方原因单方面解除协议，乙方须按50000元的标准向甲方支付违约金。</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Theme="minorEastAsia" w:hAnsiTheme="minorEastAsia" w:eastAsiaTheme="minorEastAsia" w:cstheme="minorEastAsia"/>
          <w:b/>
          <w:bCs/>
          <w:color w:val="000000" w:themeColor="text1"/>
          <w:sz w:val="28"/>
          <w:szCs w:val="28"/>
          <w:u w:val="single"/>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u w:val="single"/>
          <w:lang w:val="en-US" w:eastAsia="zh-CN"/>
          <w14:textFill>
            <w14:solidFill>
              <w14:schemeClr w14:val="tx1"/>
            </w14:solidFill>
          </w14:textFill>
        </w:rPr>
        <w:t>11.5 无论甲方在任意时候（不限于本协议履行期间）发现存在违反本协议廉洁条款的行为，乙方均须向甲方一次性支付惩罚性违约金50000元。如乙方除需承担违反廉洁条款的违约责任外，同时存在其他违约行为，乙方仍须就其他违约行为承担相应违约责任。</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11.6 依据本协议约定乙方应支付给甲方的违约金，乙方应在接到甲方通知后3日内足额支付。</w:t>
      </w:r>
    </w:p>
    <w:p>
      <w:pPr>
        <w:keepNext w:val="0"/>
        <w:keepLines w:val="0"/>
        <w:pageBreakBefore w:val="0"/>
        <w:widowControl w:val="0"/>
        <w:kinsoku/>
        <w:wordWrap/>
        <w:overflowPunct/>
        <w:topLinePunct w:val="0"/>
        <w:autoSpaceDE/>
        <w:autoSpaceDN/>
        <w:bidi w:val="0"/>
        <w:adjustRightInd/>
        <w:snapToGrid/>
        <w:spacing w:line="480" w:lineRule="exact"/>
        <w:ind w:firstLine="638" w:firstLineChars="227"/>
        <w:textAlignment w:val="auto"/>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第十二条 争议解决</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12.1 本协议适用中华人民共和国法律，并按其解释。</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12.2 如双方在履行本协议过程中发生争议，双方应先协商解决，协商解决不成的，任一方均可向甲方所在地有管辖权的人民法院提起诉讼解决。</w:t>
      </w:r>
    </w:p>
    <w:p>
      <w:pPr>
        <w:keepNext w:val="0"/>
        <w:keepLines w:val="0"/>
        <w:pageBreakBefore w:val="0"/>
        <w:widowControl w:val="0"/>
        <w:kinsoku/>
        <w:wordWrap/>
        <w:overflowPunct/>
        <w:topLinePunct w:val="0"/>
        <w:autoSpaceDE/>
        <w:autoSpaceDN/>
        <w:bidi w:val="0"/>
        <w:adjustRightInd/>
        <w:snapToGrid/>
        <w:spacing w:line="480" w:lineRule="exact"/>
        <w:ind w:firstLine="638" w:firstLineChars="227"/>
        <w:textAlignment w:val="auto"/>
        <w:rPr>
          <w:rFonts w:hint="default"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第十三条 附则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13.1 甲方管理制度、乙方及在甲方所在地登记的分支机构营业执照、组织机构代码证等作为本协议附件。</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13.2 本协议组成文件和优先解释顺序：乙方在履行本协议中作出的书面承诺；本协议之补充协议；本协议及附件；入选通知书、遴选文件、遴选方案；其他与本协议有关的资料。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13.3 本协议一式伍份，甲方执肆份、乙方执壹份，自双方签字并盖章后生效。</w:t>
      </w:r>
    </w:p>
    <w:p>
      <w:pPr>
        <w:keepNext w:val="0"/>
        <w:keepLines w:val="0"/>
        <w:pageBreakBefore w:val="0"/>
        <w:widowControl w:val="0"/>
        <w:kinsoku/>
        <w:wordWrap/>
        <w:overflowPunct/>
        <w:topLinePunct w:val="0"/>
        <w:autoSpaceDE/>
        <w:autoSpaceDN/>
        <w:bidi w:val="0"/>
        <w:adjustRightInd/>
        <w:snapToGrid/>
        <w:spacing w:line="480" w:lineRule="exact"/>
        <w:ind w:firstLine="638" w:firstLineChars="227"/>
        <w:textAlignment w:val="auto"/>
        <w:rPr>
          <w:rFonts w:hint="default" w:asciiTheme="minorEastAsia" w:hAnsiTheme="minorEastAsia" w:eastAsiaTheme="minorEastAsia" w:cstheme="minorEastAsia"/>
          <w:b/>
          <w:color w:val="000000" w:themeColor="text1"/>
          <w:sz w:val="28"/>
          <w:szCs w:val="28"/>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甲方（盖章）</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 xml:space="preserve">                       乙方（盖章）：            </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 xml:space="preserve">法定代表人（签字）：               </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14:textFill>
            <w14:solidFill>
              <w14:schemeClr w14:val="tx1"/>
            </w14:solidFill>
          </w14:textFill>
        </w:rPr>
        <w:t>法定代表人（签字）</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 xml:space="preserve">或委托代理人（签字）：               委托代理人（签字）：     </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协议</w:t>
      </w:r>
      <w:r>
        <w:rPr>
          <w:rFonts w:hint="eastAsia" w:asciiTheme="minorEastAsia" w:hAnsiTheme="minorEastAsia" w:eastAsiaTheme="minorEastAsia" w:cstheme="minorEastAsia"/>
          <w:color w:val="000000" w:themeColor="text1"/>
          <w:sz w:val="28"/>
          <w:szCs w:val="28"/>
          <w14:textFill>
            <w14:solidFill>
              <w14:schemeClr w14:val="tx1"/>
            </w14:solidFill>
          </w14:textFill>
        </w:rPr>
        <w:t>签订地、履行地：娄底市娄星区    签约时间： 年 月 日</w:t>
      </w:r>
    </w:p>
    <w:p>
      <w:pPr>
        <w:keepNext w:val="0"/>
        <w:keepLines w:val="0"/>
        <w:pageBreakBefore w:val="0"/>
        <w:widowControl w:val="0"/>
        <w:kinsoku/>
        <w:wordWrap/>
        <w:overflowPunct/>
        <w:topLinePunct w:val="0"/>
        <w:autoSpaceDE/>
        <w:autoSpaceDN/>
        <w:bidi w:val="0"/>
        <w:adjustRightInd/>
        <w:snapToGrid/>
        <w:spacing w:line="480" w:lineRule="exact"/>
        <w:ind w:firstLine="495" w:firstLineChars="177"/>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p>
    <w:p>
      <w:pPr>
        <w:ind w:firstLine="495" w:firstLineChars="177"/>
        <w:rPr>
          <w:rFonts w:hint="eastAsia"/>
          <w:color w:val="auto"/>
          <w:sz w:val="28"/>
          <w:szCs w:val="28"/>
        </w:rPr>
      </w:pPr>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16</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EBE52CF"/>
    <w:multiLevelType w:val="singleLevel"/>
    <w:tmpl w:val="DEBE52CF"/>
    <w:lvl w:ilvl="0" w:tentative="0">
      <w:start w:val="2"/>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zODQ5MzFiNDhmNzNkNmIxNjg5YjQzMWMwMjMzZWYifQ=="/>
  </w:docVars>
  <w:rsids>
    <w:rsidRoot w:val="6DE375E4"/>
    <w:rsid w:val="00BA3803"/>
    <w:rsid w:val="01E03DA0"/>
    <w:rsid w:val="01E85D94"/>
    <w:rsid w:val="027E48FD"/>
    <w:rsid w:val="02DC3F04"/>
    <w:rsid w:val="035E4919"/>
    <w:rsid w:val="03CC06C2"/>
    <w:rsid w:val="041D2A27"/>
    <w:rsid w:val="067508F8"/>
    <w:rsid w:val="085D5AE7"/>
    <w:rsid w:val="095F3199"/>
    <w:rsid w:val="0B300C6A"/>
    <w:rsid w:val="0B440899"/>
    <w:rsid w:val="0B4C599F"/>
    <w:rsid w:val="0E012A71"/>
    <w:rsid w:val="0F144A26"/>
    <w:rsid w:val="0F783207"/>
    <w:rsid w:val="0FBB5314"/>
    <w:rsid w:val="101C0036"/>
    <w:rsid w:val="10274A79"/>
    <w:rsid w:val="10577123"/>
    <w:rsid w:val="110F7B9B"/>
    <w:rsid w:val="11951E4E"/>
    <w:rsid w:val="12A762DD"/>
    <w:rsid w:val="13743A06"/>
    <w:rsid w:val="13873A19"/>
    <w:rsid w:val="13F015BE"/>
    <w:rsid w:val="15361A85"/>
    <w:rsid w:val="154F54F4"/>
    <w:rsid w:val="15673B02"/>
    <w:rsid w:val="163C4F8E"/>
    <w:rsid w:val="17285513"/>
    <w:rsid w:val="179D0372"/>
    <w:rsid w:val="187B25F0"/>
    <w:rsid w:val="19B97414"/>
    <w:rsid w:val="19D92AF4"/>
    <w:rsid w:val="1BD01CD5"/>
    <w:rsid w:val="1BEB3F3A"/>
    <w:rsid w:val="1C744D56"/>
    <w:rsid w:val="1D1722B1"/>
    <w:rsid w:val="1D385D84"/>
    <w:rsid w:val="1D52217B"/>
    <w:rsid w:val="1D8E3BF5"/>
    <w:rsid w:val="1EB96201"/>
    <w:rsid w:val="1EBF050A"/>
    <w:rsid w:val="200308CB"/>
    <w:rsid w:val="21CA5B44"/>
    <w:rsid w:val="24855D52"/>
    <w:rsid w:val="25466DB9"/>
    <w:rsid w:val="254A1A51"/>
    <w:rsid w:val="25506360"/>
    <w:rsid w:val="2551032A"/>
    <w:rsid w:val="255D6CCF"/>
    <w:rsid w:val="25B54415"/>
    <w:rsid w:val="25DA0320"/>
    <w:rsid w:val="25FC0534"/>
    <w:rsid w:val="265349DD"/>
    <w:rsid w:val="269E759F"/>
    <w:rsid w:val="276F4797"/>
    <w:rsid w:val="277F4CDB"/>
    <w:rsid w:val="27E26C33"/>
    <w:rsid w:val="28186EDD"/>
    <w:rsid w:val="281B0376"/>
    <w:rsid w:val="28E868B0"/>
    <w:rsid w:val="29543F45"/>
    <w:rsid w:val="29C51DE0"/>
    <w:rsid w:val="29DF3D47"/>
    <w:rsid w:val="2A846AAC"/>
    <w:rsid w:val="2B54647E"/>
    <w:rsid w:val="2B801021"/>
    <w:rsid w:val="2C3B319A"/>
    <w:rsid w:val="2C47420C"/>
    <w:rsid w:val="2C66290D"/>
    <w:rsid w:val="2CBF201D"/>
    <w:rsid w:val="2EA74B17"/>
    <w:rsid w:val="2FCC0CD9"/>
    <w:rsid w:val="306E1C95"/>
    <w:rsid w:val="30E91760"/>
    <w:rsid w:val="31911483"/>
    <w:rsid w:val="31A6555A"/>
    <w:rsid w:val="338F3364"/>
    <w:rsid w:val="348B6985"/>
    <w:rsid w:val="35131158"/>
    <w:rsid w:val="359B1069"/>
    <w:rsid w:val="35B50461"/>
    <w:rsid w:val="36341386"/>
    <w:rsid w:val="373804AC"/>
    <w:rsid w:val="37BF7375"/>
    <w:rsid w:val="37DB599D"/>
    <w:rsid w:val="37F5325E"/>
    <w:rsid w:val="38445E77"/>
    <w:rsid w:val="39184F8F"/>
    <w:rsid w:val="391D5D32"/>
    <w:rsid w:val="397F6966"/>
    <w:rsid w:val="39B5458C"/>
    <w:rsid w:val="3A0F6392"/>
    <w:rsid w:val="3BFC2946"/>
    <w:rsid w:val="3C1732DC"/>
    <w:rsid w:val="3C7544A7"/>
    <w:rsid w:val="3D532A3A"/>
    <w:rsid w:val="3E330175"/>
    <w:rsid w:val="3EE00D9C"/>
    <w:rsid w:val="3F6A5E19"/>
    <w:rsid w:val="3FB6105E"/>
    <w:rsid w:val="3FD17C46"/>
    <w:rsid w:val="402D3EF3"/>
    <w:rsid w:val="40464190"/>
    <w:rsid w:val="420E33D3"/>
    <w:rsid w:val="42213106"/>
    <w:rsid w:val="43170066"/>
    <w:rsid w:val="435A7F52"/>
    <w:rsid w:val="44C85ABB"/>
    <w:rsid w:val="4508235C"/>
    <w:rsid w:val="45B24076"/>
    <w:rsid w:val="45FF4127"/>
    <w:rsid w:val="4780267D"/>
    <w:rsid w:val="487A6C99"/>
    <w:rsid w:val="48F055E1"/>
    <w:rsid w:val="490429E6"/>
    <w:rsid w:val="494C5213"/>
    <w:rsid w:val="49D15412"/>
    <w:rsid w:val="4A6D4A0F"/>
    <w:rsid w:val="4AAD5660"/>
    <w:rsid w:val="4C003ECB"/>
    <w:rsid w:val="4CF136D5"/>
    <w:rsid w:val="4E7C5F55"/>
    <w:rsid w:val="4ED35788"/>
    <w:rsid w:val="4F583EE0"/>
    <w:rsid w:val="50412BC6"/>
    <w:rsid w:val="5153670D"/>
    <w:rsid w:val="519B6306"/>
    <w:rsid w:val="52101FBC"/>
    <w:rsid w:val="53D51C92"/>
    <w:rsid w:val="55003C32"/>
    <w:rsid w:val="56676EDD"/>
    <w:rsid w:val="568455BA"/>
    <w:rsid w:val="589D0BB5"/>
    <w:rsid w:val="58A81A34"/>
    <w:rsid w:val="58C971FA"/>
    <w:rsid w:val="58D520FD"/>
    <w:rsid w:val="59FB5B93"/>
    <w:rsid w:val="5AA934E7"/>
    <w:rsid w:val="5ADA1C4D"/>
    <w:rsid w:val="5B991B08"/>
    <w:rsid w:val="5BB573ED"/>
    <w:rsid w:val="5C7546F9"/>
    <w:rsid w:val="5D83481E"/>
    <w:rsid w:val="5DC015CE"/>
    <w:rsid w:val="5F04373C"/>
    <w:rsid w:val="5F4B136B"/>
    <w:rsid w:val="5FDE21DF"/>
    <w:rsid w:val="605129B1"/>
    <w:rsid w:val="6065645C"/>
    <w:rsid w:val="606721D5"/>
    <w:rsid w:val="60822B6A"/>
    <w:rsid w:val="61A92379"/>
    <w:rsid w:val="62774225"/>
    <w:rsid w:val="62970423"/>
    <w:rsid w:val="63DD455C"/>
    <w:rsid w:val="66442670"/>
    <w:rsid w:val="67896ED4"/>
    <w:rsid w:val="67C717AB"/>
    <w:rsid w:val="68183DB4"/>
    <w:rsid w:val="68923629"/>
    <w:rsid w:val="69F12B0F"/>
    <w:rsid w:val="69FC1BE0"/>
    <w:rsid w:val="6A843983"/>
    <w:rsid w:val="6A9242F2"/>
    <w:rsid w:val="6AF97ECD"/>
    <w:rsid w:val="6BAE3FEB"/>
    <w:rsid w:val="6BDA1E02"/>
    <w:rsid w:val="6BF66058"/>
    <w:rsid w:val="6C9858E3"/>
    <w:rsid w:val="6DE375E4"/>
    <w:rsid w:val="6E22773B"/>
    <w:rsid w:val="6EA939B8"/>
    <w:rsid w:val="6EEB544C"/>
    <w:rsid w:val="6F2474E3"/>
    <w:rsid w:val="6F742218"/>
    <w:rsid w:val="70271038"/>
    <w:rsid w:val="703D14B7"/>
    <w:rsid w:val="709A4583"/>
    <w:rsid w:val="70AC7790"/>
    <w:rsid w:val="70E433CD"/>
    <w:rsid w:val="710D6480"/>
    <w:rsid w:val="713531F0"/>
    <w:rsid w:val="72005FE5"/>
    <w:rsid w:val="72C449F5"/>
    <w:rsid w:val="72CE7E91"/>
    <w:rsid w:val="72DB7366"/>
    <w:rsid w:val="73017575"/>
    <w:rsid w:val="73DB465E"/>
    <w:rsid w:val="770B16B4"/>
    <w:rsid w:val="78166D36"/>
    <w:rsid w:val="7A513882"/>
    <w:rsid w:val="7AC04563"/>
    <w:rsid w:val="7AD61FD9"/>
    <w:rsid w:val="7B1C646B"/>
    <w:rsid w:val="7B381F3A"/>
    <w:rsid w:val="7D056BA5"/>
    <w:rsid w:val="7DB45F4C"/>
    <w:rsid w:val="7E470A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autoRedefine/>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2">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4">
    <w:name w:val="Body Text Indent"/>
    <w:basedOn w:val="1"/>
    <w:next w:val="5"/>
    <w:autoRedefine/>
    <w:qFormat/>
    <w:uiPriority w:val="99"/>
    <w:pPr>
      <w:spacing w:line="400" w:lineRule="exact"/>
      <w:ind w:left="630"/>
    </w:pPr>
    <w:rPr>
      <w:rFonts w:ascii="楷体_GB2312"/>
      <w:sz w:val="30"/>
      <w:szCs w:val="30"/>
    </w:rPr>
  </w:style>
  <w:style w:type="paragraph" w:styleId="5">
    <w:name w:val="Body Text First Indent 2"/>
    <w:basedOn w:val="4"/>
    <w:next w:val="1"/>
    <w:autoRedefine/>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6">
    <w:name w:val="Block Text"/>
    <w:basedOn w:val="1"/>
    <w:autoRedefine/>
    <w:unhideWhenUsed/>
    <w:qFormat/>
    <w:uiPriority w:val="99"/>
    <w:pPr>
      <w:spacing w:after="120"/>
      <w:ind w:left="1440" w:leftChars="700" w:right="1440" w:rightChars="700"/>
    </w:pPr>
  </w:style>
  <w:style w:type="paragraph" w:styleId="7">
    <w:name w:val="footer"/>
    <w:basedOn w:val="1"/>
    <w:autoRedefine/>
    <w:qFormat/>
    <w:uiPriority w:val="0"/>
    <w:pPr>
      <w:tabs>
        <w:tab w:val="center" w:pos="4153"/>
        <w:tab w:val="right" w:pos="8306"/>
      </w:tabs>
      <w:snapToGrid w:val="0"/>
      <w:jc w:val="left"/>
    </w:pPr>
    <w:rPr>
      <w:kern w:val="0"/>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autoRedefine/>
    <w:qFormat/>
    <w:uiPriority w:val="0"/>
    <w:rPr>
      <w:sz w:val="24"/>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Default"/>
    <w:next w:val="14"/>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4">
    <w:name w:val="大标题"/>
    <w:basedOn w:val="1"/>
    <w:next w:val="5"/>
    <w:autoRedefine/>
    <w:qFormat/>
    <w:uiPriority w:val="0"/>
    <w:pPr>
      <w:jc w:val="center"/>
    </w:pPr>
    <w:rPr>
      <w:rFonts w:ascii="Arial" w:hAnsi="Arial" w:eastAsia="宋体"/>
      <w:b/>
      <w:sz w:val="28"/>
      <w:szCs w:val="24"/>
    </w:rPr>
  </w:style>
  <w:style w:type="paragraph" w:customStyle="1" w:styleId="15">
    <w:name w:val="列出段落1"/>
    <w:basedOn w:val="1"/>
    <w:autoRedefine/>
    <w:qFormat/>
    <w:uiPriority w:val="99"/>
    <w:pPr>
      <w:ind w:firstLine="420" w:firstLineChars="200"/>
    </w:pPr>
  </w:style>
  <w:style w:type="paragraph" w:customStyle="1" w:styleId="16">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9576</Words>
  <Characters>9852</Characters>
  <Lines>0</Lines>
  <Paragraphs>0</Paragraphs>
  <TotalTime>18</TotalTime>
  <ScaleCrop>false</ScaleCrop>
  <LinksUpToDate>false</LinksUpToDate>
  <CharactersWithSpaces>10757</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是小豹子</cp:lastModifiedBy>
  <cp:lastPrinted>2024-09-03T00:50:00Z</cp:lastPrinted>
  <dcterms:modified xsi:type="dcterms:W3CDTF">2024-09-06T10:43:33Z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EF54E4836CC14F17B492CA3F28BDF1CB_13</vt:lpwstr>
  </property>
</Properties>
</file>