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2"/>
        <w:rPr>
          <w:rFonts w:ascii="Arial" w:hAnsi="Arial" w:cs="Arial"/>
          <w:sz w:val="32"/>
          <w:szCs w:val="32"/>
        </w:rPr>
      </w:pPr>
    </w:p>
    <w:p w14:paraId="790E99FE">
      <w:pPr>
        <w:pStyle w:val="2"/>
        <w:rPr>
          <w:rFonts w:ascii="Arial" w:hAnsi="Arial" w:cs="Arial"/>
          <w:sz w:val="32"/>
          <w:szCs w:val="32"/>
        </w:rPr>
      </w:pPr>
    </w:p>
    <w:p w14:paraId="6D6CF557">
      <w:pPr>
        <w:pStyle w:val="2"/>
        <w:rPr>
          <w:rFonts w:ascii="Arial" w:hAnsi="Arial" w:cs="Arial"/>
          <w:sz w:val="32"/>
          <w:szCs w:val="32"/>
        </w:rPr>
      </w:pPr>
    </w:p>
    <w:p w14:paraId="77BABE1C">
      <w:pPr>
        <w:pStyle w:val="2"/>
        <w:rPr>
          <w:rFonts w:ascii="Arial" w:hAnsi="Arial" w:cs="Arial"/>
          <w:sz w:val="32"/>
          <w:szCs w:val="32"/>
        </w:rPr>
      </w:pPr>
    </w:p>
    <w:p w14:paraId="1C0FB295">
      <w:pPr>
        <w:pStyle w:val="2"/>
        <w:rPr>
          <w:rFonts w:ascii="Arial" w:hAnsi="Arial" w:cs="Arial"/>
          <w:sz w:val="32"/>
          <w:szCs w:val="32"/>
        </w:rPr>
      </w:pPr>
    </w:p>
    <w:p w14:paraId="4C96CB97">
      <w:pPr>
        <w:pStyle w:val="2"/>
        <w:rPr>
          <w:rFonts w:ascii="Arial" w:hAnsi="Arial" w:cs="Arial"/>
          <w:sz w:val="32"/>
          <w:szCs w:val="32"/>
        </w:rPr>
      </w:pPr>
    </w:p>
    <w:p w14:paraId="1825AAC5">
      <w:pPr>
        <w:pStyle w:val="2"/>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（智能玻片打号机（激光）+智能包埋盒打号机（激光）医院公开挂网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2CC6C485">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智能玻片打号机（激光）+智能包埋盒打号机（激光）</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智能玻片打号机（激光）+智能包埋盒打号机（激光）</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2"/>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4"/>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智能玻片打号机（激光）</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10</w:t>
            </w:r>
          </w:p>
        </w:tc>
      </w:tr>
      <w:tr w14:paraId="1BDFD9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7809F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9D3B3E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智能包埋盒打号机（激光）</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21075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97F1B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10</w:t>
            </w:r>
          </w:p>
        </w:tc>
      </w:tr>
      <w:tr w14:paraId="183AEB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4993"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2B9F5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bidi="ar-SA"/>
              </w:rPr>
              <w:t>合计</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B1BD3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20</w:t>
            </w:r>
          </w:p>
        </w:tc>
      </w:tr>
    </w:tbl>
    <w:p w14:paraId="024CDD09">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702EBB38">
      <w:pPr>
        <w:spacing w:line="36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玻片打号机技术参数</w:t>
      </w:r>
    </w:p>
    <w:p w14:paraId="47349663">
      <w:pPr>
        <w:spacing w:line="500" w:lineRule="exact"/>
        <w:rPr>
          <w:rFonts w:hint="eastAsia"/>
          <w:sz w:val="24"/>
        </w:rPr>
      </w:pPr>
      <w:r>
        <w:rPr>
          <w:rFonts w:hint="eastAsia"/>
          <w:sz w:val="24"/>
        </w:rPr>
        <w:t>1、</w:t>
      </w:r>
      <w:r>
        <w:rPr>
          <w:rFonts w:hint="eastAsia"/>
          <w:sz w:val="24"/>
          <w:lang w:eastAsia="zh-CN"/>
        </w:rPr>
        <w:t>紫外</w:t>
      </w:r>
      <w:r>
        <w:rPr>
          <w:rFonts w:hint="eastAsia"/>
          <w:sz w:val="24"/>
        </w:rPr>
        <w:t>激光</w:t>
      </w:r>
      <w:r>
        <w:rPr>
          <w:rFonts w:hint="eastAsia"/>
          <w:sz w:val="24"/>
          <w:lang w:eastAsia="zh-CN"/>
        </w:rPr>
        <w:t>（波长</w:t>
      </w:r>
      <w:r>
        <w:rPr>
          <w:rFonts w:hint="eastAsia" w:ascii="宋体" w:hAnsi="宋体" w:eastAsia="宋体" w:cs="宋体"/>
          <w:sz w:val="24"/>
          <w:lang w:eastAsia="zh-CN"/>
        </w:rPr>
        <w:t>≦</w:t>
      </w:r>
      <w:r>
        <w:rPr>
          <w:rFonts w:hint="eastAsia" w:ascii="宋体" w:hAnsi="宋体" w:eastAsia="宋体" w:cs="宋体"/>
          <w:sz w:val="24"/>
          <w:lang w:val="en-US" w:eastAsia="zh-CN"/>
        </w:rPr>
        <w:t>355nm</w:t>
      </w:r>
      <w:r>
        <w:rPr>
          <w:rFonts w:hint="eastAsia"/>
          <w:sz w:val="24"/>
          <w:lang w:eastAsia="zh-CN"/>
        </w:rPr>
        <w:t>）</w:t>
      </w:r>
      <w:r>
        <w:rPr>
          <w:rFonts w:hint="eastAsia"/>
          <w:sz w:val="24"/>
        </w:rPr>
        <w:t>直接扫描打印</w:t>
      </w:r>
      <w:r>
        <w:rPr>
          <w:rFonts w:hint="eastAsia"/>
          <w:sz w:val="24"/>
          <w:lang w:eastAsia="zh-CN"/>
        </w:rPr>
        <w:t>，</w:t>
      </w:r>
      <w:r>
        <w:rPr>
          <w:rFonts w:hint="eastAsia"/>
          <w:sz w:val="24"/>
        </w:rPr>
        <w:t>无需色带或油墨等任何标识用耗材。</w:t>
      </w:r>
    </w:p>
    <w:p w14:paraId="081C57A3">
      <w:pPr>
        <w:spacing w:line="500" w:lineRule="exact"/>
        <w:rPr>
          <w:rFonts w:hint="eastAsia"/>
          <w:sz w:val="24"/>
        </w:rPr>
      </w:pPr>
      <w:r>
        <w:rPr>
          <w:rFonts w:hint="eastAsia"/>
          <w:sz w:val="24"/>
        </w:rPr>
        <w:t>2、无需预热，开机即可用。</w:t>
      </w:r>
    </w:p>
    <w:p w14:paraId="7DB0AE7E">
      <w:pPr>
        <w:spacing w:line="500" w:lineRule="exact"/>
        <w:rPr>
          <w:rFonts w:hint="eastAsia"/>
          <w:sz w:val="24"/>
        </w:rPr>
      </w:pPr>
      <w:r>
        <w:rPr>
          <w:rFonts w:hint="eastAsia"/>
          <w:sz w:val="24"/>
        </w:rPr>
        <w:t>3、无需光照烘干，即打即用。</w:t>
      </w:r>
    </w:p>
    <w:p w14:paraId="01EECAB3">
      <w:pPr>
        <w:spacing w:line="500" w:lineRule="exact"/>
        <w:rPr>
          <w:rFonts w:hint="eastAsia"/>
          <w:sz w:val="24"/>
        </w:rPr>
      </w:pPr>
      <w:r>
        <w:rPr>
          <w:rFonts w:hint="eastAsia"/>
          <w:sz w:val="24"/>
          <w:lang w:val="en-US" w:eastAsia="zh-CN"/>
        </w:rPr>
        <w:t>4</w:t>
      </w:r>
      <w:r>
        <w:rPr>
          <w:rFonts w:hint="eastAsia"/>
          <w:sz w:val="24"/>
        </w:rPr>
        <w:t>、打号软件与主流电脑操作系统兼容，全中文界面，上手即会。根据需要，可提供多种打号模版，进行个性化设置，并具无限扩展功能，满足各种需求。</w:t>
      </w:r>
    </w:p>
    <w:p w14:paraId="2062464B">
      <w:pPr>
        <w:spacing w:line="500" w:lineRule="exact"/>
        <w:rPr>
          <w:rFonts w:hint="eastAsia"/>
          <w:sz w:val="24"/>
        </w:rPr>
      </w:pPr>
      <w:r>
        <w:rPr>
          <w:rFonts w:hint="eastAsia"/>
          <w:sz w:val="24"/>
          <w:lang w:val="en-US" w:eastAsia="zh-CN"/>
        </w:rPr>
        <w:t>5</w:t>
      </w:r>
      <w:r>
        <w:rPr>
          <w:rFonts w:hint="eastAsia"/>
          <w:sz w:val="24"/>
        </w:rPr>
        <w:t>、打号字迹清晰精致，可耐酒精或二甲苯等溶剂长时间浸泡而永不褪色。</w:t>
      </w:r>
    </w:p>
    <w:p w14:paraId="5E5D6ED6">
      <w:pPr>
        <w:spacing w:line="500" w:lineRule="exact"/>
        <w:rPr>
          <w:rFonts w:hint="eastAsia"/>
          <w:sz w:val="24"/>
        </w:rPr>
      </w:pPr>
      <w:r>
        <w:rPr>
          <w:rFonts w:hint="eastAsia"/>
          <w:sz w:val="24"/>
          <w:lang w:val="en-US" w:eastAsia="zh-CN"/>
        </w:rPr>
        <w:t>6</w:t>
      </w:r>
      <w:r>
        <w:rPr>
          <w:rFonts w:hint="eastAsia"/>
          <w:sz w:val="24"/>
        </w:rPr>
        <w:t>、可打号各种字体、符号或二维码，能与现行的LIS或HIS兼容，并快速设立自动打印。</w:t>
      </w:r>
    </w:p>
    <w:p w14:paraId="2E26FE2E">
      <w:pPr>
        <w:spacing w:line="500" w:lineRule="exact"/>
        <w:rPr>
          <w:rFonts w:hint="eastAsia"/>
          <w:sz w:val="24"/>
        </w:rPr>
      </w:pPr>
      <w:r>
        <w:rPr>
          <w:rFonts w:hint="eastAsia"/>
          <w:sz w:val="24"/>
          <w:lang w:val="en-US" w:eastAsia="zh-CN"/>
        </w:rPr>
        <w:t>7</w:t>
      </w:r>
      <w:r>
        <w:rPr>
          <w:rFonts w:hint="eastAsia"/>
          <w:sz w:val="24"/>
        </w:rPr>
        <w:t>、打号软件中病理号</w:t>
      </w:r>
      <w:r>
        <w:rPr>
          <w:rFonts w:hint="eastAsia"/>
          <w:sz w:val="24"/>
          <w:lang w:eastAsia="zh-CN"/>
        </w:rPr>
        <w:t>字段和病理小号字段均为</w:t>
      </w:r>
      <w:r>
        <w:rPr>
          <w:rFonts w:hint="eastAsia"/>
          <w:sz w:val="24"/>
        </w:rPr>
        <w:t>双序号</w:t>
      </w:r>
      <w:r>
        <w:rPr>
          <w:rFonts w:hint="eastAsia"/>
          <w:sz w:val="24"/>
          <w:lang w:eastAsia="zh-CN"/>
        </w:rPr>
        <w:t>框和</w:t>
      </w:r>
      <w:r>
        <w:rPr>
          <w:rFonts w:hint="eastAsia"/>
          <w:sz w:val="24"/>
        </w:rPr>
        <w:t>数量</w:t>
      </w:r>
      <w:r>
        <w:rPr>
          <w:rFonts w:hint="eastAsia"/>
          <w:sz w:val="24"/>
          <w:lang w:eastAsia="zh-CN"/>
        </w:rPr>
        <w:t>框同时显示，任意选用</w:t>
      </w:r>
      <w:r>
        <w:rPr>
          <w:rFonts w:hint="eastAsia"/>
          <w:sz w:val="24"/>
        </w:rPr>
        <w:t>。</w:t>
      </w:r>
    </w:p>
    <w:p w14:paraId="7E5C5F08">
      <w:pPr>
        <w:spacing w:line="500" w:lineRule="exact"/>
        <w:rPr>
          <w:rFonts w:hint="eastAsia"/>
          <w:sz w:val="24"/>
        </w:rPr>
      </w:pPr>
      <w:r>
        <w:rPr>
          <w:rFonts w:hint="eastAsia"/>
          <w:sz w:val="24"/>
          <w:lang w:val="en-US" w:eastAsia="zh-CN"/>
        </w:rPr>
        <w:t>8</w:t>
      </w:r>
      <w:r>
        <w:rPr>
          <w:rFonts w:hint="eastAsia"/>
          <w:sz w:val="24"/>
        </w:rPr>
        <w:t>、加料槽外置结构设计，固定安装，可以直接观察玻片余量。</w:t>
      </w:r>
    </w:p>
    <w:p w14:paraId="1BC86B1D">
      <w:pPr>
        <w:spacing w:line="500" w:lineRule="exact"/>
        <w:rPr>
          <w:rFonts w:hint="eastAsia" w:eastAsia="宋体"/>
          <w:sz w:val="24"/>
          <w:lang w:eastAsia="zh-CN"/>
        </w:rPr>
      </w:pPr>
      <w:r>
        <w:rPr>
          <w:rFonts w:hint="eastAsia"/>
          <w:sz w:val="24"/>
          <w:lang w:val="en-US" w:eastAsia="zh-CN"/>
        </w:rPr>
        <w:t>9</w:t>
      </w:r>
      <w:r>
        <w:rPr>
          <w:rFonts w:hint="eastAsia"/>
          <w:sz w:val="24"/>
        </w:rPr>
        <w:t>、可以在打号状态下随时添加空白玻片，避免停机加片造成工作中断</w:t>
      </w:r>
      <w:r>
        <w:rPr>
          <w:rFonts w:hint="eastAsia"/>
          <w:sz w:val="24"/>
          <w:lang w:eastAsia="zh-CN"/>
        </w:rPr>
        <w:t>。</w:t>
      </w:r>
    </w:p>
    <w:p w14:paraId="7B22E6D5">
      <w:pPr>
        <w:spacing w:line="500" w:lineRule="exact"/>
        <w:rPr>
          <w:rFonts w:hint="eastAsia"/>
          <w:sz w:val="24"/>
        </w:rPr>
      </w:pPr>
      <w:r>
        <w:rPr>
          <w:rFonts w:hint="eastAsia" w:eastAsia="宋体"/>
          <w:sz w:val="24"/>
          <w:lang w:val="en-US" w:eastAsia="zh-CN"/>
        </w:rPr>
        <w:t>1</w:t>
      </w:r>
      <w:r>
        <w:rPr>
          <w:rFonts w:hint="eastAsia"/>
          <w:sz w:val="24"/>
          <w:lang w:val="en-US" w:eastAsia="zh-CN"/>
        </w:rPr>
        <w:t>0</w:t>
      </w:r>
      <w:r>
        <w:rPr>
          <w:rFonts w:hint="eastAsia"/>
          <w:sz w:val="24"/>
          <w:lang w:eastAsia="zh-CN"/>
        </w:rPr>
        <w:t>、固定加料槽配合活动弹匣，可以通过更换弹匣实现不同类型玻片的打印</w:t>
      </w:r>
      <w:r>
        <w:rPr>
          <w:rFonts w:hint="eastAsia"/>
          <w:sz w:val="24"/>
        </w:rPr>
        <w:t>。</w:t>
      </w:r>
    </w:p>
    <w:p w14:paraId="41FD3C2F">
      <w:pPr>
        <w:spacing w:line="500" w:lineRule="exact"/>
        <w:rPr>
          <w:rFonts w:hint="eastAsia"/>
          <w:sz w:val="24"/>
        </w:rPr>
      </w:pPr>
      <w:r>
        <w:rPr>
          <w:rFonts w:hint="eastAsia" w:eastAsia="宋体"/>
          <w:sz w:val="24"/>
          <w:lang w:val="en-US" w:eastAsia="zh-CN"/>
        </w:rPr>
        <w:t>1</w:t>
      </w:r>
      <w:r>
        <w:rPr>
          <w:rFonts w:hint="eastAsia"/>
          <w:sz w:val="24"/>
          <w:lang w:val="en-US" w:eastAsia="zh-CN"/>
        </w:rPr>
        <w:t>1</w:t>
      </w:r>
      <w:r>
        <w:rPr>
          <w:rFonts w:hint="eastAsia"/>
          <w:sz w:val="24"/>
        </w:rPr>
        <w:t>、加料槽容量≥100片玻片。</w:t>
      </w:r>
    </w:p>
    <w:p w14:paraId="62C5220E">
      <w:pPr>
        <w:spacing w:line="500" w:lineRule="exact"/>
        <w:rPr>
          <w:rFonts w:hint="eastAsia"/>
          <w:sz w:val="24"/>
        </w:rPr>
      </w:pPr>
      <w:r>
        <w:rPr>
          <w:rFonts w:hint="eastAsia" w:eastAsia="宋体"/>
          <w:sz w:val="24"/>
          <w:lang w:val="en-US" w:eastAsia="zh-CN"/>
        </w:rPr>
        <w:t>1</w:t>
      </w:r>
      <w:r>
        <w:rPr>
          <w:rFonts w:hint="eastAsia"/>
          <w:sz w:val="24"/>
          <w:lang w:val="en-US" w:eastAsia="zh-CN"/>
        </w:rPr>
        <w:t>2</w:t>
      </w:r>
      <w:r>
        <w:rPr>
          <w:rFonts w:hint="eastAsia"/>
          <w:sz w:val="24"/>
        </w:rPr>
        <w:t>、先打先出，顺序排列，即最先打号的玻片排放在最上面，避免二次排序。</w:t>
      </w:r>
    </w:p>
    <w:p w14:paraId="681AAA1C">
      <w:pPr>
        <w:spacing w:line="500" w:lineRule="exact"/>
        <w:rPr>
          <w:rFonts w:hint="eastAsia"/>
          <w:sz w:val="24"/>
        </w:rPr>
      </w:pPr>
      <w:r>
        <w:rPr>
          <w:rFonts w:hint="eastAsia" w:eastAsia="宋体"/>
          <w:sz w:val="24"/>
          <w:lang w:val="en-US" w:eastAsia="zh-CN"/>
        </w:rPr>
        <w:t>1</w:t>
      </w:r>
      <w:r>
        <w:rPr>
          <w:rFonts w:hint="eastAsia"/>
          <w:sz w:val="24"/>
          <w:lang w:val="en-US" w:eastAsia="zh-CN"/>
        </w:rPr>
        <w:t>3</w:t>
      </w:r>
      <w:r>
        <w:rPr>
          <w:rFonts w:hint="eastAsia"/>
          <w:sz w:val="24"/>
        </w:rPr>
        <w:t>、收集槽一次能收集≥</w:t>
      </w:r>
      <w:r>
        <w:rPr>
          <w:sz w:val="24"/>
        </w:rPr>
        <w:t>100</w:t>
      </w:r>
      <w:r>
        <w:rPr>
          <w:rFonts w:hint="eastAsia"/>
          <w:sz w:val="24"/>
        </w:rPr>
        <w:t>片以上已打号的玻片，打号过程无需人员值守。</w:t>
      </w:r>
    </w:p>
    <w:p w14:paraId="1D119BB1">
      <w:pPr>
        <w:spacing w:line="500" w:lineRule="exact"/>
        <w:rPr>
          <w:rFonts w:hint="eastAsia"/>
          <w:sz w:val="24"/>
        </w:rPr>
      </w:pPr>
      <w:r>
        <w:rPr>
          <w:rFonts w:hint="eastAsia"/>
          <w:sz w:val="24"/>
          <w:lang w:val="en-US" w:eastAsia="zh-CN"/>
        </w:rPr>
        <w:t>14</w:t>
      </w:r>
      <w:r>
        <w:rPr>
          <w:rFonts w:hint="eastAsia"/>
          <w:sz w:val="24"/>
        </w:rPr>
        <w:t>、收集槽位于设备正前方，玻片在收集槽中油漆面朝着操作人员，方便拿取且避免拿取时污染玻片工作面。</w:t>
      </w:r>
    </w:p>
    <w:p w14:paraId="65E70BFF">
      <w:pPr>
        <w:spacing w:line="500" w:lineRule="exact"/>
        <w:rPr>
          <w:rFonts w:hint="eastAsia"/>
          <w:sz w:val="24"/>
        </w:rPr>
      </w:pPr>
      <w:r>
        <w:rPr>
          <w:rFonts w:hint="eastAsia"/>
          <w:sz w:val="24"/>
        </w:rPr>
        <w:t>1</w:t>
      </w:r>
      <w:r>
        <w:rPr>
          <w:rFonts w:hint="eastAsia"/>
          <w:sz w:val="24"/>
          <w:lang w:val="en-US" w:eastAsia="zh-CN"/>
        </w:rPr>
        <w:t>5</w:t>
      </w:r>
      <w:r>
        <w:rPr>
          <w:rFonts w:hint="eastAsia"/>
          <w:sz w:val="24"/>
        </w:rPr>
        <w:t>、检查视窗非透明设计，避免激光外漏对眼睛造成伤害。</w:t>
      </w:r>
    </w:p>
    <w:p w14:paraId="7999DF90">
      <w:pPr>
        <w:spacing w:line="500" w:lineRule="exact"/>
        <w:rPr>
          <w:rFonts w:hint="eastAsia"/>
          <w:sz w:val="24"/>
        </w:rPr>
      </w:pPr>
      <w:r>
        <w:rPr>
          <w:rFonts w:hint="eastAsia" w:eastAsia="宋体"/>
          <w:sz w:val="24"/>
          <w:lang w:val="en-US" w:eastAsia="zh-CN"/>
        </w:rPr>
        <w:t>1</w:t>
      </w:r>
      <w:r>
        <w:rPr>
          <w:rFonts w:hint="eastAsia"/>
          <w:sz w:val="24"/>
          <w:lang w:val="en-US" w:eastAsia="zh-CN"/>
        </w:rPr>
        <w:t>6</w:t>
      </w:r>
      <w:r>
        <w:rPr>
          <w:rFonts w:hint="eastAsia"/>
          <w:sz w:val="24"/>
        </w:rPr>
        <w:t>、机箱外壳为高级ABS塑料材质，能有效防止漏电意外。</w:t>
      </w:r>
    </w:p>
    <w:p w14:paraId="1F5E38AE">
      <w:pPr>
        <w:spacing w:line="500" w:lineRule="exact"/>
        <w:rPr>
          <w:rFonts w:hint="eastAsia"/>
          <w:color w:val="FF0000"/>
          <w:sz w:val="24"/>
        </w:rPr>
      </w:pPr>
      <w:r>
        <w:rPr>
          <w:rFonts w:hint="eastAsia"/>
          <w:sz w:val="24"/>
          <w:lang w:val="en-US" w:eastAsia="zh-CN"/>
        </w:rPr>
        <w:t>17</w:t>
      </w:r>
      <w:r>
        <w:rPr>
          <w:rFonts w:hint="eastAsia"/>
          <w:sz w:val="24"/>
        </w:rPr>
        <w:t>、标配二维码扫描系统，可以直接扫描包埋盒上的二维码进行玻片打号。</w:t>
      </w:r>
    </w:p>
    <w:p w14:paraId="612EECF0">
      <w:pPr>
        <w:spacing w:line="500" w:lineRule="exact"/>
        <w:rPr>
          <w:rFonts w:hint="eastAsia"/>
          <w:sz w:val="24"/>
        </w:rPr>
      </w:pPr>
      <w:r>
        <w:rPr>
          <w:rFonts w:hint="eastAsia"/>
          <w:sz w:val="24"/>
          <w:lang w:val="en-US" w:eastAsia="zh-CN"/>
        </w:rPr>
        <w:t>18</w:t>
      </w:r>
      <w:r>
        <w:rPr>
          <w:rFonts w:hint="eastAsia"/>
          <w:sz w:val="24"/>
        </w:rPr>
        <w:t>、一体化设计，无分体电源或其它附件，整机占位面积≤2</w:t>
      </w:r>
      <w:r>
        <w:rPr>
          <w:rFonts w:hint="eastAsia"/>
          <w:sz w:val="24"/>
          <w:lang w:val="en-US" w:eastAsia="zh-CN"/>
        </w:rPr>
        <w:t>0</w:t>
      </w:r>
      <w:r>
        <w:rPr>
          <w:rFonts w:hint="eastAsia"/>
          <w:sz w:val="24"/>
        </w:rPr>
        <w:t>CM×3</w:t>
      </w:r>
      <w:r>
        <w:rPr>
          <w:rFonts w:hint="eastAsia"/>
          <w:sz w:val="24"/>
          <w:lang w:val="en-US" w:eastAsia="zh-CN"/>
        </w:rPr>
        <w:t>2</w:t>
      </w:r>
      <w:r>
        <w:rPr>
          <w:rFonts w:hint="eastAsia"/>
          <w:sz w:val="24"/>
        </w:rPr>
        <w:t>CM，重量≤1</w:t>
      </w:r>
      <w:r>
        <w:rPr>
          <w:rFonts w:hint="eastAsia"/>
          <w:sz w:val="24"/>
          <w:lang w:val="en-US" w:eastAsia="zh-CN"/>
        </w:rPr>
        <w:t>2</w:t>
      </w:r>
      <w:r>
        <w:rPr>
          <w:rFonts w:hint="eastAsia"/>
          <w:sz w:val="24"/>
        </w:rPr>
        <w:t>KG</w:t>
      </w:r>
      <w:r>
        <w:rPr>
          <w:rFonts w:hint="eastAsia"/>
          <w:sz w:val="24"/>
          <w:lang w:eastAsia="zh-CN"/>
        </w:rPr>
        <w:t>，适合直接放置于切片机上</w:t>
      </w:r>
      <w:r>
        <w:rPr>
          <w:rFonts w:hint="eastAsia"/>
          <w:sz w:val="24"/>
        </w:rPr>
        <w:t>。</w:t>
      </w:r>
    </w:p>
    <w:p w14:paraId="4E9EFA33">
      <w:pPr>
        <w:spacing w:line="500" w:lineRule="exact"/>
        <w:rPr>
          <w:rFonts w:hint="eastAsia"/>
          <w:sz w:val="24"/>
        </w:rPr>
      </w:pPr>
      <w:r>
        <w:rPr>
          <w:rFonts w:hint="eastAsia"/>
          <w:sz w:val="24"/>
          <w:lang w:val="en-US" w:eastAsia="zh-CN"/>
        </w:rPr>
        <w:t>19</w:t>
      </w:r>
      <w:r>
        <w:rPr>
          <w:rFonts w:hint="eastAsia"/>
          <w:sz w:val="24"/>
        </w:rPr>
        <w:t>、设备与电脑通过千兆网口连接（非</w:t>
      </w:r>
      <w:r>
        <w:rPr>
          <w:sz w:val="24"/>
        </w:rPr>
        <w:t>USB</w:t>
      </w:r>
      <w:r>
        <w:rPr>
          <w:rFonts w:hint="eastAsia"/>
          <w:sz w:val="24"/>
        </w:rPr>
        <w:t>接口），要求信号传输快速稳定。</w:t>
      </w:r>
    </w:p>
    <w:p w14:paraId="1E1BA72C">
      <w:pPr>
        <w:spacing w:line="520" w:lineRule="exact"/>
        <w:rPr>
          <w:rFonts w:hint="eastAsia"/>
          <w:sz w:val="24"/>
          <w:lang w:val="en-US" w:eastAsia="zh-CN"/>
        </w:rPr>
      </w:pPr>
      <w:r>
        <w:rPr>
          <w:rFonts w:hint="eastAsia"/>
          <w:sz w:val="24"/>
          <w:lang w:val="en-US" w:eastAsia="zh-CN"/>
        </w:rPr>
        <w:t>20、一体式工控电脑，触摸屏</w:t>
      </w:r>
      <w:r>
        <w:rPr>
          <w:rFonts w:hint="eastAsia" w:ascii="宋体" w:hAnsi="宋体" w:eastAsia="宋体" w:cs="宋体"/>
          <w:sz w:val="24"/>
          <w:lang w:val="en-US" w:eastAsia="zh-CN"/>
        </w:rPr>
        <w:t>≥</w:t>
      </w:r>
      <w:r>
        <w:rPr>
          <w:rFonts w:hint="eastAsia"/>
          <w:sz w:val="24"/>
          <w:lang w:val="en-US" w:eastAsia="zh-CN"/>
        </w:rPr>
        <w:t>10.1英寸，硬盘容量</w:t>
      </w:r>
      <w:r>
        <w:rPr>
          <w:rFonts w:hint="eastAsia" w:ascii="宋体" w:hAnsi="宋体" w:eastAsia="宋体" w:cs="宋体"/>
          <w:sz w:val="24"/>
          <w:lang w:val="en-US" w:eastAsia="zh-CN"/>
        </w:rPr>
        <w:t>≥</w:t>
      </w:r>
      <w:r>
        <w:rPr>
          <w:rFonts w:hint="eastAsia"/>
          <w:sz w:val="24"/>
          <w:lang w:val="en-US" w:eastAsia="zh-CN"/>
        </w:rPr>
        <w:t>64GB，内存容量</w:t>
      </w:r>
      <w:r>
        <w:rPr>
          <w:rFonts w:hint="eastAsia" w:ascii="宋体" w:hAnsi="宋体" w:eastAsia="宋体" w:cs="宋体"/>
          <w:sz w:val="24"/>
          <w:lang w:val="en-US" w:eastAsia="zh-CN"/>
        </w:rPr>
        <w:t>≥</w:t>
      </w:r>
      <w:r>
        <w:rPr>
          <w:rFonts w:hint="eastAsia"/>
          <w:sz w:val="24"/>
          <w:lang w:val="en-US" w:eastAsia="zh-CN"/>
        </w:rPr>
        <w:t>4GB。</w:t>
      </w:r>
    </w:p>
    <w:p w14:paraId="4DC275A0">
      <w:pPr>
        <w:pStyle w:val="2"/>
        <w:ind w:left="0" w:leftChars="0" w:firstLine="0" w:firstLineChars="0"/>
        <w:rPr>
          <w:rFonts w:hint="default"/>
          <w:lang w:val="en-US" w:eastAsia="zh-CN"/>
        </w:rPr>
      </w:pPr>
      <w:r>
        <w:rPr>
          <w:rFonts w:hint="eastAsia"/>
          <w:sz w:val="24"/>
          <w:lang w:val="en-US" w:eastAsia="zh-CN"/>
        </w:rPr>
        <w:t>21、</w:t>
      </w:r>
      <w:r>
        <w:rPr>
          <w:rFonts w:hint="eastAsia" w:ascii="Times New Roman" w:hAnsi="Times New Roman" w:eastAsia="宋体" w:cs="Times New Roman"/>
          <w:kern w:val="2"/>
          <w:sz w:val="24"/>
          <w:szCs w:val="24"/>
          <w:lang w:val="en-US" w:eastAsia="zh-CN" w:bidi="ar-SA"/>
        </w:rPr>
        <w:t>性能稳定，无任何易损部件或备品备件。</w:t>
      </w:r>
    </w:p>
    <w:p w14:paraId="599D75F6">
      <w:pPr>
        <w:numPr>
          <w:ilvl w:val="0"/>
          <w:numId w:val="0"/>
        </w:numPr>
        <w:spacing w:line="500" w:lineRule="exact"/>
        <w:rPr>
          <w:rFonts w:hint="eastAsia"/>
          <w:b/>
          <w:bCs/>
          <w:sz w:val="24"/>
          <w:lang w:eastAsia="zh-CN"/>
        </w:rPr>
      </w:pPr>
      <w:r>
        <w:rPr>
          <w:rFonts w:hint="eastAsia"/>
          <w:b/>
          <w:bCs/>
          <w:sz w:val="24"/>
          <w:lang w:val="en-US" w:eastAsia="zh-CN"/>
        </w:rPr>
        <w:t>25、</w:t>
      </w:r>
      <w:r>
        <w:rPr>
          <w:rFonts w:hint="eastAsia"/>
          <w:b/>
          <w:bCs/>
          <w:sz w:val="24"/>
          <w:lang w:eastAsia="zh-CN"/>
        </w:rPr>
        <w:t>配置要求：</w:t>
      </w:r>
    </w:p>
    <w:tbl>
      <w:tblPr>
        <w:tblStyle w:val="10"/>
        <w:tblpPr w:leftFromText="180" w:rightFromText="180" w:vertAnchor="text" w:horzAnchor="page" w:tblpX="844" w:tblpY="260"/>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903"/>
        <w:gridCol w:w="4260"/>
        <w:gridCol w:w="1620"/>
        <w:gridCol w:w="1717"/>
      </w:tblGrid>
      <w:tr w14:paraId="15A9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9" w:hRule="atLeast"/>
        </w:trPr>
        <w:tc>
          <w:tcPr>
            <w:tcW w:w="903" w:type="dxa"/>
            <w:noWrap w:val="0"/>
            <w:vAlign w:val="center"/>
          </w:tcPr>
          <w:p w14:paraId="1552EECD">
            <w:pPr>
              <w:autoSpaceDN w:val="0"/>
              <w:jc w:val="center"/>
              <w:textAlignment w:val="center"/>
              <w:rPr>
                <w:rFonts w:ascii="宋体" w:hAnsi="宋体"/>
                <w:b/>
                <w:color w:val="000000"/>
                <w:sz w:val="24"/>
              </w:rPr>
            </w:pPr>
            <w:r>
              <w:rPr>
                <w:rFonts w:ascii="宋体" w:hAnsi="宋体"/>
                <w:b/>
                <w:color w:val="000000"/>
                <w:sz w:val="24"/>
              </w:rPr>
              <w:t>序号</w:t>
            </w:r>
          </w:p>
        </w:tc>
        <w:tc>
          <w:tcPr>
            <w:tcW w:w="4260" w:type="dxa"/>
            <w:noWrap w:val="0"/>
            <w:vAlign w:val="center"/>
          </w:tcPr>
          <w:p w14:paraId="341AD7B7">
            <w:pPr>
              <w:autoSpaceDN w:val="0"/>
              <w:jc w:val="center"/>
              <w:textAlignment w:val="center"/>
              <w:rPr>
                <w:rFonts w:ascii="宋体" w:hAnsi="宋体"/>
                <w:b/>
                <w:color w:val="000000"/>
                <w:sz w:val="24"/>
              </w:rPr>
            </w:pPr>
            <w:r>
              <w:rPr>
                <w:rFonts w:ascii="宋体" w:hAnsi="宋体"/>
                <w:b/>
                <w:color w:val="000000"/>
                <w:sz w:val="24"/>
              </w:rPr>
              <w:t>名称</w:t>
            </w:r>
          </w:p>
        </w:tc>
        <w:tc>
          <w:tcPr>
            <w:tcW w:w="1620" w:type="dxa"/>
            <w:noWrap w:val="0"/>
            <w:vAlign w:val="center"/>
          </w:tcPr>
          <w:p w14:paraId="3C54655C">
            <w:pPr>
              <w:autoSpaceDN w:val="0"/>
              <w:jc w:val="center"/>
              <w:textAlignment w:val="center"/>
              <w:rPr>
                <w:rFonts w:ascii="宋体" w:hAnsi="宋体"/>
                <w:b/>
                <w:color w:val="000000"/>
                <w:sz w:val="24"/>
              </w:rPr>
            </w:pPr>
            <w:r>
              <w:rPr>
                <w:rFonts w:ascii="宋体" w:hAnsi="宋体"/>
                <w:b/>
                <w:color w:val="000000"/>
                <w:sz w:val="24"/>
              </w:rPr>
              <w:t>单位</w:t>
            </w:r>
          </w:p>
        </w:tc>
        <w:tc>
          <w:tcPr>
            <w:tcW w:w="1717" w:type="dxa"/>
            <w:noWrap w:val="0"/>
            <w:vAlign w:val="center"/>
          </w:tcPr>
          <w:p w14:paraId="67560956">
            <w:pPr>
              <w:autoSpaceDN w:val="0"/>
              <w:jc w:val="center"/>
              <w:textAlignment w:val="center"/>
              <w:rPr>
                <w:rFonts w:ascii="宋体" w:hAnsi="宋体"/>
                <w:b/>
                <w:color w:val="000000"/>
                <w:sz w:val="24"/>
              </w:rPr>
            </w:pPr>
            <w:r>
              <w:rPr>
                <w:rFonts w:ascii="宋体" w:hAnsi="宋体"/>
                <w:b/>
                <w:color w:val="000000"/>
                <w:sz w:val="24"/>
              </w:rPr>
              <w:t>数量</w:t>
            </w:r>
          </w:p>
        </w:tc>
      </w:tr>
      <w:tr w14:paraId="154F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53" w:hRule="atLeast"/>
        </w:trPr>
        <w:tc>
          <w:tcPr>
            <w:tcW w:w="903" w:type="dxa"/>
            <w:noWrap w:val="0"/>
            <w:vAlign w:val="center"/>
          </w:tcPr>
          <w:p w14:paraId="1916E87D">
            <w:pPr>
              <w:autoSpaceDN w:val="0"/>
              <w:jc w:val="center"/>
              <w:textAlignment w:val="center"/>
              <w:rPr>
                <w:rFonts w:ascii="宋体" w:hAnsi="宋体"/>
                <w:color w:val="000000"/>
                <w:sz w:val="24"/>
              </w:rPr>
            </w:pPr>
            <w:r>
              <w:rPr>
                <w:rFonts w:ascii="宋体" w:hAnsi="宋体"/>
                <w:color w:val="000000"/>
                <w:sz w:val="24"/>
              </w:rPr>
              <w:t>1</w:t>
            </w:r>
          </w:p>
        </w:tc>
        <w:tc>
          <w:tcPr>
            <w:tcW w:w="4260" w:type="dxa"/>
            <w:noWrap w:val="0"/>
            <w:vAlign w:val="center"/>
          </w:tcPr>
          <w:p w14:paraId="1895671B">
            <w:pPr>
              <w:autoSpaceDN w:val="0"/>
              <w:jc w:val="center"/>
              <w:textAlignment w:val="center"/>
              <w:rPr>
                <w:rFonts w:ascii="宋体" w:hAnsi="宋体"/>
                <w:color w:val="000000"/>
                <w:sz w:val="24"/>
              </w:rPr>
            </w:pPr>
            <w:r>
              <w:rPr>
                <w:rFonts w:ascii="宋体" w:hAnsi="宋体"/>
                <w:color w:val="000000"/>
                <w:sz w:val="24"/>
              </w:rPr>
              <w:t>玻片打号机主机</w:t>
            </w:r>
          </w:p>
        </w:tc>
        <w:tc>
          <w:tcPr>
            <w:tcW w:w="1620" w:type="dxa"/>
            <w:noWrap w:val="0"/>
            <w:vAlign w:val="center"/>
          </w:tcPr>
          <w:p w14:paraId="244F3EFD">
            <w:pPr>
              <w:autoSpaceDN w:val="0"/>
              <w:jc w:val="center"/>
              <w:textAlignment w:val="center"/>
              <w:rPr>
                <w:rFonts w:ascii="宋体" w:hAnsi="宋体"/>
                <w:color w:val="000000"/>
                <w:sz w:val="24"/>
              </w:rPr>
            </w:pPr>
            <w:r>
              <w:rPr>
                <w:rFonts w:ascii="宋体" w:hAnsi="宋体"/>
                <w:color w:val="000000"/>
                <w:sz w:val="24"/>
              </w:rPr>
              <w:t>台</w:t>
            </w:r>
          </w:p>
        </w:tc>
        <w:tc>
          <w:tcPr>
            <w:tcW w:w="1717" w:type="dxa"/>
            <w:noWrap w:val="0"/>
            <w:vAlign w:val="center"/>
          </w:tcPr>
          <w:p w14:paraId="4FFF8ADF">
            <w:pPr>
              <w:autoSpaceDN w:val="0"/>
              <w:jc w:val="center"/>
              <w:textAlignment w:val="center"/>
              <w:rPr>
                <w:rFonts w:ascii="宋体" w:hAnsi="宋体"/>
                <w:color w:val="000000"/>
                <w:sz w:val="24"/>
              </w:rPr>
            </w:pPr>
            <w:r>
              <w:rPr>
                <w:rFonts w:ascii="宋体" w:hAnsi="宋体"/>
                <w:color w:val="000000"/>
                <w:sz w:val="24"/>
              </w:rPr>
              <w:t>1</w:t>
            </w:r>
          </w:p>
        </w:tc>
      </w:tr>
      <w:tr w14:paraId="266C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59" w:hRule="atLeast"/>
        </w:trPr>
        <w:tc>
          <w:tcPr>
            <w:tcW w:w="903" w:type="dxa"/>
            <w:noWrap w:val="0"/>
            <w:vAlign w:val="center"/>
          </w:tcPr>
          <w:p w14:paraId="53B9CB93">
            <w:pPr>
              <w:autoSpaceDN w:val="0"/>
              <w:jc w:val="center"/>
              <w:textAlignment w:val="center"/>
              <w:rPr>
                <w:rFonts w:ascii="宋体" w:hAnsi="宋体"/>
                <w:color w:val="000000"/>
                <w:sz w:val="24"/>
              </w:rPr>
            </w:pPr>
            <w:r>
              <w:rPr>
                <w:rFonts w:ascii="宋体" w:hAnsi="宋体"/>
                <w:color w:val="000000"/>
                <w:sz w:val="24"/>
              </w:rPr>
              <w:t>2</w:t>
            </w:r>
          </w:p>
        </w:tc>
        <w:tc>
          <w:tcPr>
            <w:tcW w:w="4260" w:type="dxa"/>
            <w:noWrap w:val="0"/>
            <w:vAlign w:val="center"/>
          </w:tcPr>
          <w:p w14:paraId="2D38BD43">
            <w:pPr>
              <w:autoSpaceDN w:val="0"/>
              <w:jc w:val="center"/>
              <w:textAlignment w:val="center"/>
              <w:rPr>
                <w:rFonts w:ascii="宋体" w:hAnsi="宋体"/>
                <w:color w:val="000000"/>
                <w:sz w:val="24"/>
              </w:rPr>
            </w:pPr>
            <w:r>
              <w:rPr>
                <w:rFonts w:ascii="宋体" w:hAnsi="宋体"/>
                <w:color w:val="000000"/>
                <w:sz w:val="24"/>
              </w:rPr>
              <w:t>病理激光打号软件</w:t>
            </w:r>
          </w:p>
        </w:tc>
        <w:tc>
          <w:tcPr>
            <w:tcW w:w="1620" w:type="dxa"/>
            <w:noWrap w:val="0"/>
            <w:vAlign w:val="center"/>
          </w:tcPr>
          <w:p w14:paraId="2B529F37">
            <w:pPr>
              <w:autoSpaceDN w:val="0"/>
              <w:jc w:val="center"/>
              <w:textAlignment w:val="center"/>
              <w:rPr>
                <w:rFonts w:ascii="宋体" w:hAnsi="宋体"/>
                <w:color w:val="000000"/>
                <w:sz w:val="24"/>
              </w:rPr>
            </w:pPr>
            <w:r>
              <w:rPr>
                <w:rFonts w:ascii="宋体" w:hAnsi="宋体"/>
                <w:color w:val="000000"/>
                <w:sz w:val="24"/>
              </w:rPr>
              <w:t>套</w:t>
            </w:r>
          </w:p>
        </w:tc>
        <w:tc>
          <w:tcPr>
            <w:tcW w:w="1717" w:type="dxa"/>
            <w:noWrap w:val="0"/>
            <w:vAlign w:val="center"/>
          </w:tcPr>
          <w:p w14:paraId="77021339">
            <w:pPr>
              <w:autoSpaceDN w:val="0"/>
              <w:jc w:val="center"/>
              <w:textAlignment w:val="center"/>
              <w:rPr>
                <w:rFonts w:ascii="宋体" w:hAnsi="宋体"/>
                <w:color w:val="000000"/>
                <w:sz w:val="24"/>
              </w:rPr>
            </w:pPr>
            <w:r>
              <w:rPr>
                <w:rFonts w:ascii="宋体" w:hAnsi="宋体"/>
                <w:color w:val="000000"/>
                <w:sz w:val="24"/>
              </w:rPr>
              <w:t>1</w:t>
            </w:r>
          </w:p>
        </w:tc>
      </w:tr>
      <w:tr w14:paraId="4647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65" w:hRule="atLeast"/>
        </w:trPr>
        <w:tc>
          <w:tcPr>
            <w:tcW w:w="903" w:type="dxa"/>
            <w:noWrap w:val="0"/>
            <w:vAlign w:val="center"/>
          </w:tcPr>
          <w:p w14:paraId="38F19A19">
            <w:pPr>
              <w:autoSpaceDN w:val="0"/>
              <w:jc w:val="center"/>
              <w:textAlignment w:val="center"/>
              <w:rPr>
                <w:rFonts w:ascii="宋体" w:hAnsi="宋体"/>
                <w:color w:val="000000"/>
                <w:sz w:val="24"/>
              </w:rPr>
            </w:pPr>
            <w:r>
              <w:rPr>
                <w:rFonts w:ascii="宋体" w:hAnsi="宋体"/>
                <w:color w:val="000000"/>
                <w:sz w:val="24"/>
              </w:rPr>
              <w:t>3</w:t>
            </w:r>
          </w:p>
        </w:tc>
        <w:tc>
          <w:tcPr>
            <w:tcW w:w="4260" w:type="dxa"/>
            <w:noWrap w:val="0"/>
            <w:vAlign w:val="center"/>
          </w:tcPr>
          <w:p w14:paraId="23B7145A">
            <w:pPr>
              <w:autoSpaceDN w:val="0"/>
              <w:jc w:val="center"/>
              <w:textAlignment w:val="center"/>
              <w:rPr>
                <w:rFonts w:ascii="宋体" w:hAnsi="宋体"/>
                <w:color w:val="000000"/>
                <w:sz w:val="24"/>
              </w:rPr>
            </w:pPr>
            <w:r>
              <w:rPr>
                <w:rFonts w:ascii="宋体" w:hAnsi="宋体"/>
                <w:color w:val="000000"/>
                <w:sz w:val="24"/>
              </w:rPr>
              <w:t>AC电源连接线</w:t>
            </w:r>
          </w:p>
        </w:tc>
        <w:tc>
          <w:tcPr>
            <w:tcW w:w="1620" w:type="dxa"/>
            <w:noWrap w:val="0"/>
            <w:vAlign w:val="center"/>
          </w:tcPr>
          <w:p w14:paraId="5025714A">
            <w:pPr>
              <w:autoSpaceDN w:val="0"/>
              <w:jc w:val="center"/>
              <w:textAlignment w:val="center"/>
              <w:rPr>
                <w:rFonts w:ascii="宋体" w:hAnsi="宋体"/>
                <w:color w:val="000000"/>
                <w:sz w:val="24"/>
              </w:rPr>
            </w:pPr>
            <w:r>
              <w:rPr>
                <w:rFonts w:ascii="宋体" w:hAnsi="宋体"/>
                <w:color w:val="000000"/>
                <w:sz w:val="24"/>
              </w:rPr>
              <w:t>根</w:t>
            </w:r>
          </w:p>
        </w:tc>
        <w:tc>
          <w:tcPr>
            <w:tcW w:w="1717" w:type="dxa"/>
            <w:noWrap w:val="0"/>
            <w:vAlign w:val="center"/>
          </w:tcPr>
          <w:p w14:paraId="5DC427BB">
            <w:pPr>
              <w:autoSpaceDN w:val="0"/>
              <w:jc w:val="center"/>
              <w:textAlignment w:val="center"/>
              <w:rPr>
                <w:rFonts w:ascii="宋体" w:hAnsi="宋体"/>
                <w:color w:val="000000"/>
                <w:sz w:val="24"/>
              </w:rPr>
            </w:pPr>
            <w:r>
              <w:rPr>
                <w:rFonts w:ascii="宋体" w:hAnsi="宋体"/>
                <w:color w:val="000000"/>
                <w:sz w:val="24"/>
              </w:rPr>
              <w:t>1</w:t>
            </w:r>
          </w:p>
        </w:tc>
      </w:tr>
      <w:tr w14:paraId="6A1F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42" w:hRule="atLeast"/>
        </w:trPr>
        <w:tc>
          <w:tcPr>
            <w:tcW w:w="903" w:type="dxa"/>
            <w:noWrap w:val="0"/>
            <w:vAlign w:val="center"/>
          </w:tcPr>
          <w:p w14:paraId="65A44111">
            <w:pPr>
              <w:autoSpaceDN w:val="0"/>
              <w:jc w:val="center"/>
              <w:textAlignment w:val="center"/>
              <w:rPr>
                <w:rFonts w:ascii="宋体" w:hAnsi="宋体"/>
                <w:color w:val="000000"/>
                <w:sz w:val="24"/>
              </w:rPr>
            </w:pPr>
            <w:r>
              <w:rPr>
                <w:rFonts w:ascii="宋体" w:hAnsi="宋体"/>
                <w:color w:val="000000"/>
                <w:sz w:val="24"/>
              </w:rPr>
              <w:t>4</w:t>
            </w:r>
          </w:p>
        </w:tc>
        <w:tc>
          <w:tcPr>
            <w:tcW w:w="4260" w:type="dxa"/>
            <w:noWrap w:val="0"/>
            <w:vAlign w:val="center"/>
          </w:tcPr>
          <w:p w14:paraId="166837A7">
            <w:pPr>
              <w:autoSpaceDN w:val="0"/>
              <w:jc w:val="center"/>
              <w:textAlignment w:val="center"/>
              <w:rPr>
                <w:rFonts w:ascii="宋体" w:hAnsi="宋体"/>
                <w:color w:val="000000"/>
                <w:sz w:val="24"/>
              </w:rPr>
            </w:pPr>
            <w:r>
              <w:rPr>
                <w:rFonts w:hint="eastAsia" w:ascii="宋体" w:hAnsi="宋体"/>
                <w:color w:val="000000"/>
                <w:sz w:val="24"/>
              </w:rPr>
              <w:t>打印</w:t>
            </w:r>
            <w:r>
              <w:rPr>
                <w:rFonts w:ascii="宋体" w:hAnsi="宋体"/>
                <w:color w:val="000000"/>
                <w:sz w:val="24"/>
              </w:rPr>
              <w:t>数据连接线</w:t>
            </w:r>
          </w:p>
        </w:tc>
        <w:tc>
          <w:tcPr>
            <w:tcW w:w="1620" w:type="dxa"/>
            <w:noWrap w:val="0"/>
            <w:vAlign w:val="center"/>
          </w:tcPr>
          <w:p w14:paraId="3DC59CE2">
            <w:pPr>
              <w:autoSpaceDN w:val="0"/>
              <w:jc w:val="center"/>
              <w:textAlignment w:val="center"/>
              <w:rPr>
                <w:rFonts w:ascii="宋体" w:hAnsi="宋体"/>
                <w:color w:val="000000"/>
                <w:sz w:val="24"/>
              </w:rPr>
            </w:pPr>
            <w:r>
              <w:rPr>
                <w:rFonts w:ascii="宋体" w:hAnsi="宋体"/>
                <w:color w:val="000000"/>
                <w:sz w:val="24"/>
              </w:rPr>
              <w:t>根</w:t>
            </w:r>
          </w:p>
        </w:tc>
        <w:tc>
          <w:tcPr>
            <w:tcW w:w="1717" w:type="dxa"/>
            <w:noWrap w:val="0"/>
            <w:vAlign w:val="center"/>
          </w:tcPr>
          <w:p w14:paraId="2774B4CE">
            <w:pPr>
              <w:autoSpaceDN w:val="0"/>
              <w:jc w:val="center"/>
              <w:textAlignment w:val="center"/>
              <w:rPr>
                <w:rFonts w:ascii="宋体" w:hAnsi="宋体"/>
                <w:color w:val="000000"/>
                <w:sz w:val="24"/>
              </w:rPr>
            </w:pPr>
            <w:r>
              <w:rPr>
                <w:rFonts w:ascii="宋体" w:hAnsi="宋体"/>
                <w:color w:val="000000"/>
                <w:sz w:val="24"/>
              </w:rPr>
              <w:t>1</w:t>
            </w:r>
          </w:p>
        </w:tc>
      </w:tr>
      <w:tr w14:paraId="599F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62" w:hRule="atLeast"/>
        </w:trPr>
        <w:tc>
          <w:tcPr>
            <w:tcW w:w="903" w:type="dxa"/>
            <w:noWrap w:val="0"/>
            <w:vAlign w:val="center"/>
          </w:tcPr>
          <w:p w14:paraId="33D32D11">
            <w:pPr>
              <w:autoSpaceDN w:val="0"/>
              <w:jc w:val="center"/>
              <w:textAlignment w:val="center"/>
              <w:rPr>
                <w:rFonts w:hint="eastAsia" w:ascii="宋体" w:hAnsi="宋体"/>
                <w:color w:val="000000"/>
                <w:sz w:val="24"/>
              </w:rPr>
            </w:pPr>
            <w:r>
              <w:rPr>
                <w:rFonts w:hint="eastAsia" w:ascii="宋体" w:hAnsi="宋体"/>
                <w:color w:val="000000"/>
                <w:sz w:val="24"/>
              </w:rPr>
              <w:t>5</w:t>
            </w:r>
          </w:p>
        </w:tc>
        <w:tc>
          <w:tcPr>
            <w:tcW w:w="4260" w:type="dxa"/>
            <w:noWrap w:val="0"/>
            <w:vAlign w:val="center"/>
          </w:tcPr>
          <w:p w14:paraId="4AD4EEE9">
            <w:pPr>
              <w:autoSpaceDN w:val="0"/>
              <w:jc w:val="center"/>
              <w:textAlignment w:val="center"/>
              <w:rPr>
                <w:rFonts w:ascii="宋体" w:hAnsi="宋体"/>
                <w:color w:val="000000"/>
                <w:sz w:val="24"/>
              </w:rPr>
            </w:pPr>
            <w:r>
              <w:rPr>
                <w:rFonts w:ascii="宋体" w:hAnsi="宋体"/>
                <w:color w:val="000000"/>
                <w:sz w:val="24"/>
              </w:rPr>
              <w:t>清洁刷</w:t>
            </w:r>
          </w:p>
        </w:tc>
        <w:tc>
          <w:tcPr>
            <w:tcW w:w="1620" w:type="dxa"/>
            <w:noWrap w:val="0"/>
            <w:vAlign w:val="center"/>
          </w:tcPr>
          <w:p w14:paraId="6FA428EC">
            <w:pPr>
              <w:autoSpaceDN w:val="0"/>
              <w:jc w:val="center"/>
              <w:textAlignment w:val="center"/>
              <w:rPr>
                <w:rFonts w:ascii="宋体" w:hAnsi="宋体"/>
                <w:color w:val="000000"/>
                <w:sz w:val="24"/>
              </w:rPr>
            </w:pPr>
            <w:r>
              <w:rPr>
                <w:rFonts w:ascii="宋体" w:hAnsi="宋体"/>
                <w:color w:val="000000"/>
                <w:sz w:val="24"/>
              </w:rPr>
              <w:t>只</w:t>
            </w:r>
          </w:p>
        </w:tc>
        <w:tc>
          <w:tcPr>
            <w:tcW w:w="1717" w:type="dxa"/>
            <w:noWrap w:val="0"/>
            <w:vAlign w:val="center"/>
          </w:tcPr>
          <w:p w14:paraId="21F4918F">
            <w:pPr>
              <w:autoSpaceDN w:val="0"/>
              <w:jc w:val="center"/>
              <w:textAlignment w:val="center"/>
              <w:rPr>
                <w:rFonts w:ascii="宋体" w:hAnsi="宋体"/>
                <w:color w:val="000000"/>
                <w:sz w:val="24"/>
              </w:rPr>
            </w:pPr>
            <w:r>
              <w:rPr>
                <w:rFonts w:ascii="宋体" w:hAnsi="宋体"/>
                <w:color w:val="000000"/>
                <w:sz w:val="24"/>
              </w:rPr>
              <w:t>1</w:t>
            </w:r>
          </w:p>
        </w:tc>
      </w:tr>
      <w:tr w14:paraId="26E8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69" w:hRule="atLeast"/>
        </w:trPr>
        <w:tc>
          <w:tcPr>
            <w:tcW w:w="903" w:type="dxa"/>
            <w:noWrap w:val="0"/>
            <w:vAlign w:val="center"/>
          </w:tcPr>
          <w:p w14:paraId="1701992F">
            <w:pPr>
              <w:autoSpaceDN w:val="0"/>
              <w:jc w:val="center"/>
              <w:textAlignment w:val="center"/>
              <w:rPr>
                <w:rFonts w:hint="eastAsia" w:ascii="宋体" w:hAnsi="宋体"/>
                <w:color w:val="000000"/>
                <w:sz w:val="24"/>
              </w:rPr>
            </w:pPr>
            <w:r>
              <w:rPr>
                <w:rFonts w:hint="eastAsia" w:ascii="宋体" w:hAnsi="宋体"/>
                <w:color w:val="000000"/>
                <w:sz w:val="24"/>
              </w:rPr>
              <w:t>6</w:t>
            </w:r>
          </w:p>
        </w:tc>
        <w:tc>
          <w:tcPr>
            <w:tcW w:w="4260" w:type="dxa"/>
            <w:noWrap w:val="0"/>
            <w:vAlign w:val="center"/>
          </w:tcPr>
          <w:p w14:paraId="61E04328">
            <w:pPr>
              <w:autoSpaceDN w:val="0"/>
              <w:jc w:val="center"/>
              <w:textAlignment w:val="center"/>
              <w:rPr>
                <w:rFonts w:hint="eastAsia" w:ascii="宋体" w:hAnsi="宋体"/>
                <w:color w:val="000000"/>
                <w:sz w:val="24"/>
              </w:rPr>
            </w:pPr>
            <w:r>
              <w:rPr>
                <w:rFonts w:hint="eastAsia" w:ascii="宋体" w:hAnsi="宋体"/>
                <w:color w:val="000000"/>
                <w:sz w:val="24"/>
              </w:rPr>
              <w:t>装机用玻片</w:t>
            </w:r>
          </w:p>
        </w:tc>
        <w:tc>
          <w:tcPr>
            <w:tcW w:w="1620" w:type="dxa"/>
            <w:noWrap w:val="0"/>
            <w:vAlign w:val="center"/>
          </w:tcPr>
          <w:p w14:paraId="02D796BC">
            <w:pPr>
              <w:autoSpaceDN w:val="0"/>
              <w:jc w:val="center"/>
              <w:textAlignment w:val="center"/>
              <w:rPr>
                <w:rFonts w:hint="eastAsia" w:ascii="宋体" w:hAnsi="宋体"/>
                <w:color w:val="000000"/>
                <w:sz w:val="24"/>
              </w:rPr>
            </w:pPr>
            <w:r>
              <w:rPr>
                <w:rFonts w:hint="eastAsia" w:ascii="宋体" w:hAnsi="宋体"/>
                <w:color w:val="000000"/>
                <w:sz w:val="24"/>
              </w:rPr>
              <w:t>盒</w:t>
            </w:r>
          </w:p>
        </w:tc>
        <w:tc>
          <w:tcPr>
            <w:tcW w:w="1717" w:type="dxa"/>
            <w:noWrap w:val="0"/>
            <w:vAlign w:val="center"/>
          </w:tcPr>
          <w:p w14:paraId="7801541D">
            <w:pPr>
              <w:autoSpaceDN w:val="0"/>
              <w:jc w:val="center"/>
              <w:textAlignment w:val="center"/>
              <w:rPr>
                <w:rFonts w:hint="eastAsia" w:ascii="宋体" w:hAnsi="宋体"/>
                <w:color w:val="000000"/>
                <w:sz w:val="24"/>
              </w:rPr>
            </w:pPr>
            <w:r>
              <w:rPr>
                <w:rFonts w:hint="eastAsia" w:ascii="宋体" w:hAnsi="宋体"/>
                <w:color w:val="000000"/>
                <w:sz w:val="24"/>
              </w:rPr>
              <w:t>4</w:t>
            </w:r>
          </w:p>
        </w:tc>
      </w:tr>
      <w:tr w14:paraId="768C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61" w:hRule="atLeast"/>
        </w:trPr>
        <w:tc>
          <w:tcPr>
            <w:tcW w:w="903" w:type="dxa"/>
            <w:noWrap w:val="0"/>
            <w:vAlign w:val="center"/>
          </w:tcPr>
          <w:p w14:paraId="5CBB4DB1">
            <w:pPr>
              <w:autoSpaceDN w:val="0"/>
              <w:jc w:val="center"/>
              <w:textAlignment w:val="center"/>
              <w:rPr>
                <w:rFonts w:hint="eastAsia" w:ascii="宋体" w:hAnsi="宋体"/>
                <w:color w:val="000000"/>
                <w:sz w:val="24"/>
              </w:rPr>
            </w:pPr>
            <w:r>
              <w:rPr>
                <w:rFonts w:hint="eastAsia" w:ascii="宋体" w:hAnsi="宋体"/>
                <w:color w:val="000000"/>
                <w:sz w:val="24"/>
              </w:rPr>
              <w:t>7</w:t>
            </w:r>
          </w:p>
        </w:tc>
        <w:tc>
          <w:tcPr>
            <w:tcW w:w="4260" w:type="dxa"/>
            <w:noWrap w:val="0"/>
            <w:vAlign w:val="center"/>
          </w:tcPr>
          <w:p w14:paraId="64127B25">
            <w:pPr>
              <w:autoSpaceDN w:val="0"/>
              <w:jc w:val="center"/>
              <w:textAlignment w:val="center"/>
              <w:rPr>
                <w:rFonts w:hint="eastAsia" w:ascii="宋体" w:hAnsi="宋体"/>
                <w:color w:val="000000"/>
                <w:sz w:val="24"/>
              </w:rPr>
            </w:pPr>
            <w:r>
              <w:rPr>
                <w:rFonts w:hint="eastAsia" w:ascii="宋体" w:hAnsi="宋体"/>
                <w:color w:val="000000"/>
                <w:sz w:val="24"/>
              </w:rPr>
              <w:t>操作指南及合格证</w:t>
            </w:r>
          </w:p>
        </w:tc>
        <w:tc>
          <w:tcPr>
            <w:tcW w:w="1620" w:type="dxa"/>
            <w:noWrap w:val="0"/>
            <w:vAlign w:val="center"/>
          </w:tcPr>
          <w:p w14:paraId="5CCCA737">
            <w:pPr>
              <w:autoSpaceDN w:val="0"/>
              <w:jc w:val="center"/>
              <w:textAlignment w:val="center"/>
              <w:rPr>
                <w:rFonts w:ascii="宋体" w:hAnsi="宋体"/>
                <w:color w:val="000000"/>
                <w:sz w:val="24"/>
              </w:rPr>
            </w:pPr>
            <w:r>
              <w:rPr>
                <w:rFonts w:ascii="宋体" w:hAnsi="宋体"/>
                <w:color w:val="000000"/>
                <w:sz w:val="24"/>
              </w:rPr>
              <w:t>本</w:t>
            </w:r>
          </w:p>
        </w:tc>
        <w:tc>
          <w:tcPr>
            <w:tcW w:w="1717" w:type="dxa"/>
            <w:noWrap w:val="0"/>
            <w:vAlign w:val="center"/>
          </w:tcPr>
          <w:p w14:paraId="1B6A631B">
            <w:pPr>
              <w:autoSpaceDN w:val="0"/>
              <w:jc w:val="center"/>
              <w:textAlignment w:val="center"/>
              <w:rPr>
                <w:rFonts w:ascii="宋体" w:hAnsi="宋体"/>
                <w:color w:val="000000"/>
                <w:sz w:val="24"/>
              </w:rPr>
            </w:pPr>
            <w:r>
              <w:rPr>
                <w:rFonts w:ascii="宋体" w:hAnsi="宋体"/>
                <w:color w:val="000000"/>
                <w:sz w:val="24"/>
              </w:rPr>
              <w:t>1</w:t>
            </w:r>
          </w:p>
        </w:tc>
      </w:tr>
      <w:tr w14:paraId="0752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61" w:hRule="atLeast"/>
        </w:trPr>
        <w:tc>
          <w:tcPr>
            <w:tcW w:w="903" w:type="dxa"/>
            <w:noWrap w:val="0"/>
            <w:vAlign w:val="center"/>
          </w:tcPr>
          <w:p w14:paraId="2C293ED7">
            <w:pPr>
              <w:autoSpaceDN w:val="0"/>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8</w:t>
            </w:r>
          </w:p>
        </w:tc>
        <w:tc>
          <w:tcPr>
            <w:tcW w:w="4260" w:type="dxa"/>
            <w:noWrap w:val="0"/>
            <w:vAlign w:val="center"/>
          </w:tcPr>
          <w:p w14:paraId="55425F66">
            <w:pPr>
              <w:autoSpaceDN w:val="0"/>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一体式触摸屏电脑</w:t>
            </w:r>
          </w:p>
        </w:tc>
        <w:tc>
          <w:tcPr>
            <w:tcW w:w="1620" w:type="dxa"/>
            <w:noWrap w:val="0"/>
            <w:vAlign w:val="center"/>
          </w:tcPr>
          <w:p w14:paraId="177EFC00">
            <w:pPr>
              <w:autoSpaceDN w:val="0"/>
              <w:jc w:val="center"/>
              <w:textAlignment w:val="center"/>
              <w:rPr>
                <w:rFonts w:hint="eastAsia" w:ascii="宋体" w:hAnsi="宋体" w:eastAsia="宋体"/>
                <w:color w:val="000000"/>
                <w:sz w:val="24"/>
                <w:lang w:eastAsia="zh-CN"/>
              </w:rPr>
            </w:pPr>
            <w:r>
              <w:rPr>
                <w:rFonts w:hint="eastAsia" w:ascii="宋体" w:hAnsi="宋体"/>
                <w:color w:val="000000"/>
                <w:sz w:val="24"/>
                <w:lang w:eastAsia="zh-CN"/>
              </w:rPr>
              <w:t>台</w:t>
            </w:r>
          </w:p>
        </w:tc>
        <w:tc>
          <w:tcPr>
            <w:tcW w:w="1717" w:type="dxa"/>
            <w:noWrap w:val="0"/>
            <w:vAlign w:val="center"/>
          </w:tcPr>
          <w:p w14:paraId="61CF3B3E">
            <w:pPr>
              <w:autoSpaceDN w:val="0"/>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1</w:t>
            </w:r>
          </w:p>
        </w:tc>
      </w:tr>
    </w:tbl>
    <w:p w14:paraId="1BA86999">
      <w:pPr>
        <w:numPr>
          <w:ilvl w:val="0"/>
          <w:numId w:val="0"/>
        </w:numPr>
        <w:spacing w:line="500" w:lineRule="exact"/>
        <w:rPr>
          <w:rFonts w:hint="eastAsia"/>
          <w:sz w:val="24"/>
          <w:lang w:eastAsia="zh-CN"/>
        </w:rPr>
      </w:pPr>
    </w:p>
    <w:p w14:paraId="265330C7">
      <w:pPr>
        <w:spacing w:line="360" w:lineRule="auto"/>
        <w:jc w:val="both"/>
        <w:rPr>
          <w:rFonts w:hint="eastAsia" w:ascii="宋体" w:hAnsi="宋体" w:eastAsia="宋体" w:cs="宋体"/>
          <w:b/>
          <w:sz w:val="24"/>
          <w:szCs w:val="24"/>
          <w:lang w:val="en-US" w:eastAsia="zh-CN"/>
        </w:rPr>
      </w:pPr>
    </w:p>
    <w:p w14:paraId="5E171A35">
      <w:pPr>
        <w:spacing w:line="360" w:lineRule="auto"/>
        <w:jc w:val="both"/>
        <w:rPr>
          <w:rFonts w:hint="eastAsia" w:ascii="宋体" w:hAnsi="宋体" w:eastAsia="宋体" w:cs="宋体"/>
          <w:b/>
          <w:sz w:val="24"/>
          <w:szCs w:val="24"/>
          <w:lang w:val="en-US" w:eastAsia="zh-CN"/>
        </w:rPr>
      </w:pPr>
    </w:p>
    <w:p w14:paraId="0529BE13">
      <w:pPr>
        <w:spacing w:line="360" w:lineRule="auto"/>
        <w:jc w:val="both"/>
        <w:rPr>
          <w:rFonts w:hint="eastAsia" w:ascii="宋体" w:hAnsi="宋体" w:eastAsia="宋体" w:cs="宋体"/>
          <w:b/>
          <w:sz w:val="24"/>
          <w:szCs w:val="24"/>
          <w:lang w:val="en-US" w:eastAsia="zh-CN"/>
        </w:rPr>
      </w:pPr>
    </w:p>
    <w:p w14:paraId="3EC64DFC">
      <w:pPr>
        <w:spacing w:line="360" w:lineRule="auto"/>
        <w:jc w:val="both"/>
        <w:rPr>
          <w:rFonts w:hint="eastAsia" w:ascii="宋体" w:hAnsi="宋体" w:eastAsia="宋体" w:cs="宋体"/>
          <w:b/>
          <w:sz w:val="24"/>
          <w:szCs w:val="24"/>
          <w:lang w:val="en-US" w:eastAsia="zh-CN"/>
        </w:rPr>
      </w:pPr>
    </w:p>
    <w:p w14:paraId="055FFBCB">
      <w:pPr>
        <w:spacing w:line="360" w:lineRule="auto"/>
        <w:jc w:val="both"/>
        <w:rPr>
          <w:rFonts w:hint="eastAsia" w:ascii="宋体" w:hAnsi="宋体" w:eastAsia="宋体" w:cs="宋体"/>
          <w:b/>
          <w:sz w:val="24"/>
          <w:szCs w:val="24"/>
          <w:lang w:val="en-US" w:eastAsia="zh-CN"/>
        </w:rPr>
      </w:pPr>
    </w:p>
    <w:p w14:paraId="25A2C264">
      <w:pPr>
        <w:spacing w:line="360" w:lineRule="auto"/>
        <w:jc w:val="both"/>
        <w:rPr>
          <w:rFonts w:hint="eastAsia" w:ascii="宋体" w:hAnsi="宋体" w:eastAsia="宋体" w:cs="宋体"/>
          <w:b/>
          <w:sz w:val="24"/>
          <w:szCs w:val="24"/>
          <w:lang w:val="en-US" w:eastAsia="zh-CN"/>
        </w:rPr>
      </w:pPr>
    </w:p>
    <w:p w14:paraId="465884CC">
      <w:pPr>
        <w:spacing w:line="360" w:lineRule="auto"/>
        <w:jc w:val="both"/>
        <w:rPr>
          <w:rFonts w:hint="eastAsia" w:ascii="宋体" w:hAnsi="宋体" w:eastAsia="宋体" w:cs="宋体"/>
          <w:b/>
          <w:sz w:val="24"/>
          <w:szCs w:val="24"/>
          <w:lang w:val="en-US" w:eastAsia="zh-CN"/>
        </w:rPr>
      </w:pPr>
    </w:p>
    <w:p w14:paraId="3285EC60">
      <w:pPr>
        <w:spacing w:line="360" w:lineRule="auto"/>
        <w:jc w:val="both"/>
        <w:rPr>
          <w:rFonts w:hint="eastAsia" w:ascii="宋体" w:hAnsi="宋体" w:eastAsia="宋体" w:cs="宋体"/>
          <w:b/>
          <w:sz w:val="24"/>
          <w:szCs w:val="24"/>
          <w:lang w:val="en-US" w:eastAsia="zh-CN"/>
        </w:rPr>
      </w:pPr>
    </w:p>
    <w:p w14:paraId="0E9B1A5D">
      <w:pPr>
        <w:spacing w:line="360" w:lineRule="auto"/>
        <w:jc w:val="both"/>
        <w:rPr>
          <w:rFonts w:hint="eastAsia" w:ascii="宋体" w:hAnsi="宋体" w:eastAsia="宋体" w:cs="宋体"/>
          <w:b/>
          <w:sz w:val="24"/>
          <w:szCs w:val="24"/>
          <w:lang w:val="en-US" w:eastAsia="zh-CN"/>
        </w:rPr>
      </w:pPr>
    </w:p>
    <w:p w14:paraId="043AD30C">
      <w:pPr>
        <w:spacing w:line="360" w:lineRule="auto"/>
        <w:jc w:val="both"/>
        <w:rPr>
          <w:rFonts w:hint="eastAsia" w:ascii="宋体" w:hAnsi="宋体" w:eastAsia="宋体" w:cs="宋体"/>
          <w:b/>
          <w:sz w:val="24"/>
          <w:szCs w:val="24"/>
          <w:lang w:val="en-US" w:eastAsia="zh-CN"/>
        </w:rPr>
      </w:pPr>
    </w:p>
    <w:p w14:paraId="039AFD54">
      <w:pPr>
        <w:spacing w:line="360" w:lineRule="auto"/>
        <w:jc w:val="both"/>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二、包埋盒打号机技术参数</w:t>
      </w:r>
    </w:p>
    <w:p w14:paraId="3292B5C2">
      <w:pPr>
        <w:spacing w:line="500" w:lineRule="exact"/>
        <w:rPr>
          <w:rFonts w:hint="eastAsia"/>
          <w:sz w:val="24"/>
        </w:rPr>
      </w:pPr>
      <w:r>
        <w:rPr>
          <w:rFonts w:hint="eastAsia"/>
          <w:sz w:val="24"/>
        </w:rPr>
        <w:t>1、激光直接扫描打印，无需色带或油墨等任何标识用耗材。</w:t>
      </w:r>
    </w:p>
    <w:p w14:paraId="0038064A">
      <w:pPr>
        <w:spacing w:line="500" w:lineRule="exact"/>
        <w:rPr>
          <w:rFonts w:hint="eastAsia"/>
          <w:sz w:val="24"/>
        </w:rPr>
      </w:pPr>
      <w:r>
        <w:rPr>
          <w:rFonts w:hint="eastAsia"/>
          <w:sz w:val="24"/>
        </w:rPr>
        <w:t>2、无需预热，开机即可用。</w:t>
      </w:r>
    </w:p>
    <w:p w14:paraId="66CED80B">
      <w:pPr>
        <w:spacing w:line="500" w:lineRule="exact"/>
        <w:rPr>
          <w:rFonts w:hint="eastAsia"/>
          <w:sz w:val="24"/>
        </w:rPr>
      </w:pPr>
      <w:r>
        <w:rPr>
          <w:rFonts w:hint="eastAsia"/>
          <w:sz w:val="24"/>
        </w:rPr>
        <w:t>3、无需光照烘干，即打即用。</w:t>
      </w:r>
    </w:p>
    <w:p w14:paraId="5A6B877F">
      <w:pPr>
        <w:spacing w:line="500" w:lineRule="exact"/>
        <w:rPr>
          <w:rFonts w:hint="eastAsia"/>
          <w:sz w:val="24"/>
        </w:rPr>
      </w:pPr>
      <w:r>
        <w:rPr>
          <w:rFonts w:hint="eastAsia"/>
          <w:sz w:val="24"/>
          <w:lang w:val="en-US" w:eastAsia="zh-CN"/>
        </w:rPr>
        <w:t>4</w:t>
      </w:r>
      <w:r>
        <w:rPr>
          <w:rFonts w:hint="eastAsia"/>
          <w:sz w:val="24"/>
        </w:rPr>
        <w:t>、打号软件与主流电脑操作系统兼容，全中文界面，上手即会。根据需要，可提供多种打号模版，进行个性化设置，并具无限扩展功能，满足各种需求。</w:t>
      </w:r>
    </w:p>
    <w:p w14:paraId="56CE7D24">
      <w:pPr>
        <w:spacing w:line="500" w:lineRule="exact"/>
        <w:rPr>
          <w:rFonts w:hint="eastAsia"/>
          <w:sz w:val="24"/>
        </w:rPr>
      </w:pPr>
      <w:r>
        <w:rPr>
          <w:rFonts w:hint="eastAsia"/>
          <w:sz w:val="24"/>
          <w:lang w:val="en-US" w:eastAsia="zh-CN"/>
        </w:rPr>
        <w:t>5</w:t>
      </w:r>
      <w:r>
        <w:rPr>
          <w:rFonts w:hint="eastAsia"/>
          <w:sz w:val="24"/>
        </w:rPr>
        <w:t>、打号字迹清晰精致，可耐酒精或二甲苯等溶剂长时间浸泡而永不褪色，并可耐刀片直接刮擦而不磨损。</w:t>
      </w:r>
    </w:p>
    <w:p w14:paraId="5FEAED2C">
      <w:pPr>
        <w:spacing w:line="500" w:lineRule="exact"/>
        <w:rPr>
          <w:rFonts w:hint="eastAsia"/>
          <w:sz w:val="24"/>
        </w:rPr>
      </w:pPr>
      <w:r>
        <w:rPr>
          <w:rFonts w:hint="eastAsia"/>
          <w:sz w:val="24"/>
          <w:lang w:val="en-US" w:eastAsia="zh-CN"/>
        </w:rPr>
        <w:t>6</w:t>
      </w:r>
      <w:r>
        <w:rPr>
          <w:rFonts w:hint="eastAsia"/>
          <w:sz w:val="24"/>
        </w:rPr>
        <w:t>、可打印各种字体、符号或二维码，能与现行的</w:t>
      </w:r>
      <w:r>
        <w:rPr>
          <w:rFonts w:hint="eastAsia" w:ascii="宋体" w:hAnsi="宋体"/>
          <w:color w:val="000000"/>
          <w:sz w:val="24"/>
        </w:rPr>
        <w:t>LIS或HIS兼容，并快速设立自动打印</w:t>
      </w:r>
      <w:r>
        <w:rPr>
          <w:rFonts w:hint="eastAsia"/>
          <w:sz w:val="24"/>
        </w:rPr>
        <w:t>。</w:t>
      </w:r>
    </w:p>
    <w:p w14:paraId="4E641CFA">
      <w:pPr>
        <w:spacing w:line="500" w:lineRule="exact"/>
        <w:rPr>
          <w:rFonts w:hint="eastAsia"/>
          <w:sz w:val="24"/>
        </w:rPr>
      </w:pPr>
      <w:r>
        <w:rPr>
          <w:rFonts w:hint="eastAsia"/>
          <w:sz w:val="24"/>
          <w:lang w:val="en-US" w:eastAsia="zh-CN"/>
        </w:rPr>
        <w:t>7</w:t>
      </w:r>
      <w:r>
        <w:rPr>
          <w:rFonts w:hint="eastAsia"/>
          <w:sz w:val="24"/>
        </w:rPr>
        <w:t>、打号软件中病理号</w:t>
      </w:r>
      <w:r>
        <w:rPr>
          <w:rFonts w:hint="eastAsia"/>
          <w:sz w:val="24"/>
          <w:lang w:eastAsia="zh-CN"/>
        </w:rPr>
        <w:t>字段和病理小号字段均为</w:t>
      </w:r>
      <w:r>
        <w:rPr>
          <w:rFonts w:hint="eastAsia"/>
          <w:sz w:val="24"/>
        </w:rPr>
        <w:t>双序号</w:t>
      </w:r>
      <w:r>
        <w:rPr>
          <w:rFonts w:hint="eastAsia"/>
          <w:sz w:val="24"/>
          <w:lang w:eastAsia="zh-CN"/>
        </w:rPr>
        <w:t>框和</w:t>
      </w:r>
      <w:r>
        <w:rPr>
          <w:rFonts w:hint="eastAsia"/>
          <w:sz w:val="24"/>
        </w:rPr>
        <w:t>数量</w:t>
      </w:r>
      <w:r>
        <w:rPr>
          <w:rFonts w:hint="eastAsia"/>
          <w:sz w:val="24"/>
          <w:lang w:eastAsia="zh-CN"/>
        </w:rPr>
        <w:t>框同时显示，任意选用</w:t>
      </w:r>
      <w:r>
        <w:rPr>
          <w:rFonts w:hint="eastAsia"/>
          <w:sz w:val="24"/>
        </w:rPr>
        <w:t>。</w:t>
      </w:r>
    </w:p>
    <w:p w14:paraId="6DC9DF2B">
      <w:pPr>
        <w:spacing w:line="500" w:lineRule="exact"/>
        <w:rPr>
          <w:rFonts w:hint="eastAsia"/>
          <w:sz w:val="24"/>
        </w:rPr>
      </w:pPr>
      <w:r>
        <w:rPr>
          <w:rFonts w:hint="eastAsia"/>
          <w:sz w:val="24"/>
          <w:lang w:val="en-US" w:eastAsia="zh-CN"/>
        </w:rPr>
        <w:t>8</w:t>
      </w:r>
      <w:r>
        <w:rPr>
          <w:rFonts w:hint="eastAsia"/>
          <w:sz w:val="24"/>
        </w:rPr>
        <w:t>、加料槽采用前后往返式换槽方式。</w:t>
      </w:r>
    </w:p>
    <w:p w14:paraId="09295CD8">
      <w:pPr>
        <w:spacing w:line="500" w:lineRule="exact"/>
        <w:rPr>
          <w:rFonts w:hint="eastAsia"/>
          <w:sz w:val="24"/>
        </w:rPr>
      </w:pPr>
      <w:r>
        <w:rPr>
          <w:rFonts w:hint="eastAsia"/>
          <w:sz w:val="24"/>
          <w:lang w:val="en-US" w:eastAsia="zh-CN"/>
        </w:rPr>
        <w:t>9</w:t>
      </w:r>
      <w:r>
        <w:rPr>
          <w:rFonts w:hint="eastAsia"/>
          <w:sz w:val="24"/>
        </w:rPr>
        <w:t>、无料自动换槽或手工换槽任选。</w:t>
      </w:r>
    </w:p>
    <w:p w14:paraId="13E2E316">
      <w:pPr>
        <w:spacing w:line="500" w:lineRule="exact"/>
        <w:rPr>
          <w:rFonts w:hint="eastAsia"/>
          <w:sz w:val="24"/>
        </w:rPr>
      </w:pPr>
      <w:r>
        <w:rPr>
          <w:rFonts w:hint="eastAsia" w:eastAsia="宋体"/>
          <w:sz w:val="24"/>
          <w:lang w:val="en-US" w:eastAsia="zh-CN"/>
        </w:rPr>
        <w:t>1</w:t>
      </w:r>
      <w:r>
        <w:rPr>
          <w:rFonts w:hint="eastAsia"/>
          <w:sz w:val="24"/>
          <w:lang w:val="en-US" w:eastAsia="zh-CN"/>
        </w:rPr>
        <w:t>0</w:t>
      </w:r>
      <w:r>
        <w:rPr>
          <w:rFonts w:hint="eastAsia"/>
          <w:sz w:val="24"/>
        </w:rPr>
        <w:t>、进料与出料动作由一个推杆顺次完成，结构稳定可靠。</w:t>
      </w:r>
    </w:p>
    <w:p w14:paraId="5436CAAF">
      <w:pPr>
        <w:spacing w:line="500" w:lineRule="exact"/>
        <w:rPr>
          <w:rFonts w:hint="eastAsia"/>
          <w:sz w:val="24"/>
        </w:rPr>
      </w:pPr>
      <w:r>
        <w:rPr>
          <w:rFonts w:hint="eastAsia" w:eastAsia="宋体"/>
          <w:sz w:val="24"/>
          <w:lang w:val="en-US" w:eastAsia="zh-CN"/>
        </w:rPr>
        <w:t>1</w:t>
      </w:r>
      <w:r>
        <w:rPr>
          <w:rFonts w:hint="eastAsia"/>
          <w:sz w:val="24"/>
          <w:lang w:val="en-US" w:eastAsia="zh-CN"/>
        </w:rPr>
        <w:t>1</w:t>
      </w:r>
      <w:r>
        <w:rPr>
          <w:rFonts w:hint="eastAsia"/>
          <w:sz w:val="24"/>
        </w:rPr>
        <w:t>、包埋盒在塑料预装长筒中呈倾斜状叠放，便于装筒和走料。</w:t>
      </w:r>
    </w:p>
    <w:p w14:paraId="530A4EDB">
      <w:pPr>
        <w:spacing w:line="500" w:lineRule="exact"/>
        <w:rPr>
          <w:sz w:val="24"/>
        </w:rPr>
      </w:pPr>
      <w:r>
        <w:rPr>
          <w:rFonts w:hint="eastAsia"/>
          <w:sz w:val="24"/>
        </w:rPr>
        <w:t>1</w:t>
      </w:r>
      <w:r>
        <w:rPr>
          <w:rFonts w:hint="eastAsia"/>
          <w:sz w:val="24"/>
          <w:lang w:val="en-US" w:eastAsia="zh-CN"/>
        </w:rPr>
        <w:t>2</w:t>
      </w:r>
      <w:r>
        <w:rPr>
          <w:rFonts w:hint="eastAsia"/>
          <w:sz w:val="24"/>
        </w:rPr>
        <w:t>、打印后的包埋盒出料方向左右任选。</w:t>
      </w:r>
    </w:p>
    <w:p w14:paraId="1F4FCDC0">
      <w:pPr>
        <w:spacing w:line="500" w:lineRule="exact"/>
        <w:rPr>
          <w:rFonts w:hint="eastAsia" w:ascii="宋体" w:hAnsi="宋体"/>
          <w:color w:val="000000"/>
          <w:sz w:val="24"/>
        </w:rPr>
      </w:pPr>
      <w:r>
        <w:rPr>
          <w:rFonts w:hint="eastAsia"/>
          <w:sz w:val="24"/>
        </w:rPr>
        <w:t>1</w:t>
      </w:r>
      <w:r>
        <w:rPr>
          <w:rFonts w:hint="eastAsia"/>
          <w:sz w:val="24"/>
          <w:lang w:val="en-US" w:eastAsia="zh-CN"/>
        </w:rPr>
        <w:t>3</w:t>
      </w:r>
      <w:r>
        <w:rPr>
          <w:rFonts w:hint="eastAsia"/>
          <w:sz w:val="24"/>
        </w:rPr>
        <w:t>、检查视窗非透明设计，避免激光外漏对眼睛造成伤害。</w:t>
      </w:r>
    </w:p>
    <w:p w14:paraId="27A97006">
      <w:pPr>
        <w:spacing w:line="500" w:lineRule="exact"/>
        <w:rPr>
          <w:rFonts w:hint="eastAsia"/>
          <w:sz w:val="24"/>
        </w:rPr>
      </w:pPr>
      <w:r>
        <w:rPr>
          <w:rFonts w:hint="eastAsia"/>
          <w:sz w:val="24"/>
        </w:rPr>
        <w:t>1</w:t>
      </w:r>
      <w:r>
        <w:rPr>
          <w:rFonts w:hint="eastAsia"/>
          <w:sz w:val="24"/>
          <w:lang w:val="en-US" w:eastAsia="zh-CN"/>
        </w:rPr>
        <w:t>4</w:t>
      </w:r>
      <w:r>
        <w:rPr>
          <w:rFonts w:hint="eastAsia"/>
          <w:sz w:val="24"/>
        </w:rPr>
        <w:t>、收集槽满时具有自动暂停打印功能，避免包埋盒滑落错乱。</w:t>
      </w:r>
    </w:p>
    <w:p w14:paraId="3A871685">
      <w:pPr>
        <w:spacing w:line="500" w:lineRule="exact"/>
        <w:rPr>
          <w:rFonts w:hint="eastAsia"/>
          <w:sz w:val="24"/>
        </w:rPr>
      </w:pPr>
      <w:r>
        <w:rPr>
          <w:rFonts w:hint="eastAsia" w:eastAsia="宋体"/>
          <w:sz w:val="24"/>
          <w:lang w:val="en-US" w:eastAsia="zh-CN"/>
        </w:rPr>
        <w:t>1</w:t>
      </w:r>
      <w:r>
        <w:rPr>
          <w:rFonts w:hint="eastAsia"/>
          <w:sz w:val="24"/>
          <w:lang w:val="en-US" w:eastAsia="zh-CN"/>
        </w:rPr>
        <w:t>5</w:t>
      </w:r>
      <w:r>
        <w:rPr>
          <w:rFonts w:hint="eastAsia"/>
          <w:sz w:val="24"/>
        </w:rPr>
        <w:t>、一体化设计，无分体电源或其它附件，整机占位面积</w:t>
      </w:r>
      <w:r>
        <w:rPr>
          <w:rFonts w:hint="eastAsia" w:ascii="宋体" w:hAnsi="宋体"/>
          <w:sz w:val="24"/>
        </w:rPr>
        <w:t>≤</w:t>
      </w:r>
      <w:r>
        <w:rPr>
          <w:rFonts w:hint="eastAsia"/>
          <w:sz w:val="24"/>
        </w:rPr>
        <w:t>26CM</w:t>
      </w:r>
      <w:r>
        <w:rPr>
          <w:rFonts w:hint="eastAsia" w:ascii="宋体" w:hAnsi="宋体"/>
          <w:sz w:val="24"/>
        </w:rPr>
        <w:t>×</w:t>
      </w:r>
      <w:r>
        <w:rPr>
          <w:rFonts w:hint="eastAsia"/>
          <w:sz w:val="24"/>
        </w:rPr>
        <w:t>33CM，重量</w:t>
      </w:r>
      <w:r>
        <w:rPr>
          <w:rFonts w:hint="eastAsia" w:ascii="宋体" w:hAnsi="宋体"/>
          <w:sz w:val="24"/>
        </w:rPr>
        <w:t>≤</w:t>
      </w:r>
      <w:r>
        <w:rPr>
          <w:rFonts w:hint="eastAsia"/>
          <w:sz w:val="24"/>
        </w:rPr>
        <w:t>15KG，适合放置于取材台旁，实现即打即用。</w:t>
      </w:r>
    </w:p>
    <w:p w14:paraId="7FB70969">
      <w:pPr>
        <w:spacing w:line="500" w:lineRule="exact"/>
        <w:rPr>
          <w:rFonts w:hint="eastAsia" w:ascii="宋体" w:hAnsi="宋体"/>
          <w:color w:val="000000"/>
          <w:sz w:val="24"/>
        </w:rPr>
      </w:pPr>
      <w:r>
        <w:rPr>
          <w:rFonts w:hint="eastAsia" w:ascii="宋体" w:hAnsi="宋体" w:eastAsia="宋体" w:cs="宋体"/>
          <w:sz w:val="24"/>
          <w:lang w:val="en-US" w:eastAsia="zh-CN"/>
        </w:rPr>
        <w:t>1</w:t>
      </w:r>
      <w:r>
        <w:rPr>
          <w:rFonts w:hint="eastAsia"/>
          <w:sz w:val="24"/>
          <w:lang w:val="en-US" w:eastAsia="zh-CN"/>
        </w:rPr>
        <w:t>6</w:t>
      </w:r>
      <w:r>
        <w:rPr>
          <w:rFonts w:hint="eastAsia"/>
          <w:sz w:val="24"/>
        </w:rPr>
        <w:t>、机箱外壳为高级</w:t>
      </w:r>
      <w:r>
        <w:rPr>
          <w:sz w:val="24"/>
        </w:rPr>
        <w:t>ABS</w:t>
      </w:r>
      <w:r>
        <w:rPr>
          <w:rFonts w:hint="eastAsia"/>
          <w:sz w:val="24"/>
        </w:rPr>
        <w:t>塑料材质，能有效防止漏电意外。</w:t>
      </w:r>
    </w:p>
    <w:p w14:paraId="20B59A93">
      <w:pPr>
        <w:spacing w:line="520" w:lineRule="exact"/>
        <w:rPr>
          <w:rFonts w:hint="eastAsia"/>
          <w:sz w:val="24"/>
        </w:rPr>
      </w:pPr>
      <w:r>
        <w:rPr>
          <w:rFonts w:hint="eastAsia" w:ascii="宋体" w:hAnsi="宋体" w:eastAsia="宋体" w:cs="宋体"/>
          <w:sz w:val="24"/>
          <w:lang w:val="en-US" w:eastAsia="zh-CN"/>
        </w:rPr>
        <w:t>1</w:t>
      </w:r>
      <w:r>
        <w:rPr>
          <w:rFonts w:hint="eastAsia"/>
          <w:sz w:val="24"/>
          <w:lang w:val="en-US" w:eastAsia="zh-CN"/>
        </w:rPr>
        <w:t>7</w:t>
      </w:r>
      <w:r>
        <w:rPr>
          <w:rFonts w:hint="eastAsia"/>
          <w:sz w:val="24"/>
        </w:rPr>
        <w:t>、设备与电脑通过千兆网口连接（非USB接口），要求信号传输快速稳定。</w:t>
      </w:r>
    </w:p>
    <w:p w14:paraId="4F56582C">
      <w:pPr>
        <w:spacing w:line="520" w:lineRule="exact"/>
        <w:rPr>
          <w:rFonts w:hint="eastAsia"/>
          <w:sz w:val="24"/>
          <w:lang w:val="en-US" w:eastAsia="zh-CN"/>
        </w:rPr>
      </w:pPr>
      <w:r>
        <w:rPr>
          <w:rFonts w:hint="eastAsia"/>
          <w:sz w:val="24"/>
          <w:lang w:val="en-US" w:eastAsia="zh-CN"/>
        </w:rPr>
        <w:t>18、包埋盒打印同时能生成相应的文本文件，通过科室局域网实现玻片信息的同步自动打印，而无需对接病理系统。</w:t>
      </w:r>
    </w:p>
    <w:p w14:paraId="701C4272">
      <w:pPr>
        <w:spacing w:line="520" w:lineRule="exact"/>
        <w:rPr>
          <w:rFonts w:hint="default"/>
          <w:sz w:val="24"/>
          <w:lang w:val="en-US" w:eastAsia="zh-CN"/>
        </w:rPr>
      </w:pPr>
      <w:r>
        <w:rPr>
          <w:rFonts w:hint="eastAsia"/>
          <w:sz w:val="24"/>
          <w:lang w:val="en-US" w:eastAsia="zh-CN"/>
        </w:rPr>
        <w:t>19、一体式工控电脑，触摸屏</w:t>
      </w:r>
      <w:r>
        <w:rPr>
          <w:rFonts w:hint="eastAsia" w:ascii="宋体" w:hAnsi="宋体" w:eastAsia="宋体" w:cs="宋体"/>
          <w:sz w:val="24"/>
          <w:lang w:val="en-US" w:eastAsia="zh-CN"/>
        </w:rPr>
        <w:t>≥</w:t>
      </w:r>
      <w:r>
        <w:rPr>
          <w:rFonts w:hint="eastAsia"/>
          <w:sz w:val="24"/>
          <w:lang w:val="en-US" w:eastAsia="zh-CN"/>
        </w:rPr>
        <w:t>10.1英寸，硬盘容量</w:t>
      </w:r>
      <w:r>
        <w:rPr>
          <w:rFonts w:hint="eastAsia" w:ascii="宋体" w:hAnsi="宋体" w:eastAsia="宋体" w:cs="宋体"/>
          <w:sz w:val="24"/>
          <w:lang w:val="en-US" w:eastAsia="zh-CN"/>
        </w:rPr>
        <w:t>≥</w:t>
      </w:r>
      <w:r>
        <w:rPr>
          <w:rFonts w:hint="eastAsia"/>
          <w:sz w:val="24"/>
          <w:lang w:val="en-US" w:eastAsia="zh-CN"/>
        </w:rPr>
        <w:t>64GB，内存容量</w:t>
      </w:r>
      <w:r>
        <w:rPr>
          <w:rFonts w:hint="eastAsia" w:ascii="宋体" w:hAnsi="宋体" w:eastAsia="宋体" w:cs="宋体"/>
          <w:sz w:val="24"/>
          <w:lang w:val="en-US" w:eastAsia="zh-CN"/>
        </w:rPr>
        <w:t>≥</w:t>
      </w:r>
      <w:r>
        <w:rPr>
          <w:rFonts w:hint="eastAsia"/>
          <w:sz w:val="24"/>
          <w:lang w:val="en-US" w:eastAsia="zh-CN"/>
        </w:rPr>
        <w:t>4GB。</w:t>
      </w:r>
    </w:p>
    <w:p w14:paraId="6BF7D489">
      <w:pPr>
        <w:spacing w:line="520" w:lineRule="exact"/>
        <w:rPr>
          <w:rFonts w:hint="eastAsia"/>
          <w:b/>
          <w:bCs/>
          <w:sz w:val="24"/>
          <w:lang w:val="en-US" w:eastAsia="zh-CN"/>
        </w:rPr>
      </w:pPr>
      <w:r>
        <w:rPr>
          <w:rFonts w:hint="eastAsia"/>
          <w:b/>
          <w:bCs/>
          <w:sz w:val="24"/>
          <w:lang w:val="en-US" w:eastAsia="zh-CN"/>
        </w:rPr>
        <w:t>20、配置要求：</w:t>
      </w:r>
    </w:p>
    <w:tbl>
      <w:tblPr>
        <w:tblStyle w:val="10"/>
        <w:tblpPr w:leftFromText="180" w:rightFromText="180" w:vertAnchor="text" w:horzAnchor="page" w:tblpX="1114" w:tblpY="268"/>
        <w:tblOverlap w:val="never"/>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903"/>
        <w:gridCol w:w="4245"/>
        <w:gridCol w:w="1635"/>
        <w:gridCol w:w="1683"/>
      </w:tblGrid>
      <w:tr w14:paraId="1C0B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42" w:hRule="atLeast"/>
        </w:trPr>
        <w:tc>
          <w:tcPr>
            <w:tcW w:w="903" w:type="dxa"/>
            <w:noWrap w:val="0"/>
            <w:vAlign w:val="center"/>
          </w:tcPr>
          <w:p w14:paraId="1C95F322">
            <w:pPr>
              <w:autoSpaceDN w:val="0"/>
              <w:jc w:val="center"/>
              <w:textAlignment w:val="center"/>
              <w:rPr>
                <w:rFonts w:ascii="宋体" w:hAnsi="宋体"/>
                <w:b/>
                <w:color w:val="000000"/>
                <w:sz w:val="24"/>
              </w:rPr>
            </w:pPr>
            <w:r>
              <w:rPr>
                <w:rFonts w:ascii="宋体" w:hAnsi="宋体"/>
                <w:b/>
                <w:color w:val="000000"/>
                <w:sz w:val="24"/>
              </w:rPr>
              <w:t>序号</w:t>
            </w:r>
          </w:p>
        </w:tc>
        <w:tc>
          <w:tcPr>
            <w:tcW w:w="4245" w:type="dxa"/>
            <w:noWrap w:val="0"/>
            <w:vAlign w:val="center"/>
          </w:tcPr>
          <w:p w14:paraId="08E23DD5">
            <w:pPr>
              <w:autoSpaceDN w:val="0"/>
              <w:jc w:val="center"/>
              <w:textAlignment w:val="center"/>
              <w:rPr>
                <w:rFonts w:ascii="宋体" w:hAnsi="宋体"/>
                <w:b/>
                <w:color w:val="000000"/>
                <w:sz w:val="24"/>
              </w:rPr>
            </w:pPr>
            <w:r>
              <w:rPr>
                <w:rFonts w:ascii="宋体" w:hAnsi="宋体"/>
                <w:b/>
                <w:color w:val="000000"/>
                <w:sz w:val="24"/>
              </w:rPr>
              <w:t>名称</w:t>
            </w:r>
          </w:p>
        </w:tc>
        <w:tc>
          <w:tcPr>
            <w:tcW w:w="1635" w:type="dxa"/>
            <w:noWrap w:val="0"/>
            <w:vAlign w:val="center"/>
          </w:tcPr>
          <w:p w14:paraId="7C1EF208">
            <w:pPr>
              <w:autoSpaceDN w:val="0"/>
              <w:jc w:val="center"/>
              <w:textAlignment w:val="center"/>
              <w:rPr>
                <w:rFonts w:ascii="宋体" w:hAnsi="宋体"/>
                <w:b/>
                <w:color w:val="000000"/>
                <w:sz w:val="24"/>
              </w:rPr>
            </w:pPr>
            <w:r>
              <w:rPr>
                <w:rFonts w:ascii="宋体" w:hAnsi="宋体"/>
                <w:b/>
                <w:color w:val="000000"/>
                <w:sz w:val="24"/>
              </w:rPr>
              <w:t>单位</w:t>
            </w:r>
          </w:p>
        </w:tc>
        <w:tc>
          <w:tcPr>
            <w:tcW w:w="1683" w:type="dxa"/>
            <w:noWrap w:val="0"/>
            <w:vAlign w:val="center"/>
          </w:tcPr>
          <w:p w14:paraId="61FFA135">
            <w:pPr>
              <w:autoSpaceDN w:val="0"/>
              <w:jc w:val="center"/>
              <w:textAlignment w:val="center"/>
              <w:rPr>
                <w:rFonts w:ascii="宋体" w:hAnsi="宋体"/>
                <w:b/>
                <w:color w:val="000000"/>
                <w:sz w:val="24"/>
              </w:rPr>
            </w:pPr>
            <w:r>
              <w:rPr>
                <w:rFonts w:ascii="宋体" w:hAnsi="宋体"/>
                <w:b/>
                <w:color w:val="000000"/>
                <w:sz w:val="24"/>
              </w:rPr>
              <w:t>数量</w:t>
            </w:r>
          </w:p>
        </w:tc>
      </w:tr>
      <w:tr w14:paraId="607A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61" w:hRule="atLeast"/>
        </w:trPr>
        <w:tc>
          <w:tcPr>
            <w:tcW w:w="903" w:type="dxa"/>
            <w:noWrap w:val="0"/>
            <w:vAlign w:val="center"/>
          </w:tcPr>
          <w:p w14:paraId="435E30B8">
            <w:pPr>
              <w:autoSpaceDN w:val="0"/>
              <w:jc w:val="center"/>
              <w:textAlignment w:val="center"/>
              <w:rPr>
                <w:rFonts w:ascii="宋体" w:hAnsi="宋体"/>
                <w:color w:val="000000"/>
                <w:sz w:val="24"/>
              </w:rPr>
            </w:pPr>
            <w:r>
              <w:rPr>
                <w:rFonts w:ascii="宋体" w:hAnsi="宋体"/>
                <w:color w:val="000000"/>
                <w:sz w:val="24"/>
              </w:rPr>
              <w:t>1</w:t>
            </w:r>
          </w:p>
        </w:tc>
        <w:tc>
          <w:tcPr>
            <w:tcW w:w="4245" w:type="dxa"/>
            <w:noWrap w:val="0"/>
            <w:vAlign w:val="center"/>
          </w:tcPr>
          <w:p w14:paraId="7D1888FE">
            <w:pPr>
              <w:autoSpaceDN w:val="0"/>
              <w:jc w:val="center"/>
              <w:textAlignment w:val="center"/>
              <w:rPr>
                <w:rFonts w:ascii="宋体" w:hAnsi="宋体"/>
                <w:color w:val="000000"/>
                <w:sz w:val="24"/>
              </w:rPr>
            </w:pPr>
            <w:r>
              <w:rPr>
                <w:rFonts w:hint="eastAsia" w:ascii="宋体" w:hAnsi="宋体"/>
                <w:color w:val="000000"/>
                <w:sz w:val="24"/>
              </w:rPr>
              <w:t>包埋盒</w:t>
            </w:r>
            <w:r>
              <w:rPr>
                <w:rFonts w:ascii="宋体" w:hAnsi="宋体"/>
                <w:color w:val="000000"/>
                <w:sz w:val="24"/>
              </w:rPr>
              <w:t>打号机主机</w:t>
            </w:r>
          </w:p>
        </w:tc>
        <w:tc>
          <w:tcPr>
            <w:tcW w:w="1635" w:type="dxa"/>
            <w:noWrap w:val="0"/>
            <w:vAlign w:val="center"/>
          </w:tcPr>
          <w:p w14:paraId="59285F7B">
            <w:pPr>
              <w:autoSpaceDN w:val="0"/>
              <w:jc w:val="center"/>
              <w:textAlignment w:val="center"/>
              <w:rPr>
                <w:rFonts w:ascii="宋体" w:hAnsi="宋体"/>
                <w:color w:val="000000"/>
                <w:sz w:val="24"/>
              </w:rPr>
            </w:pPr>
            <w:r>
              <w:rPr>
                <w:rFonts w:ascii="宋体" w:hAnsi="宋体"/>
                <w:color w:val="000000"/>
                <w:sz w:val="24"/>
              </w:rPr>
              <w:t>台</w:t>
            </w:r>
          </w:p>
        </w:tc>
        <w:tc>
          <w:tcPr>
            <w:tcW w:w="1683" w:type="dxa"/>
            <w:noWrap w:val="0"/>
            <w:vAlign w:val="center"/>
          </w:tcPr>
          <w:p w14:paraId="34EBE2A7">
            <w:pPr>
              <w:autoSpaceDN w:val="0"/>
              <w:jc w:val="center"/>
              <w:textAlignment w:val="center"/>
              <w:rPr>
                <w:rFonts w:ascii="宋体" w:hAnsi="宋体"/>
                <w:color w:val="000000"/>
                <w:sz w:val="24"/>
              </w:rPr>
            </w:pPr>
            <w:r>
              <w:rPr>
                <w:rFonts w:ascii="宋体" w:hAnsi="宋体"/>
                <w:color w:val="000000"/>
                <w:sz w:val="24"/>
              </w:rPr>
              <w:t>1</w:t>
            </w:r>
          </w:p>
        </w:tc>
      </w:tr>
      <w:tr w14:paraId="0E53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52" w:hRule="atLeast"/>
        </w:trPr>
        <w:tc>
          <w:tcPr>
            <w:tcW w:w="903" w:type="dxa"/>
            <w:noWrap w:val="0"/>
            <w:vAlign w:val="center"/>
          </w:tcPr>
          <w:p w14:paraId="2C2291B3">
            <w:pPr>
              <w:autoSpaceDN w:val="0"/>
              <w:jc w:val="center"/>
              <w:textAlignment w:val="center"/>
              <w:rPr>
                <w:rFonts w:ascii="宋体" w:hAnsi="宋体"/>
                <w:color w:val="000000"/>
                <w:sz w:val="24"/>
              </w:rPr>
            </w:pPr>
            <w:r>
              <w:rPr>
                <w:rFonts w:ascii="宋体" w:hAnsi="宋体"/>
                <w:color w:val="000000"/>
                <w:sz w:val="24"/>
              </w:rPr>
              <w:t>2</w:t>
            </w:r>
          </w:p>
        </w:tc>
        <w:tc>
          <w:tcPr>
            <w:tcW w:w="4245" w:type="dxa"/>
            <w:noWrap w:val="0"/>
            <w:vAlign w:val="center"/>
          </w:tcPr>
          <w:p w14:paraId="794E566C">
            <w:pPr>
              <w:autoSpaceDN w:val="0"/>
              <w:jc w:val="center"/>
              <w:textAlignment w:val="center"/>
              <w:rPr>
                <w:rFonts w:ascii="宋体" w:hAnsi="宋体"/>
                <w:color w:val="000000"/>
                <w:sz w:val="24"/>
              </w:rPr>
            </w:pPr>
            <w:r>
              <w:rPr>
                <w:rFonts w:ascii="宋体" w:hAnsi="宋体"/>
                <w:color w:val="000000"/>
                <w:sz w:val="24"/>
              </w:rPr>
              <w:t>病理激光打号软件</w:t>
            </w:r>
          </w:p>
        </w:tc>
        <w:tc>
          <w:tcPr>
            <w:tcW w:w="1635" w:type="dxa"/>
            <w:noWrap w:val="0"/>
            <w:vAlign w:val="center"/>
          </w:tcPr>
          <w:p w14:paraId="54CEAEB0">
            <w:pPr>
              <w:autoSpaceDN w:val="0"/>
              <w:jc w:val="center"/>
              <w:textAlignment w:val="center"/>
              <w:rPr>
                <w:rFonts w:ascii="宋体" w:hAnsi="宋体"/>
                <w:color w:val="000000"/>
                <w:sz w:val="24"/>
              </w:rPr>
            </w:pPr>
            <w:r>
              <w:rPr>
                <w:rFonts w:ascii="宋体" w:hAnsi="宋体"/>
                <w:color w:val="000000"/>
                <w:sz w:val="24"/>
              </w:rPr>
              <w:t>套</w:t>
            </w:r>
          </w:p>
        </w:tc>
        <w:tc>
          <w:tcPr>
            <w:tcW w:w="1683" w:type="dxa"/>
            <w:noWrap w:val="0"/>
            <w:vAlign w:val="center"/>
          </w:tcPr>
          <w:p w14:paraId="086F3BB9">
            <w:pPr>
              <w:autoSpaceDN w:val="0"/>
              <w:jc w:val="center"/>
              <w:textAlignment w:val="center"/>
              <w:rPr>
                <w:rFonts w:ascii="宋体" w:hAnsi="宋体"/>
                <w:color w:val="000000"/>
                <w:sz w:val="24"/>
              </w:rPr>
            </w:pPr>
            <w:r>
              <w:rPr>
                <w:rFonts w:ascii="宋体" w:hAnsi="宋体"/>
                <w:color w:val="000000"/>
                <w:sz w:val="24"/>
              </w:rPr>
              <w:t>1</w:t>
            </w:r>
          </w:p>
        </w:tc>
      </w:tr>
      <w:tr w14:paraId="3506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73" w:hRule="atLeast"/>
        </w:trPr>
        <w:tc>
          <w:tcPr>
            <w:tcW w:w="903" w:type="dxa"/>
            <w:noWrap w:val="0"/>
            <w:vAlign w:val="center"/>
          </w:tcPr>
          <w:p w14:paraId="77620F5B">
            <w:pPr>
              <w:autoSpaceDN w:val="0"/>
              <w:jc w:val="center"/>
              <w:textAlignment w:val="center"/>
              <w:rPr>
                <w:rFonts w:ascii="宋体" w:hAnsi="宋体"/>
                <w:color w:val="000000"/>
                <w:sz w:val="24"/>
              </w:rPr>
            </w:pPr>
            <w:r>
              <w:rPr>
                <w:rFonts w:ascii="宋体" w:hAnsi="宋体"/>
                <w:color w:val="000000"/>
                <w:sz w:val="24"/>
              </w:rPr>
              <w:t>3</w:t>
            </w:r>
          </w:p>
        </w:tc>
        <w:tc>
          <w:tcPr>
            <w:tcW w:w="4245" w:type="dxa"/>
            <w:noWrap w:val="0"/>
            <w:vAlign w:val="center"/>
          </w:tcPr>
          <w:p w14:paraId="0032A342">
            <w:pPr>
              <w:autoSpaceDN w:val="0"/>
              <w:jc w:val="center"/>
              <w:textAlignment w:val="center"/>
              <w:rPr>
                <w:rFonts w:ascii="宋体" w:hAnsi="宋体"/>
                <w:color w:val="000000"/>
                <w:sz w:val="24"/>
              </w:rPr>
            </w:pPr>
            <w:r>
              <w:rPr>
                <w:rFonts w:ascii="宋体" w:hAnsi="宋体"/>
                <w:color w:val="000000"/>
                <w:sz w:val="24"/>
              </w:rPr>
              <w:t>AC电源连接线</w:t>
            </w:r>
          </w:p>
        </w:tc>
        <w:tc>
          <w:tcPr>
            <w:tcW w:w="1635" w:type="dxa"/>
            <w:noWrap w:val="0"/>
            <w:vAlign w:val="center"/>
          </w:tcPr>
          <w:p w14:paraId="1FDEC96E">
            <w:pPr>
              <w:autoSpaceDN w:val="0"/>
              <w:jc w:val="center"/>
              <w:textAlignment w:val="center"/>
              <w:rPr>
                <w:rFonts w:ascii="宋体" w:hAnsi="宋体"/>
                <w:color w:val="000000"/>
                <w:sz w:val="24"/>
              </w:rPr>
            </w:pPr>
            <w:r>
              <w:rPr>
                <w:rFonts w:ascii="宋体" w:hAnsi="宋体"/>
                <w:color w:val="000000"/>
                <w:sz w:val="24"/>
              </w:rPr>
              <w:t>根</w:t>
            </w:r>
          </w:p>
        </w:tc>
        <w:tc>
          <w:tcPr>
            <w:tcW w:w="1683" w:type="dxa"/>
            <w:noWrap w:val="0"/>
            <w:vAlign w:val="center"/>
          </w:tcPr>
          <w:p w14:paraId="40F41D9B">
            <w:pPr>
              <w:autoSpaceDN w:val="0"/>
              <w:jc w:val="center"/>
              <w:textAlignment w:val="center"/>
              <w:rPr>
                <w:rFonts w:ascii="宋体" w:hAnsi="宋体"/>
                <w:color w:val="000000"/>
                <w:sz w:val="24"/>
              </w:rPr>
            </w:pPr>
            <w:r>
              <w:rPr>
                <w:rFonts w:ascii="宋体" w:hAnsi="宋体"/>
                <w:color w:val="000000"/>
                <w:sz w:val="24"/>
              </w:rPr>
              <w:t>1</w:t>
            </w:r>
          </w:p>
        </w:tc>
      </w:tr>
      <w:tr w14:paraId="2202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37" w:hRule="atLeast"/>
        </w:trPr>
        <w:tc>
          <w:tcPr>
            <w:tcW w:w="903" w:type="dxa"/>
            <w:noWrap w:val="0"/>
            <w:vAlign w:val="center"/>
          </w:tcPr>
          <w:p w14:paraId="7FC6448D">
            <w:pPr>
              <w:autoSpaceDN w:val="0"/>
              <w:jc w:val="center"/>
              <w:textAlignment w:val="center"/>
              <w:rPr>
                <w:rFonts w:ascii="宋体" w:hAnsi="宋体"/>
                <w:color w:val="000000"/>
                <w:sz w:val="24"/>
              </w:rPr>
            </w:pPr>
            <w:r>
              <w:rPr>
                <w:rFonts w:ascii="宋体" w:hAnsi="宋体"/>
                <w:color w:val="000000"/>
                <w:sz w:val="24"/>
              </w:rPr>
              <w:t>4</w:t>
            </w:r>
          </w:p>
        </w:tc>
        <w:tc>
          <w:tcPr>
            <w:tcW w:w="4245" w:type="dxa"/>
            <w:noWrap w:val="0"/>
            <w:vAlign w:val="center"/>
          </w:tcPr>
          <w:p w14:paraId="50590A66">
            <w:pPr>
              <w:autoSpaceDN w:val="0"/>
              <w:jc w:val="center"/>
              <w:textAlignment w:val="center"/>
              <w:rPr>
                <w:rFonts w:ascii="宋体" w:hAnsi="宋体"/>
                <w:color w:val="000000"/>
                <w:sz w:val="24"/>
              </w:rPr>
            </w:pPr>
            <w:r>
              <w:rPr>
                <w:rFonts w:hint="eastAsia" w:ascii="宋体" w:hAnsi="宋体"/>
                <w:color w:val="000000"/>
                <w:sz w:val="24"/>
              </w:rPr>
              <w:t>打印</w:t>
            </w:r>
            <w:r>
              <w:rPr>
                <w:rFonts w:ascii="宋体" w:hAnsi="宋体"/>
                <w:color w:val="000000"/>
                <w:sz w:val="24"/>
              </w:rPr>
              <w:t>数据连接线</w:t>
            </w:r>
          </w:p>
        </w:tc>
        <w:tc>
          <w:tcPr>
            <w:tcW w:w="1635" w:type="dxa"/>
            <w:noWrap w:val="0"/>
            <w:vAlign w:val="center"/>
          </w:tcPr>
          <w:p w14:paraId="4B76DDD0">
            <w:pPr>
              <w:autoSpaceDN w:val="0"/>
              <w:jc w:val="center"/>
              <w:textAlignment w:val="center"/>
              <w:rPr>
                <w:rFonts w:ascii="宋体" w:hAnsi="宋体"/>
                <w:color w:val="000000"/>
                <w:sz w:val="24"/>
              </w:rPr>
            </w:pPr>
            <w:r>
              <w:rPr>
                <w:rFonts w:ascii="宋体" w:hAnsi="宋体"/>
                <w:color w:val="000000"/>
                <w:sz w:val="24"/>
              </w:rPr>
              <w:t>根</w:t>
            </w:r>
          </w:p>
        </w:tc>
        <w:tc>
          <w:tcPr>
            <w:tcW w:w="1683" w:type="dxa"/>
            <w:noWrap w:val="0"/>
            <w:vAlign w:val="center"/>
          </w:tcPr>
          <w:p w14:paraId="2EB446F1">
            <w:pPr>
              <w:autoSpaceDN w:val="0"/>
              <w:jc w:val="center"/>
              <w:textAlignment w:val="center"/>
              <w:rPr>
                <w:rFonts w:ascii="宋体" w:hAnsi="宋体"/>
                <w:color w:val="000000"/>
                <w:sz w:val="24"/>
              </w:rPr>
            </w:pPr>
            <w:r>
              <w:rPr>
                <w:rFonts w:ascii="宋体" w:hAnsi="宋体"/>
                <w:color w:val="000000"/>
                <w:sz w:val="24"/>
              </w:rPr>
              <w:t>1</w:t>
            </w:r>
          </w:p>
        </w:tc>
      </w:tr>
      <w:tr w14:paraId="1C9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71" w:hRule="atLeast"/>
        </w:trPr>
        <w:tc>
          <w:tcPr>
            <w:tcW w:w="903" w:type="dxa"/>
            <w:noWrap w:val="0"/>
            <w:vAlign w:val="center"/>
          </w:tcPr>
          <w:p w14:paraId="41BE0392">
            <w:pPr>
              <w:autoSpaceDN w:val="0"/>
              <w:jc w:val="center"/>
              <w:textAlignment w:val="center"/>
              <w:rPr>
                <w:rFonts w:ascii="宋体" w:hAnsi="宋体"/>
                <w:color w:val="000000"/>
                <w:sz w:val="24"/>
              </w:rPr>
            </w:pPr>
            <w:r>
              <w:rPr>
                <w:rFonts w:ascii="宋体" w:hAnsi="宋体"/>
                <w:color w:val="000000"/>
                <w:sz w:val="24"/>
              </w:rPr>
              <w:t>5</w:t>
            </w:r>
          </w:p>
        </w:tc>
        <w:tc>
          <w:tcPr>
            <w:tcW w:w="4245" w:type="dxa"/>
            <w:noWrap w:val="0"/>
            <w:vAlign w:val="center"/>
          </w:tcPr>
          <w:p w14:paraId="53366886">
            <w:pPr>
              <w:autoSpaceDN w:val="0"/>
              <w:jc w:val="center"/>
              <w:textAlignment w:val="center"/>
              <w:rPr>
                <w:rFonts w:ascii="宋体" w:hAnsi="宋体"/>
                <w:color w:val="000000"/>
                <w:sz w:val="24"/>
              </w:rPr>
            </w:pPr>
            <w:r>
              <w:rPr>
                <w:rFonts w:ascii="宋体" w:hAnsi="宋体"/>
                <w:color w:val="000000"/>
                <w:sz w:val="24"/>
              </w:rPr>
              <w:t>包埋盒预装管</w:t>
            </w:r>
          </w:p>
        </w:tc>
        <w:tc>
          <w:tcPr>
            <w:tcW w:w="1635" w:type="dxa"/>
            <w:noWrap w:val="0"/>
            <w:vAlign w:val="center"/>
          </w:tcPr>
          <w:p w14:paraId="16C19796">
            <w:pPr>
              <w:autoSpaceDN w:val="0"/>
              <w:jc w:val="center"/>
              <w:textAlignment w:val="center"/>
              <w:rPr>
                <w:rFonts w:hint="eastAsia" w:ascii="宋体" w:hAnsi="宋体"/>
                <w:color w:val="000000"/>
                <w:sz w:val="24"/>
              </w:rPr>
            </w:pPr>
            <w:r>
              <w:rPr>
                <w:rFonts w:hint="eastAsia" w:ascii="宋体" w:hAnsi="宋体"/>
                <w:color w:val="000000"/>
                <w:sz w:val="24"/>
              </w:rPr>
              <w:t>只</w:t>
            </w:r>
          </w:p>
        </w:tc>
        <w:tc>
          <w:tcPr>
            <w:tcW w:w="1683" w:type="dxa"/>
            <w:noWrap w:val="0"/>
            <w:vAlign w:val="center"/>
          </w:tcPr>
          <w:p w14:paraId="16631C83">
            <w:pPr>
              <w:autoSpaceDN w:val="0"/>
              <w:jc w:val="center"/>
              <w:textAlignment w:val="center"/>
              <w:rPr>
                <w:rFonts w:hint="eastAsia" w:ascii="宋体" w:hAnsi="宋体"/>
                <w:color w:val="000000"/>
                <w:sz w:val="24"/>
              </w:rPr>
            </w:pPr>
            <w:r>
              <w:rPr>
                <w:rFonts w:hint="eastAsia" w:ascii="宋体" w:hAnsi="宋体"/>
                <w:color w:val="000000"/>
                <w:sz w:val="24"/>
              </w:rPr>
              <w:t>20</w:t>
            </w:r>
          </w:p>
        </w:tc>
      </w:tr>
      <w:tr w14:paraId="4F5A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63" w:hRule="atLeast"/>
        </w:trPr>
        <w:tc>
          <w:tcPr>
            <w:tcW w:w="903" w:type="dxa"/>
            <w:noWrap w:val="0"/>
            <w:vAlign w:val="center"/>
          </w:tcPr>
          <w:p w14:paraId="4F3E4C53">
            <w:pPr>
              <w:autoSpaceDN w:val="0"/>
              <w:jc w:val="center"/>
              <w:textAlignment w:val="center"/>
              <w:rPr>
                <w:rFonts w:ascii="宋体" w:hAnsi="宋体"/>
                <w:color w:val="000000"/>
                <w:sz w:val="24"/>
              </w:rPr>
            </w:pPr>
            <w:r>
              <w:rPr>
                <w:rFonts w:ascii="宋体" w:hAnsi="宋体"/>
                <w:color w:val="000000"/>
                <w:sz w:val="24"/>
              </w:rPr>
              <w:t>6</w:t>
            </w:r>
          </w:p>
        </w:tc>
        <w:tc>
          <w:tcPr>
            <w:tcW w:w="4245" w:type="dxa"/>
            <w:noWrap w:val="0"/>
            <w:vAlign w:val="center"/>
          </w:tcPr>
          <w:p w14:paraId="24CC62A6">
            <w:pPr>
              <w:autoSpaceDN w:val="0"/>
              <w:jc w:val="center"/>
              <w:textAlignment w:val="center"/>
              <w:rPr>
                <w:rFonts w:hint="eastAsia" w:ascii="宋体" w:hAnsi="宋体"/>
                <w:color w:val="000000"/>
                <w:sz w:val="24"/>
              </w:rPr>
            </w:pPr>
            <w:r>
              <w:rPr>
                <w:rFonts w:hint="eastAsia" w:ascii="宋体" w:hAnsi="宋体"/>
                <w:color w:val="000000"/>
                <w:sz w:val="24"/>
              </w:rPr>
              <w:t>装机用包埋盒</w:t>
            </w:r>
          </w:p>
        </w:tc>
        <w:tc>
          <w:tcPr>
            <w:tcW w:w="1635" w:type="dxa"/>
            <w:noWrap w:val="0"/>
            <w:vAlign w:val="center"/>
          </w:tcPr>
          <w:p w14:paraId="44920371">
            <w:pPr>
              <w:autoSpaceDN w:val="0"/>
              <w:jc w:val="center"/>
              <w:textAlignment w:val="center"/>
              <w:rPr>
                <w:rFonts w:hint="eastAsia" w:ascii="宋体" w:hAnsi="宋体"/>
                <w:color w:val="000000"/>
                <w:sz w:val="24"/>
              </w:rPr>
            </w:pPr>
            <w:r>
              <w:rPr>
                <w:rFonts w:hint="eastAsia" w:ascii="宋体" w:hAnsi="宋体"/>
                <w:color w:val="000000"/>
                <w:sz w:val="24"/>
              </w:rPr>
              <w:t>只</w:t>
            </w:r>
          </w:p>
        </w:tc>
        <w:tc>
          <w:tcPr>
            <w:tcW w:w="1683" w:type="dxa"/>
            <w:noWrap w:val="0"/>
            <w:vAlign w:val="center"/>
          </w:tcPr>
          <w:p w14:paraId="297BD8D9">
            <w:pPr>
              <w:autoSpaceDN w:val="0"/>
              <w:jc w:val="center"/>
              <w:textAlignment w:val="center"/>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00</w:t>
            </w:r>
          </w:p>
        </w:tc>
      </w:tr>
      <w:tr w14:paraId="14F3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40" w:hRule="atLeast"/>
        </w:trPr>
        <w:tc>
          <w:tcPr>
            <w:tcW w:w="903" w:type="dxa"/>
            <w:noWrap w:val="0"/>
            <w:vAlign w:val="center"/>
          </w:tcPr>
          <w:p w14:paraId="6DA1F9A5">
            <w:pPr>
              <w:autoSpaceDN w:val="0"/>
              <w:jc w:val="center"/>
              <w:textAlignment w:val="center"/>
              <w:rPr>
                <w:rFonts w:hint="eastAsia" w:ascii="宋体" w:hAnsi="宋体"/>
                <w:color w:val="000000"/>
                <w:sz w:val="24"/>
              </w:rPr>
            </w:pPr>
            <w:r>
              <w:rPr>
                <w:rFonts w:hint="eastAsia" w:ascii="宋体" w:hAnsi="宋体"/>
                <w:color w:val="000000"/>
                <w:sz w:val="24"/>
              </w:rPr>
              <w:t>7</w:t>
            </w:r>
          </w:p>
        </w:tc>
        <w:tc>
          <w:tcPr>
            <w:tcW w:w="4245" w:type="dxa"/>
            <w:noWrap w:val="0"/>
            <w:vAlign w:val="center"/>
          </w:tcPr>
          <w:p w14:paraId="57C57A11">
            <w:pPr>
              <w:autoSpaceDN w:val="0"/>
              <w:jc w:val="center"/>
              <w:textAlignment w:val="center"/>
              <w:rPr>
                <w:rFonts w:hint="eastAsia" w:ascii="宋体" w:hAnsi="宋体"/>
                <w:color w:val="000000"/>
                <w:sz w:val="24"/>
              </w:rPr>
            </w:pPr>
            <w:r>
              <w:rPr>
                <w:rFonts w:hint="eastAsia" w:ascii="宋体" w:hAnsi="宋体"/>
                <w:color w:val="000000"/>
                <w:sz w:val="24"/>
              </w:rPr>
              <w:t>操作指南及合格证</w:t>
            </w:r>
          </w:p>
        </w:tc>
        <w:tc>
          <w:tcPr>
            <w:tcW w:w="1635" w:type="dxa"/>
            <w:noWrap w:val="0"/>
            <w:vAlign w:val="center"/>
          </w:tcPr>
          <w:p w14:paraId="225FDAD5">
            <w:pPr>
              <w:autoSpaceDN w:val="0"/>
              <w:jc w:val="center"/>
              <w:textAlignment w:val="center"/>
              <w:rPr>
                <w:rFonts w:ascii="宋体" w:hAnsi="宋体"/>
                <w:color w:val="000000"/>
                <w:sz w:val="24"/>
              </w:rPr>
            </w:pPr>
            <w:r>
              <w:rPr>
                <w:rFonts w:ascii="宋体" w:hAnsi="宋体"/>
                <w:color w:val="000000"/>
                <w:sz w:val="24"/>
              </w:rPr>
              <w:t>本</w:t>
            </w:r>
          </w:p>
        </w:tc>
        <w:tc>
          <w:tcPr>
            <w:tcW w:w="1683" w:type="dxa"/>
            <w:noWrap w:val="0"/>
            <w:vAlign w:val="center"/>
          </w:tcPr>
          <w:p w14:paraId="72B8B5CB">
            <w:pPr>
              <w:autoSpaceDN w:val="0"/>
              <w:jc w:val="center"/>
              <w:textAlignment w:val="center"/>
              <w:rPr>
                <w:rFonts w:ascii="宋体" w:hAnsi="宋体"/>
                <w:color w:val="000000"/>
                <w:sz w:val="24"/>
              </w:rPr>
            </w:pPr>
            <w:r>
              <w:rPr>
                <w:rFonts w:ascii="宋体" w:hAnsi="宋体"/>
                <w:color w:val="000000"/>
                <w:sz w:val="24"/>
              </w:rPr>
              <w:t>1</w:t>
            </w:r>
          </w:p>
        </w:tc>
      </w:tr>
      <w:tr w14:paraId="6860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40" w:hRule="atLeast"/>
        </w:trPr>
        <w:tc>
          <w:tcPr>
            <w:tcW w:w="903" w:type="dxa"/>
            <w:noWrap w:val="0"/>
            <w:vAlign w:val="center"/>
          </w:tcPr>
          <w:p w14:paraId="6C2A190A">
            <w:pPr>
              <w:autoSpaceDN w:val="0"/>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8</w:t>
            </w:r>
          </w:p>
        </w:tc>
        <w:tc>
          <w:tcPr>
            <w:tcW w:w="4245" w:type="dxa"/>
            <w:noWrap w:val="0"/>
            <w:vAlign w:val="center"/>
          </w:tcPr>
          <w:p w14:paraId="3A950FB0">
            <w:pPr>
              <w:autoSpaceDN w:val="0"/>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一体式触摸屏电脑</w:t>
            </w:r>
          </w:p>
        </w:tc>
        <w:tc>
          <w:tcPr>
            <w:tcW w:w="1635" w:type="dxa"/>
            <w:noWrap w:val="0"/>
            <w:vAlign w:val="center"/>
          </w:tcPr>
          <w:p w14:paraId="39B03C1C">
            <w:pPr>
              <w:autoSpaceDN w:val="0"/>
              <w:jc w:val="center"/>
              <w:textAlignment w:val="center"/>
              <w:rPr>
                <w:rFonts w:hint="eastAsia" w:ascii="宋体" w:hAnsi="宋体" w:eastAsia="宋体"/>
                <w:color w:val="000000"/>
                <w:sz w:val="24"/>
                <w:lang w:eastAsia="zh-CN"/>
              </w:rPr>
            </w:pPr>
            <w:r>
              <w:rPr>
                <w:rFonts w:hint="eastAsia" w:ascii="宋体" w:hAnsi="宋体"/>
                <w:color w:val="000000"/>
                <w:sz w:val="24"/>
                <w:lang w:eastAsia="zh-CN"/>
              </w:rPr>
              <w:t>台</w:t>
            </w:r>
          </w:p>
        </w:tc>
        <w:tc>
          <w:tcPr>
            <w:tcW w:w="1683" w:type="dxa"/>
            <w:noWrap w:val="0"/>
            <w:vAlign w:val="center"/>
          </w:tcPr>
          <w:p w14:paraId="571EB5E6">
            <w:pPr>
              <w:autoSpaceDN w:val="0"/>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1</w:t>
            </w:r>
          </w:p>
        </w:tc>
      </w:tr>
    </w:tbl>
    <w:p w14:paraId="7509D252">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4CC17616">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5E6D64FD">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6C8C4D1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5AF77668">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2C56ED45">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454724A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445467B7">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53ECD56C">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76A5D9D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30B79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7C5865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523F23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17FA3B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0D6257D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DBB608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25B42CE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379C109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15DEC58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47E72C8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36E3576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0DE9F08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2BFF8DA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1D5322D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21BDDC7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3227B0C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77907DA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C92373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智能玻片打号机（激光）+智能包埋盒打号机（激光）</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智能玻片打号机（激光）+智能包埋盒打号机（激光）</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5AA41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08D89C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63E2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45FD6C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2F2D13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7A9BA6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01C2BE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2A631E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15B56E4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1D17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1C55AD7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智能玻片打号机（激光）</w:t>
            </w:r>
          </w:p>
        </w:tc>
        <w:tc>
          <w:tcPr>
            <w:tcW w:w="1220" w:type="dxa"/>
            <w:vAlign w:val="center"/>
          </w:tcPr>
          <w:p w14:paraId="3515F5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2745AC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5DB43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50B053B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07E1BD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4B8D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119AEC3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智能包埋盒打号机（激光）</w:t>
            </w:r>
          </w:p>
        </w:tc>
        <w:tc>
          <w:tcPr>
            <w:tcW w:w="1220" w:type="dxa"/>
            <w:vAlign w:val="center"/>
          </w:tcPr>
          <w:p w14:paraId="00059F3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740A6A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5827D9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top"/>
          </w:tcPr>
          <w:p w14:paraId="19D7A4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78BB263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0D7B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25A21E3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04CB4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579E06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2DA7EEC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12443E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6CCADB2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210B8EF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5957CF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3268EBA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7ABBD0F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F952B9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18CF7EF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7E80D41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427CF3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575AFC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7E7871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5D7B3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50DDFF9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02F6209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2F425510">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47492C8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bookmarkStart w:id="4" w:name="_GoBack"/>
      <w:bookmarkEnd w:id="4"/>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70236D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36C3AB1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54D2979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50FDF8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EB46A8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0D790E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255F57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6A35F1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CFD9F5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839252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3A3501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w:t>
      </w:r>
      <w:r>
        <w:rPr>
          <w:rFonts w:hint="eastAsia" w:ascii="宋体" w:hAnsi="宋体" w:cs="宋体"/>
          <w:color w:val="0000FF"/>
          <w:sz w:val="24"/>
          <w:szCs w:val="24"/>
          <w:highlight w:val="none"/>
          <w:lang w:val="en-US" w:eastAsia="zh-CN"/>
        </w:rPr>
        <w:t>软件知识产权、</w:t>
      </w: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质保服务等原因涉及纠纷、诉讼或被处以行政处罚，由乙方承担甲方因纠纷、诉讼、罚款等造成的全部经济损失。</w:t>
      </w:r>
    </w:p>
    <w:p w14:paraId="23DC8D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79DC68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552C96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08B41D4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4C101D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301E7B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55AE968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1A7E3F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181B786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24594E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23B24A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700D17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2BEECD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21945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510BDB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7EC90C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13F46F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1E6808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02E62E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375A44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41691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2253CA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5EBBEE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0420689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385AFB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2F00C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10ECAB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7BCC5CD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0FEF496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2E4EEA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E76E8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775744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1541A72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664D7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39A0C2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38B3832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BD5BC2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67AFE8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078717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0F1DA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0D1217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1E8C6D1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49D6CFB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3C68BD3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CD38CB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C305D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3508C1E7">
      <w:pPr>
        <w:spacing w:line="480" w:lineRule="exact"/>
        <w:jc w:val="left"/>
        <w:rPr>
          <w:rFonts w:hint="eastAsia" w:ascii="黑体" w:hAnsi="黑体" w:eastAsia="黑体" w:cs="黑体"/>
          <w:sz w:val="32"/>
          <w:szCs w:val="32"/>
          <w:lang w:val="en-US" w:eastAsia="zh-CN"/>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4"/>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125EAE"/>
    <w:rsid w:val="15675A4C"/>
    <w:rsid w:val="17F91BB8"/>
    <w:rsid w:val="193E7D91"/>
    <w:rsid w:val="1943608F"/>
    <w:rsid w:val="19E91315"/>
    <w:rsid w:val="1AF56B46"/>
    <w:rsid w:val="1D5071B5"/>
    <w:rsid w:val="1DD7486D"/>
    <w:rsid w:val="1E79119D"/>
    <w:rsid w:val="1F334F58"/>
    <w:rsid w:val="1F796B24"/>
    <w:rsid w:val="1FC602A8"/>
    <w:rsid w:val="1FE73549"/>
    <w:rsid w:val="2038045E"/>
    <w:rsid w:val="20AF0900"/>
    <w:rsid w:val="20B41DA7"/>
    <w:rsid w:val="21C61C7A"/>
    <w:rsid w:val="2383771E"/>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37B0AA0"/>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93413"/>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1AC28BD"/>
    <w:rsid w:val="52183ACC"/>
    <w:rsid w:val="53B55872"/>
    <w:rsid w:val="544055F2"/>
    <w:rsid w:val="54AD4386"/>
    <w:rsid w:val="55D8243C"/>
    <w:rsid w:val="572A2B9D"/>
    <w:rsid w:val="581A7C72"/>
    <w:rsid w:val="583A4BD7"/>
    <w:rsid w:val="59C74B1F"/>
    <w:rsid w:val="5A886F59"/>
    <w:rsid w:val="611B6B1B"/>
    <w:rsid w:val="62C222C2"/>
    <w:rsid w:val="632D7C40"/>
    <w:rsid w:val="64133D6A"/>
    <w:rsid w:val="678E4F5D"/>
    <w:rsid w:val="67F3562A"/>
    <w:rsid w:val="680E122C"/>
    <w:rsid w:val="6A0E6238"/>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1E6294"/>
    <w:rsid w:val="755B2270"/>
    <w:rsid w:val="75E27514"/>
    <w:rsid w:val="76920D75"/>
    <w:rsid w:val="76C47877"/>
    <w:rsid w:val="77423DFF"/>
    <w:rsid w:val="783B5EA9"/>
    <w:rsid w:val="79EB699D"/>
    <w:rsid w:val="7B0620DE"/>
    <w:rsid w:val="7BBF44BB"/>
    <w:rsid w:val="7BF15CE4"/>
    <w:rsid w:val="7C3A27E5"/>
    <w:rsid w:val="7D9727DD"/>
    <w:rsid w:val="7DD66F6B"/>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Date"/>
    <w:basedOn w:val="1"/>
    <w:next w:val="1"/>
    <w:qFormat/>
    <w:uiPriority w:val="0"/>
    <w:rPr>
      <w:color w:val="000000"/>
      <w:kern w:val="0"/>
      <w:sz w:val="30"/>
    </w:rPr>
  </w:style>
  <w:style w:type="paragraph" w:styleId="7">
    <w:name w:val="footer"/>
    <w:basedOn w:val="1"/>
    <w:autoRedefine/>
    <w:qFormat/>
    <w:uiPriority w:val="0"/>
    <w:pPr>
      <w:tabs>
        <w:tab w:val="center" w:pos="4153"/>
        <w:tab w:val="right" w:pos="8306"/>
      </w:tabs>
      <w:snapToGrid w:val="0"/>
      <w:jc w:val="left"/>
    </w:pPr>
    <w:rPr>
      <w:kern w:val="0"/>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2"/>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 w:type="character" w:customStyle="1" w:styleId="19">
    <w:name w:val="font21"/>
    <w:basedOn w:val="12"/>
    <w:qFormat/>
    <w:uiPriority w:val="0"/>
    <w:rPr>
      <w:rFonts w:hint="eastAsia" w:ascii="宋体" w:hAnsi="宋体" w:eastAsia="宋体" w:cs="宋体"/>
      <w:color w:val="000000"/>
      <w:sz w:val="22"/>
      <w:szCs w:val="22"/>
      <w:u w:val="none"/>
    </w:rPr>
  </w:style>
  <w:style w:type="character" w:customStyle="1" w:styleId="20">
    <w:name w:val="font41"/>
    <w:basedOn w:val="12"/>
    <w:qFormat/>
    <w:uiPriority w:val="0"/>
    <w:rPr>
      <w:rFonts w:hint="eastAsia" w:ascii="宋体" w:hAnsi="宋体" w:eastAsia="宋体" w:cs="宋体"/>
      <w:color w:val="000000"/>
      <w:sz w:val="22"/>
      <w:szCs w:val="22"/>
      <w:u w:val="none"/>
    </w:rPr>
  </w:style>
  <w:style w:type="character" w:customStyle="1" w:styleId="21">
    <w:name w:val="font11"/>
    <w:basedOn w:val="12"/>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1319</Words>
  <Characters>1389</Characters>
  <Lines>0</Lines>
  <Paragraphs>0</Paragraphs>
  <TotalTime>4</TotalTime>
  <ScaleCrop>false</ScaleCrop>
  <LinksUpToDate>false</LinksUpToDate>
  <CharactersWithSpaces>1391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2025-09-26T01:19:04Z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