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（视力筛查仪（手持式）医院公开挂网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视力筛查仪（手持式）</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视力筛查仪（手持式）</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视力筛查仪（手持式）</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63DAA4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1.测量内容：屈光筛査（近视、远视、散光）、斜视，瞳孔大小及瞳距；双眼视功能对称性分析：屈光参差，瞳孔大小不等、凝视不对称。并可筛弱视，控制弱视引起的风险，进行早期诊断、抓住最佳治疗时机。</w:t>
      </w:r>
    </w:p>
    <w:p w14:paraId="5C1BE95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2.筛查仪功能：视力筛查仪通过测量视网膜的反光能力来度量眼睛的屈光力，可估测瞳孔大小、瞳孔距离和眼睛凝视偏差。适用于6个月以上直至成人，而非只适用幼儿及儿童。</w:t>
      </w:r>
    </w:p>
    <w:p w14:paraId="39405A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3.工作模式：对焦后自动测量,双眼同时测量、左/右眼单独测量,有均值测量筛查模式。</w:t>
      </w:r>
    </w:p>
    <w:p w14:paraId="0ABF1B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4.测量距离：≤85cm±5cm,测量时间＜1s,测量时系统提示过远或过近，以距离图标颜色区分是否在正确的测量范围内。</w:t>
      </w:r>
    </w:p>
    <w:p w14:paraId="0B70E35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5.测量模式： 具备个体筛查测量、批量队列筛查测量、筛查箱测量模式。</w:t>
      </w:r>
    </w:p>
    <w:p w14:paraId="2529AF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6.使用环境：在匹配筛查箱时可满足室内外强光环境下检测。</w:t>
      </w:r>
    </w:p>
    <w:p w14:paraId="6EAC2C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7.机器屏幕设计：≥5.5英寸彩色触控显示屏，前倾显示屏与水平夹角可调节幅度为0~45°，方便使用者以任何姿势操作</w:t>
      </w:r>
    </w:p>
    <w:p w14:paraId="796AA1F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8.注视方式：动画、音乐及多彩交替灯光吸引。</w:t>
      </w:r>
    </w:p>
    <w:p w14:paraId="1C8B422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9.球镜度(DS)可测范围：-7.50D ～ +7.50D，允差±0.50D；-11.50D~-7.50D和+7.50D~+11.50D，允差±10%；显示分辨率0.25 D/0.01D。</w:t>
      </w:r>
    </w:p>
    <w:p w14:paraId="20D061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10.柱镜度(DC)可测范围：-3.00D ～ +3.00D，允差±0.50D；显示分辨率0.25D/0.01D。</w:t>
      </w:r>
    </w:p>
    <w:p w14:paraId="7C4B0CB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11.柱镜轴位范围（AX）1°～180°，允差±5°；显示分辨率1°。</w:t>
      </w:r>
    </w:p>
    <w:p w14:paraId="7649AA9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12.瞳孔直径可测范围3.0mm～9.0mm，允差±0.1mm；显示分辨率0.1mm。</w:t>
      </w:r>
    </w:p>
    <w:p w14:paraId="123963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13.瞳距可测范围30mm～85mm，允差±1mm；显示分辨率1mm。</w:t>
      </w:r>
    </w:p>
    <w:p w14:paraId="1B4C41C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14.信息录入：主机触屏录入、扫码录入、批量队列导入。</w:t>
      </w:r>
    </w:p>
    <w:p w14:paraId="37D83E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15.数据接口：Wi-Fi、USB、蓝牙；打印机接口：Wi-Fi / 蓝牙。</w:t>
      </w:r>
    </w:p>
    <w:p w14:paraId="6926152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节电功能：视力筛查仪无活动60秒后，屏幕将变暗；5分钟后屏幕降变黑，以节省电量。轻触屏幕或按电源按钮可以唤醒视力筛查仪,可以设置视力筛查仪15分钟或30分钟无操作自动关机,可手动调节屏幕亮度，也可设置根据环境亮度自动调节屏幕亮度。</w:t>
      </w:r>
    </w:p>
    <w:p w14:paraId="0DC2318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17.报告打印：可蓝牙无线直连热敏打印机或A4打印机使用,可在报告的底部设置自定义横幅，标注使用单位名称</w:t>
      </w:r>
    </w:p>
    <w:p w14:paraId="7689E6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18.供电方式：内置锂离子电池，可边充电边使用；充电方式：60W超级直线快充，2小时可完成充电也可用移动电源直接供电使用。</w:t>
      </w:r>
    </w:p>
    <w:p w14:paraId="3398465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19.电池续航：常规使用≥8小时，大批量筛查使用≥5小时。</w:t>
      </w:r>
    </w:p>
    <w:p w14:paraId="567C850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提供云端系统管理软件建立屈光发育档案，跟踪青少年视力发展情况，生成个人屈光、视力发展趋势图，直观预测视力发展趋势，也可生成集体屈光、视力筛查报告，精准布局近视防控，通过公众号推送或查询筛查结果。管理系统包括用户及权限管理、学生信息管理、普查和筛查任务管理、统计分析、筛查数据报表等功能模块，为管理人员提供统一便捷的信息化管理手段。</w:t>
      </w:r>
    </w:p>
    <w:p w14:paraId="66B088F0">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21.视力筛查仪有匹配自助筛查箱功能</w:t>
      </w:r>
    </w:p>
    <w:p w14:paraId="2F76967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2"/>
        <w:tblW w:w="4998" w:type="pct"/>
        <w:tblInd w:w="0" w:type="dxa"/>
        <w:shd w:val="clear" w:color="auto" w:fill="auto"/>
        <w:tblLayout w:type="autofit"/>
        <w:tblCellMar>
          <w:top w:w="0" w:type="dxa"/>
          <w:left w:w="0" w:type="dxa"/>
          <w:bottom w:w="0" w:type="dxa"/>
          <w:right w:w="0" w:type="dxa"/>
        </w:tblCellMar>
      </w:tblPr>
      <w:tblGrid>
        <w:gridCol w:w="1196"/>
        <w:gridCol w:w="3996"/>
        <w:gridCol w:w="1414"/>
        <w:gridCol w:w="1414"/>
        <w:gridCol w:w="1738"/>
      </w:tblGrid>
      <w:tr w14:paraId="7B0E3DF3">
        <w:tblPrEx>
          <w:shd w:val="clear" w:color="auto" w:fill="auto"/>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6DAD8A"/>
            <w:tcMar>
              <w:top w:w="8" w:type="dxa"/>
              <w:left w:w="8" w:type="dxa"/>
              <w:right w:w="8" w:type="dxa"/>
            </w:tcMar>
            <w:vAlign w:val="center"/>
          </w:tcPr>
          <w:p w14:paraId="13D80A87">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47" w:type="pct"/>
            <w:tcBorders>
              <w:top w:val="single" w:color="000000" w:sz="4" w:space="0"/>
              <w:left w:val="single" w:color="000000" w:sz="4" w:space="0"/>
              <w:bottom w:val="single" w:color="000000" w:sz="4" w:space="0"/>
              <w:right w:val="single" w:color="000000" w:sz="4" w:space="0"/>
            </w:tcBorders>
            <w:shd w:val="clear" w:color="auto" w:fill="6DAD8A"/>
            <w:tcMar>
              <w:top w:w="8" w:type="dxa"/>
              <w:left w:w="8" w:type="dxa"/>
              <w:right w:w="8" w:type="dxa"/>
            </w:tcMar>
            <w:vAlign w:val="center"/>
          </w:tcPr>
          <w:p w14:paraId="55661812">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724" w:type="pct"/>
            <w:tcBorders>
              <w:top w:val="single" w:color="000000" w:sz="4" w:space="0"/>
              <w:left w:val="single" w:color="000000" w:sz="4" w:space="0"/>
              <w:bottom w:val="single" w:color="000000" w:sz="4" w:space="0"/>
              <w:right w:val="single" w:color="000000" w:sz="4" w:space="0"/>
            </w:tcBorders>
            <w:shd w:val="clear" w:color="auto" w:fill="6DAD8A"/>
            <w:tcMar>
              <w:top w:w="8" w:type="dxa"/>
              <w:left w:w="8" w:type="dxa"/>
              <w:right w:w="8" w:type="dxa"/>
            </w:tcMar>
            <w:vAlign w:val="center"/>
          </w:tcPr>
          <w:p w14:paraId="2C8C6CE5">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24" w:type="pct"/>
            <w:tcBorders>
              <w:top w:val="single" w:color="000000" w:sz="4" w:space="0"/>
              <w:left w:val="single" w:color="000000" w:sz="4" w:space="0"/>
              <w:bottom w:val="single" w:color="000000" w:sz="4" w:space="0"/>
              <w:right w:val="single" w:color="000000" w:sz="4" w:space="0"/>
            </w:tcBorders>
            <w:shd w:val="clear" w:color="auto" w:fill="6DAD8A"/>
            <w:tcMar>
              <w:top w:w="8" w:type="dxa"/>
              <w:left w:w="8" w:type="dxa"/>
              <w:right w:w="8" w:type="dxa"/>
            </w:tcMar>
            <w:vAlign w:val="center"/>
          </w:tcPr>
          <w:p w14:paraId="54A85619">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90" w:type="pct"/>
            <w:tcBorders>
              <w:top w:val="single" w:color="000000" w:sz="4" w:space="0"/>
              <w:left w:val="single" w:color="000000" w:sz="4" w:space="0"/>
              <w:bottom w:val="single" w:color="000000" w:sz="4" w:space="0"/>
              <w:right w:val="single" w:color="000000" w:sz="4" w:space="0"/>
            </w:tcBorders>
            <w:shd w:val="clear" w:color="auto" w:fill="6DAD8A"/>
            <w:tcMar>
              <w:top w:w="8" w:type="dxa"/>
              <w:left w:w="8" w:type="dxa"/>
              <w:right w:w="8" w:type="dxa"/>
            </w:tcMar>
            <w:vAlign w:val="center"/>
          </w:tcPr>
          <w:p w14:paraId="3B3DAA5B">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291DC413">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8F7B0B5">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B16FE3B">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视力筛查仪</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F6E99B5">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39902DC">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AFEFD95">
            <w:pPr>
              <w:spacing w:line="360" w:lineRule="auto"/>
              <w:jc w:val="center"/>
              <w:rPr>
                <w:rFonts w:hint="eastAsia" w:ascii="宋体" w:hAnsi="宋体" w:eastAsia="宋体" w:cs="宋体"/>
                <w:i w:val="0"/>
                <w:color w:val="000000"/>
                <w:sz w:val="24"/>
                <w:szCs w:val="24"/>
                <w:u w:val="none"/>
              </w:rPr>
            </w:pPr>
          </w:p>
        </w:tc>
      </w:tr>
      <w:tr w14:paraId="3DF318D7">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8AE01C7">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F8FCED8">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电源适配器</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443C6E6">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EEFE425">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A428D89">
            <w:pPr>
              <w:spacing w:line="360" w:lineRule="auto"/>
              <w:jc w:val="center"/>
              <w:rPr>
                <w:rFonts w:hint="eastAsia" w:ascii="宋体" w:hAnsi="宋体" w:eastAsia="宋体" w:cs="宋体"/>
                <w:i w:val="0"/>
                <w:color w:val="000000"/>
                <w:sz w:val="24"/>
                <w:szCs w:val="24"/>
                <w:u w:val="none"/>
              </w:rPr>
            </w:pPr>
          </w:p>
        </w:tc>
      </w:tr>
      <w:tr w14:paraId="225E3F2E">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AAB4E52">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294F974">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Type-C</w:t>
            </w:r>
            <w:r>
              <w:rPr>
                <w:rStyle w:val="20"/>
                <w:rFonts w:hint="eastAsia" w:ascii="宋体" w:hAnsi="宋体" w:eastAsia="宋体" w:cs="宋体"/>
                <w:sz w:val="24"/>
                <w:szCs w:val="24"/>
                <w:lang w:val="en-US" w:eastAsia="zh-CN" w:bidi="ar"/>
              </w:rPr>
              <w:t>电源线</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838470F">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D190E8C">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A5BDA20">
            <w:pPr>
              <w:spacing w:line="360" w:lineRule="auto"/>
              <w:jc w:val="center"/>
              <w:rPr>
                <w:rFonts w:hint="eastAsia" w:ascii="宋体" w:hAnsi="宋体" w:eastAsia="宋体" w:cs="宋体"/>
                <w:i w:val="0"/>
                <w:color w:val="000000"/>
                <w:sz w:val="24"/>
                <w:szCs w:val="24"/>
                <w:u w:val="none"/>
              </w:rPr>
            </w:pPr>
          </w:p>
        </w:tc>
      </w:tr>
      <w:tr w14:paraId="4A4D9F65">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78D91A4">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FA551F1">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便携主机设备包</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5F0E0A0">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1C874BE">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614A079">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p>
        </w:tc>
      </w:tr>
      <w:tr w14:paraId="1FE71710">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CBF444C">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922000E">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热敏打印机</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74C33E9">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F41C6AE">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42A8460">
            <w:pPr>
              <w:keepNext w:val="0"/>
              <w:keepLines w:val="0"/>
              <w:widowControl/>
              <w:suppressLineNumbers w:val="0"/>
              <w:spacing w:line="360" w:lineRule="auto"/>
              <w:jc w:val="center"/>
              <w:rPr>
                <w:rFonts w:hint="eastAsia" w:ascii="宋体" w:hAnsi="宋体" w:eastAsia="宋体" w:cs="宋体"/>
                <w:i w:val="0"/>
                <w:color w:val="000000"/>
                <w:sz w:val="24"/>
                <w:szCs w:val="24"/>
                <w:u w:val="none"/>
              </w:rPr>
            </w:pPr>
          </w:p>
        </w:tc>
      </w:tr>
      <w:tr w14:paraId="1B74DDD1">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3EDC6AC">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6</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08ACD96">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说明书</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A325315">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本</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DF923F8">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7D5253B">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1DA94C35">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7670110">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7</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0D4941F">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合格证</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460FFE7">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632CB7C">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A88E922">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50A803E6">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8A4FE10">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8</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3F5C720">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保修卡</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9D0452D">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74CD427">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EAEDFE3">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237D53C6">
        <w:tblPrEx>
          <w:tblCellMar>
            <w:top w:w="0" w:type="dxa"/>
            <w:left w:w="0" w:type="dxa"/>
            <w:bottom w:w="0" w:type="dxa"/>
            <w:right w:w="0" w:type="dxa"/>
          </w:tblCellMar>
        </w:tblPrEx>
        <w:trPr>
          <w:trHeight w:val="2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4E9E350">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9</w:t>
            </w:r>
          </w:p>
        </w:tc>
        <w:tc>
          <w:tcPr>
            <w:tcW w:w="20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36188A0">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售后服务承诺书</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62D25DB">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90E4654">
            <w:pPr>
              <w:keepNext w:val="0"/>
              <w:keepLines w:val="0"/>
              <w:widowControl/>
              <w:suppressLineNumbers w:val="0"/>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083BFDC">
            <w:pPr>
              <w:spacing w:line="360" w:lineRule="auto"/>
              <w:jc w:val="center"/>
              <w:rPr>
                <w:rFonts w:hint="eastAsia" w:ascii="宋体" w:hAnsi="宋体" w:eastAsia="宋体" w:cs="宋体"/>
                <w:i w:val="0"/>
                <w:color w:val="000000"/>
                <w:kern w:val="2"/>
                <w:sz w:val="24"/>
                <w:szCs w:val="24"/>
                <w:u w:val="none"/>
                <w:lang w:val="en-US" w:eastAsia="zh-CN" w:bidi="ar-SA"/>
              </w:rPr>
            </w:pPr>
          </w:p>
        </w:tc>
      </w:tr>
    </w:tbl>
    <w:p w14:paraId="1B42D8CA">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646D5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中标方负责免费培训至少操作员2-5名和诊断医生1-3名，直至医护人员完全熟练掌握并可单独操作使用设备，取得相应上岗证方可验收。培训方式：厂家指定专业人员到医院现场培训并进行设备操作指导，直到科室可以正常使用设备为止；仪器交付使用后，如科室在使用过程中遇到无法解决的技术问题，不论是工程，还是临床方面，中标方需及时联系解决。</w:t>
      </w:r>
    </w:p>
    <w:p w14:paraId="052104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78C7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932E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2年后支付10%余款给乙方。</w:t>
      </w:r>
    </w:p>
    <w:p w14:paraId="4F18B9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2年，终身维修。验收时出具原厂售后质保承诺书，质保期内每年巡检一次，并提交巡检记录。质保期内出现故障，24小时响应，响应后4小时上门服务，故障期间有备用机替换保证临床使用。在湖南省有售后维修点，有备品仓库，提供操作手册、维修手册、软件备份、说明书等相关中文技术资料各两套。</w:t>
      </w:r>
    </w:p>
    <w:p w14:paraId="36A655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公章的技术参数、技术白皮书、说明书、彩页），并在响应表中备注该条参数响应或正偏离的佐证资料所在页码。</w:t>
      </w:r>
    </w:p>
    <w:p w14:paraId="5BE1FD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7、设备所有接口免费开放，设备系统需对接医院，如需接入医院HIS、LIS、PACS、体检系统等，由投标方负责连接并承担相应费用，采购人不再出具任何费用。</w:t>
      </w:r>
    </w:p>
    <w:p w14:paraId="05D26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8、软件系统终身免费升级更新，并提供升级更新的书面相关证明文件及记录。</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视力筛查仪（手持式）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视力筛查仪（手持式）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1469BB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视力筛查仪（手持式）</w:t>
            </w:r>
          </w:p>
        </w:tc>
        <w:tc>
          <w:tcPr>
            <w:tcW w:w="122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center"/>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center"/>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center"/>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1台</w:t>
            </w:r>
          </w:p>
        </w:tc>
        <w:tc>
          <w:tcPr>
            <w:tcW w:w="1654" w:type="dxa"/>
            <w:noWrap w:val="0"/>
            <w:vAlign w:val="center"/>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免费培训操作员2-5名和诊断医生1-3名，直至医护人员完全熟练掌握并可单独操作使用设备，取得相应上岗证方可验收。培训方式：厂家指定专业人员到医院现场培训并进行设备操作指导，直到科室可以正常使用设备为止；仪器交付使用后，如科室在使用过程中遇到无法解决的技术问题，不论是工程，还是临床方面，乙方需及时联系解决。</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软件系统终身免费升级更新，并提供升级更新的书面相关证明文件及记录。乙方或厂家在湖南省有售后维修点，有备品仓库，提供操作手册、维修手册、软件备份、说明书等相关中文技术资料各两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65B41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5.5 故障期间提供备用机替换保证临床使用。</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bookmarkStart w:id="4" w:name="_GoBack"/>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bookmarkEnd w:id="4"/>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CEB653F"/>
    <w:rsid w:val="0D363129"/>
    <w:rsid w:val="0D6B322B"/>
    <w:rsid w:val="0E331420"/>
    <w:rsid w:val="0EDD1643"/>
    <w:rsid w:val="0FB9029C"/>
    <w:rsid w:val="10897B23"/>
    <w:rsid w:val="10914EF9"/>
    <w:rsid w:val="10B8663C"/>
    <w:rsid w:val="12080B62"/>
    <w:rsid w:val="12994AC5"/>
    <w:rsid w:val="129F447F"/>
    <w:rsid w:val="12C86253"/>
    <w:rsid w:val="15060AC8"/>
    <w:rsid w:val="15675A4C"/>
    <w:rsid w:val="17B21224"/>
    <w:rsid w:val="17F91BB8"/>
    <w:rsid w:val="196F4268"/>
    <w:rsid w:val="1AF56B46"/>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01"/>
    <w:basedOn w:val="1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9163</Words>
  <Characters>9678</Characters>
  <Lines>0</Lines>
  <Paragraphs>0</Paragraphs>
  <TotalTime>1</TotalTime>
  <ScaleCrop>false</ScaleCrop>
  <LinksUpToDate>false</LinksUpToDate>
  <CharactersWithSpaces>10567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2025-03-10T07:15:05Z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