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F811E">
      <w:pPr>
        <w:pStyle w:val="13"/>
        <w:snapToGrid w:val="0"/>
        <w:jc w:val="center"/>
        <w:rPr>
          <w:rFonts w:ascii="Arial" w:hAnsi="Arial" w:eastAsia="方正小标宋简体" w:cs="Arial"/>
          <w:color w:val="auto"/>
          <w:sz w:val="72"/>
          <w:szCs w:val="72"/>
        </w:rPr>
      </w:pPr>
      <w:bookmarkStart w:id="0" w:name="_Toc16523570"/>
    </w:p>
    <w:p w14:paraId="2301FFDE">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30E5CC11">
      <w:pPr>
        <w:pStyle w:val="13"/>
        <w:snapToGrid w:val="0"/>
        <w:jc w:val="center"/>
        <w:rPr>
          <w:rFonts w:ascii="Arial" w:hAnsi="Arial" w:eastAsia="方正小标宋简体" w:cs="Arial"/>
          <w:color w:val="auto"/>
          <w:sz w:val="72"/>
          <w:szCs w:val="72"/>
        </w:rPr>
      </w:pPr>
    </w:p>
    <w:p w14:paraId="684136D5">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4F315F37">
      <w:pPr>
        <w:pStyle w:val="13"/>
        <w:snapToGrid w:val="0"/>
        <w:jc w:val="center"/>
        <w:rPr>
          <w:rFonts w:ascii="Arial" w:hAnsi="Arial" w:eastAsia="方正小标宋简体" w:cs="Arial"/>
          <w:color w:val="auto"/>
          <w:sz w:val="72"/>
          <w:szCs w:val="72"/>
        </w:rPr>
      </w:pPr>
    </w:p>
    <w:p w14:paraId="4E4863AE">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100EE718">
      <w:pPr>
        <w:pStyle w:val="13"/>
        <w:snapToGrid w:val="0"/>
        <w:jc w:val="center"/>
        <w:rPr>
          <w:rFonts w:ascii="Arial" w:hAnsi="Arial" w:eastAsia="方正小标宋简体" w:cs="Arial"/>
          <w:color w:val="auto"/>
          <w:sz w:val="72"/>
          <w:szCs w:val="72"/>
        </w:rPr>
      </w:pPr>
    </w:p>
    <w:p w14:paraId="42E8D840">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7095A26B">
      <w:pPr>
        <w:pStyle w:val="13"/>
        <w:snapToGrid w:val="0"/>
        <w:jc w:val="center"/>
        <w:rPr>
          <w:rFonts w:ascii="Arial" w:hAnsi="Arial" w:eastAsia="方正小标宋简体" w:cs="Arial"/>
          <w:color w:val="auto"/>
          <w:sz w:val="72"/>
          <w:szCs w:val="72"/>
        </w:rPr>
      </w:pPr>
    </w:p>
    <w:p w14:paraId="50CC2A65">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358BFD46">
      <w:pPr>
        <w:pStyle w:val="13"/>
        <w:snapToGrid w:val="0"/>
        <w:jc w:val="center"/>
        <w:rPr>
          <w:rFonts w:ascii="Arial" w:hAnsi="Arial" w:cs="Arial"/>
          <w:color w:val="auto"/>
          <w:sz w:val="32"/>
          <w:szCs w:val="32"/>
        </w:rPr>
      </w:pPr>
    </w:p>
    <w:p w14:paraId="02DBB25A">
      <w:pPr>
        <w:pStyle w:val="13"/>
        <w:snapToGrid w:val="0"/>
        <w:jc w:val="center"/>
        <w:rPr>
          <w:rFonts w:ascii="Arial" w:hAnsi="Arial" w:cs="Arial"/>
          <w:color w:val="auto"/>
          <w:sz w:val="32"/>
          <w:szCs w:val="32"/>
        </w:rPr>
      </w:pPr>
    </w:p>
    <w:p w14:paraId="00F5ACC1">
      <w:pPr>
        <w:pStyle w:val="13"/>
        <w:snapToGrid w:val="0"/>
        <w:jc w:val="center"/>
        <w:rPr>
          <w:rFonts w:ascii="Arial" w:hAnsi="Arial" w:cs="Arial"/>
          <w:color w:val="auto"/>
          <w:sz w:val="32"/>
          <w:szCs w:val="32"/>
        </w:rPr>
      </w:pPr>
    </w:p>
    <w:p w14:paraId="7A66F627">
      <w:pPr>
        <w:spacing w:line="360" w:lineRule="auto"/>
        <w:rPr>
          <w:rFonts w:hint="eastAsia"/>
          <w:bCs/>
          <w:color w:val="auto"/>
          <w:sz w:val="32"/>
          <w:szCs w:val="32"/>
        </w:rPr>
      </w:pPr>
    </w:p>
    <w:p w14:paraId="78CE12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ascii="宋体" w:hAnsi="宋体"/>
          <w:color w:val="auto"/>
          <w:sz w:val="32"/>
          <w:szCs w:val="32"/>
          <w:lang w:eastAsia="zh-CN"/>
        </w:rPr>
        <w:t>娄底市中心医院专项审计服务项目</w:t>
      </w:r>
    </w:p>
    <w:p w14:paraId="1704DFF2">
      <w:pPr>
        <w:jc w:val="center"/>
        <w:rPr>
          <w:rFonts w:hint="default" w:ascii="Times New Roman" w:hAnsi="Times New Roman" w:eastAsia="宋体" w:cs="Times New Roman"/>
          <w:b/>
          <w:bCs/>
          <w:color w:val="auto"/>
          <w:kern w:val="44"/>
          <w:sz w:val="32"/>
          <w:szCs w:val="32"/>
          <w:lang w:val="en-US" w:eastAsia="zh-CN" w:bidi="ar-SA"/>
        </w:rPr>
      </w:pPr>
      <w:r>
        <w:rPr>
          <w:rFonts w:hint="eastAsia" w:cs="Times New Roman"/>
          <w:b/>
          <w:bCs/>
          <w:color w:val="auto"/>
          <w:kern w:val="44"/>
          <w:sz w:val="32"/>
          <w:szCs w:val="32"/>
          <w:lang w:val="en-US" w:eastAsia="zh-CN" w:bidi="ar-SA"/>
        </w:rPr>
        <w:t>（</w:t>
      </w:r>
      <w:r>
        <w:rPr>
          <w:rFonts w:hint="eastAsia" w:ascii="Times New Roman" w:hAnsi="Times New Roman" w:eastAsia="宋体" w:cs="Times New Roman"/>
          <w:b/>
          <w:bCs/>
          <w:color w:val="auto"/>
          <w:kern w:val="44"/>
          <w:sz w:val="32"/>
          <w:szCs w:val="32"/>
          <w:lang w:val="en-US" w:eastAsia="zh-CN" w:bidi="ar-SA"/>
        </w:rPr>
        <w:t>院内招标）</w:t>
      </w:r>
    </w:p>
    <w:p w14:paraId="4AB420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7FC717B0">
      <w:pPr>
        <w:spacing w:line="320" w:lineRule="exact"/>
        <w:jc w:val="left"/>
        <w:rPr>
          <w:color w:val="auto"/>
          <w:sz w:val="24"/>
        </w:rPr>
      </w:pPr>
    </w:p>
    <w:p w14:paraId="4D8F05D8">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五</w:t>
      </w:r>
      <w:bookmarkStart w:id="5" w:name="_GoBack"/>
      <w:bookmarkEnd w:id="5"/>
      <w:r>
        <w:rPr>
          <w:rFonts w:hint="eastAsia" w:ascii="宋体" w:hAnsi="宋体" w:cs="宋体"/>
          <w:bCs/>
          <w:color w:val="auto"/>
          <w:sz w:val="32"/>
          <w:szCs w:val="32"/>
        </w:rPr>
        <w:t>月</w:t>
      </w:r>
    </w:p>
    <w:p w14:paraId="29008D32">
      <w:pPr>
        <w:pStyle w:val="3"/>
        <w:numPr>
          <w:ilvl w:val="0"/>
          <w:numId w:val="0"/>
        </w:numPr>
        <w:spacing w:line="240" w:lineRule="auto"/>
        <w:ind w:leftChars="0"/>
        <w:jc w:val="both"/>
        <w:rPr>
          <w:rFonts w:hint="eastAsia" w:ascii="宋体" w:hAnsi="宋体" w:cs="宋体"/>
          <w:color w:val="auto"/>
          <w:sz w:val="44"/>
          <w:szCs w:val="44"/>
          <w:lang w:val="en-US" w:eastAsia="zh-CN"/>
        </w:rPr>
      </w:pPr>
    </w:p>
    <w:p w14:paraId="439A4CA8">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7114B9BB">
      <w:pPr>
        <w:pStyle w:val="13"/>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color w:val="auto"/>
          <w:sz w:val="32"/>
          <w:szCs w:val="32"/>
          <w:u w:val="single"/>
          <w:lang w:eastAsia="zh-CN"/>
        </w:rPr>
        <w:t>娄底市中心医院专项审计服务项目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14:paraId="6F05B528">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14:paraId="7A5A33D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娄底市中心医院专项审计服务</w:t>
      </w:r>
      <w:r>
        <w:rPr>
          <w:rFonts w:hint="eastAsia" w:asciiTheme="minorEastAsia" w:hAnsiTheme="minorEastAsia" w:eastAsiaTheme="minorEastAsia" w:cstheme="minorEastAsia"/>
          <w:b w:val="0"/>
          <w:bCs/>
          <w:color w:val="auto"/>
          <w:sz w:val="28"/>
          <w:szCs w:val="28"/>
          <w:lang w:val="en-US" w:eastAsia="zh-CN"/>
        </w:rPr>
        <w:t>采购项目</w:t>
      </w:r>
    </w:p>
    <w:p w14:paraId="168B107D">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14:paraId="7B63345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14:paraId="1C34E24B">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14:paraId="76C1D896">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14:paraId="79569D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1. 具有独立承担民事责任的能力，提供有效的营业执照副本复印件。</w:t>
      </w:r>
    </w:p>
    <w:p w14:paraId="450B07B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2. 具备省级及以上财政部门颁发的会计师事务所执业证书，且在有效期内，提供证书复印件。</w:t>
      </w:r>
    </w:p>
    <w:p w14:paraId="269FFBC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3. 近三年内（2022年1月1日至今），具有至少2个医院或国企专项审计项目业绩，需提供相关合同复印件（合同内容应能体现项目类型、服务时间、服务对象等关键信息）。</w:t>
      </w:r>
    </w:p>
    <w:p w14:paraId="324D12E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4. 拟派项目负责人须具备高级审计师或高级会计师或注册会计师资格，提供证书复印件及近三个月（2024年11月 2025年1月）在本单位缴纳社保的证明材料。项目组成员不少于4人。</w:t>
      </w:r>
    </w:p>
    <w:p w14:paraId="7C023BC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eastAsia"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5. 参加政府采购活动前三年内，在经营活动中没有重大违法记录，提供书面声明。</w:t>
      </w:r>
    </w:p>
    <w:p w14:paraId="5A77657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520" w:lineRule="exact"/>
        <w:ind w:left="0" w:right="0" w:firstLine="560" w:firstLineChars="200"/>
        <w:textAlignment w:val="auto"/>
        <w:rPr>
          <w:rFonts w:hint="default" w:asciiTheme="minorEastAsia" w:hAnsiTheme="minorEastAsia" w:eastAsiaTheme="minorEastAsia" w:cstheme="minorEastAsia"/>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bidi="ar-SA"/>
        </w:rPr>
        <w:t>6. 未被列入“信用中国”网站（www.creditchina.gov.cn）失信被执行人、重大税收违法案件当事人名单、政府采购严重违法失信行为记录名单；未被列入中国政府采购网（www.ccgp.gov.cn）政府采购严重违法失信行为记录名单，提供相关网站查询截图。</w:t>
      </w:r>
    </w:p>
    <w:p w14:paraId="1D2A52E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14:paraId="4C69F87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1、投标报名截止时间：2025年4月 日 17：30（北京时间）</w:t>
      </w:r>
    </w:p>
    <w:p w14:paraId="51DB4EDE">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2、开标时间：2025年4月 日15:00</w:t>
      </w:r>
    </w:p>
    <w:p w14:paraId="39E4A2E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3、开标地点：娄底市长青中街51号E区6楼远程会诊中心</w:t>
      </w:r>
    </w:p>
    <w:p w14:paraId="3E303AB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14:paraId="0BC9CC4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14:paraId="579266F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auto"/>
          <w:spacing w:val="0"/>
          <w:sz w:val="28"/>
          <w:szCs w:val="28"/>
        </w:rPr>
        <w:t>15873871616</w:t>
      </w:r>
    </w:p>
    <w:p w14:paraId="3FE59CCC">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14:paraId="6A91A440">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643F7A2B">
      <w:pPr>
        <w:pStyle w:val="13"/>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14:paraId="2D074A9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DDBFBE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81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274"/>
        <w:gridCol w:w="4237"/>
        <w:gridCol w:w="2687"/>
      </w:tblGrid>
      <w:tr w14:paraId="0C3C32C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4" w:hRule="atLeast"/>
          <w:jc w:val="center"/>
        </w:trPr>
        <w:tc>
          <w:tcPr>
            <w:tcW w:w="127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DBD2D90">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序号</w:t>
            </w:r>
          </w:p>
        </w:tc>
        <w:tc>
          <w:tcPr>
            <w:tcW w:w="423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B95C1DB">
            <w:pPr>
              <w:pStyle w:val="9"/>
              <w:spacing w:before="0" w:beforeAutospacing="0" w:after="0" w:afterAutospacing="0" w:line="440" w:lineRule="exact"/>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项目名称</w:t>
            </w:r>
          </w:p>
        </w:tc>
        <w:tc>
          <w:tcPr>
            <w:tcW w:w="2687"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3F3BB5D4">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lang w:val="en-US" w:eastAsia="zh-CN"/>
              </w:rPr>
              <w:t>项目预算价</w:t>
            </w:r>
            <w:r>
              <w:rPr>
                <w:rFonts w:hint="eastAsia" w:asciiTheme="minorEastAsia" w:hAnsiTheme="minorEastAsia" w:eastAsiaTheme="minorEastAsia" w:cstheme="minorEastAsia"/>
                <w:color w:val="auto"/>
                <w:kern w:val="2"/>
                <w:sz w:val="28"/>
                <w:szCs w:val="28"/>
              </w:rPr>
              <w:t>（</w:t>
            </w:r>
            <w:r>
              <w:rPr>
                <w:rFonts w:hint="eastAsia" w:asciiTheme="minorEastAsia" w:hAnsiTheme="minorEastAsia" w:eastAsiaTheme="minorEastAsia" w:cstheme="minorEastAsia"/>
                <w:color w:val="auto"/>
                <w:kern w:val="2"/>
                <w:sz w:val="28"/>
                <w:szCs w:val="28"/>
                <w:lang w:val="en-US" w:eastAsia="zh-CN"/>
              </w:rPr>
              <w:t>万</w:t>
            </w:r>
            <w:r>
              <w:rPr>
                <w:rFonts w:hint="eastAsia" w:asciiTheme="minorEastAsia" w:hAnsiTheme="minorEastAsia" w:eastAsiaTheme="minorEastAsia" w:cstheme="minorEastAsia"/>
                <w:color w:val="auto"/>
                <w:kern w:val="2"/>
                <w:sz w:val="28"/>
                <w:szCs w:val="28"/>
              </w:rPr>
              <w:t>元）</w:t>
            </w:r>
          </w:p>
        </w:tc>
      </w:tr>
      <w:tr w14:paraId="07C2870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36" w:hRule="atLeast"/>
          <w:jc w:val="center"/>
        </w:trPr>
        <w:tc>
          <w:tcPr>
            <w:tcW w:w="127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0B78BF57">
            <w:pPr>
              <w:spacing w:line="480" w:lineRule="auto"/>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1</w:t>
            </w:r>
          </w:p>
        </w:tc>
        <w:tc>
          <w:tcPr>
            <w:tcW w:w="423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1CBD60D1">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rPr>
              <w:t>娄底市中心医院专项审计服务</w:t>
            </w:r>
          </w:p>
        </w:tc>
        <w:tc>
          <w:tcPr>
            <w:tcW w:w="2687"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14:paraId="1E8641B9">
            <w:pPr>
              <w:spacing w:line="480" w:lineRule="auto"/>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11</w:t>
            </w:r>
          </w:p>
        </w:tc>
      </w:tr>
    </w:tbl>
    <w:p w14:paraId="5F059F59">
      <w:pPr>
        <w:spacing w:line="360" w:lineRule="auto"/>
        <w:rPr>
          <w:rFonts w:hint="eastAsia" w:asciiTheme="minorEastAsia" w:hAnsiTheme="minorEastAsia" w:eastAsiaTheme="minorEastAsia" w:cstheme="minorEastAsia"/>
          <w:bCs/>
          <w:color w:val="auto"/>
          <w:kern w:val="0"/>
          <w:sz w:val="28"/>
          <w:szCs w:val="28"/>
          <w:lang w:val="en-US" w:eastAsia="zh-CN" w:bidi="ar-SA"/>
        </w:rPr>
      </w:pPr>
    </w:p>
    <w:p w14:paraId="6C09689A">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14:paraId="151063B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14:paraId="642BCFE4">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6391F14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（一）设备维修管理专项审计</w:t>
      </w:r>
    </w:p>
    <w:p w14:paraId="68E366F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1.审计对象：2023- 2024年度设备维修科相关业务。</w:t>
      </w:r>
    </w:p>
    <w:p w14:paraId="74738E2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2.审计内容：</w:t>
      </w:r>
    </w:p>
    <w:p w14:paraId="6718DE7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大型设备维保审计：重点审查维保采购程序是否合规、维保合同执行状况，包括是否严格按照合同约定的维保周期、维保内容开展工作；检查费用支付的合规性，有无违规支付、超标准支付等问题；核实设备维修台账的完整性，确保记录真实、准确、无遗漏；排查是否存在虚假维保或超范围支出情况。审计事项不少于4个案例。具体事项与监审科联系。</w:t>
      </w:r>
    </w:p>
    <w:p w14:paraId="0103A95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零星维修专项审计：核查零星维修配件采购程序是否合规，有无维修配件采购台账；零星维修审批流程是否规范，是否严格执行医院的审批制度，零星维修台账是否完整；评估成本控制的有效性，分析成本是否合理、有无浪费现象；检查配件库房管理情况，包括库存盘点、出入库记录等；通过抽查项目，检查是否存在虚报工程量、重复结算、定价虚高等问题。审计事项不少于4个案例。具体事项与监审科联系。</w:t>
      </w:r>
    </w:p>
    <w:p w14:paraId="7DE7A3D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3.时间要求：2025年6月前完成审计工作并提交审计报告。</w:t>
      </w:r>
    </w:p>
    <w:p w14:paraId="572B860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（二）固定资产管理专项审计</w:t>
      </w:r>
    </w:p>
    <w:p w14:paraId="2289E49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1.审计对象：资产管理部门及闲置设备责任单位。</w:t>
      </w:r>
    </w:p>
    <w:p w14:paraId="50A8F75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2.审计内容：</w:t>
      </w:r>
    </w:p>
    <w:p w14:paraId="00308D9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调取闲置固定资产的年度收入情况，深入探究闲置固定资产的形成原因，明确管理责任主体，检查是否建立有效的盘活机制，以提高资产使用效率。</w:t>
      </w:r>
    </w:p>
    <w:p w14:paraId="0E4C686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审查近两年设备采购可行性分析报告的真实性，重点核查是否存在虚假论证、重复购置或利益输送问题；对闲置资产（不限两年内，具体名单由设备科提供）进行详细审计，分析资产闲置的原因及对医院资源的影响。审计事项不少于6台设备。具体事项与监审科联系。</w:t>
      </w:r>
    </w:p>
    <w:p w14:paraId="0437DD7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3.时间要求：2025年8月完成审计工作并提交审计报告。</w:t>
      </w:r>
    </w:p>
    <w:p w14:paraId="1487A36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（三）服务要求</w:t>
      </w:r>
    </w:p>
    <w:p w14:paraId="588A08A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1.第三方机构需独立开展审计工作，按照国家相关审计准则和医院要求实施审计程序，确保审计结果客观、公正、准确。</w:t>
      </w:r>
    </w:p>
    <w:p w14:paraId="4A80F8D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2.审计过程中，需与医院监审科保持密切沟通，监审科有权全程监督并参与管理，监审科与第三方机构应随时向主要领导和院纪委报告审计进展情况及发现的重大问题。</w:t>
      </w:r>
    </w:p>
    <w:p w14:paraId="2854010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ind w:left="0" w:right="0"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3.提交的审计报告应内容完整、格式规范，包括审计目的、范围、方法、发现的问题、整改建议等，并附相关证据材料。</w:t>
      </w:r>
    </w:p>
    <w:p w14:paraId="624C110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14:paraId="31341414">
      <w:pPr>
        <w:adjustRightInd w:val="0"/>
        <w:snapToGrid w:val="0"/>
        <w:spacing w:beforeLines="50" w:line="360" w:lineRule="auto"/>
        <w:jc w:val="left"/>
        <w:rPr>
          <w:rFonts w:asciiTheme="minorEastAsia" w:hAnsiTheme="minorEastAsia" w:eastAsiaTheme="minorEastAsia"/>
          <w:b/>
          <w:bCs/>
          <w:color w:val="auto"/>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14:paraId="65069E8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要求、责任范围和合同条件为基础进行报价。包括第三方机构履行本项目正常工作、附加工作和额外工作的酬金、税费、住宿、餐饮等所有费用，医院不再另行支付附加工作和额外工作酬金等其他任何费用。</w:t>
      </w:r>
    </w:p>
    <w:p w14:paraId="711E18A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w:t>
      </w:r>
    </w:p>
    <w:p w14:paraId="7223CD9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 投标人对采购项目内容只允许有一个投标报价，否则其投标无效。</w:t>
      </w:r>
    </w:p>
    <w:p w14:paraId="7F371C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14:paraId="7C8929F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14:paraId="7FEBAD0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14:paraId="465DE311">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14:paraId="21AA477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125833C">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14:paraId="2954CDFE">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14:paraId="4AB5C33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14:paraId="0C8AFC2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14:paraId="168983C6">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14:paraId="0B2586F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14:paraId="6E3C3853">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14:paraId="5034BAF0">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14:paraId="182C3758">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14:paraId="3757EE5D">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14:paraId="1316CAA3">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14:paraId="716ECF9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14:paraId="54E019D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14:paraId="0C6D96E8">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14:paraId="716C513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77CF59E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14:paraId="09367C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14:paraId="4A499071">
      <w:pPr>
        <w:rPr>
          <w:rFonts w:hint="eastAsia" w:asciiTheme="minorEastAsia" w:hAnsiTheme="minorEastAsia" w:eastAsiaTheme="minorEastAsia" w:cstheme="minorEastAsia"/>
          <w:bCs/>
          <w:color w:val="auto"/>
          <w:kern w:val="0"/>
          <w:sz w:val="28"/>
          <w:szCs w:val="28"/>
          <w:lang w:val="en-US" w:eastAsia="zh-CN" w:bidi="ar-SA"/>
        </w:rPr>
      </w:pPr>
    </w:p>
    <w:p w14:paraId="27F8D1AB">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4A02F45A">
      <w:pPr>
        <w:pStyle w:val="4"/>
        <w:spacing w:before="0" w:after="0"/>
        <w:jc w:val="center"/>
        <w:rPr>
          <w:rFonts w:hint="eastAsia" w:ascii="宋体" w:hAnsi="宋体"/>
          <w:color w:val="auto"/>
          <w:sz w:val="28"/>
          <w:szCs w:val="28"/>
        </w:rPr>
      </w:pPr>
      <w:r>
        <w:rPr>
          <w:rFonts w:hint="eastAsia" w:ascii="宋体" w:hAnsi="宋体"/>
          <w:color w:val="auto"/>
          <w:sz w:val="28"/>
          <w:szCs w:val="28"/>
        </w:rPr>
        <w:t>评</w:t>
      </w:r>
      <w:r>
        <w:rPr>
          <w:rFonts w:hint="eastAsia" w:ascii="宋体" w:hAnsi="宋体"/>
          <w:color w:val="auto"/>
          <w:sz w:val="28"/>
          <w:szCs w:val="28"/>
          <w:lang w:eastAsia="zh-CN"/>
        </w:rPr>
        <w:t>审</w:t>
      </w:r>
      <w:r>
        <w:rPr>
          <w:rFonts w:hint="eastAsia" w:ascii="宋体" w:hAnsi="宋体"/>
          <w:color w:val="auto"/>
          <w:sz w:val="28"/>
          <w:szCs w:val="28"/>
        </w:rPr>
        <w:t>因素及标准</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610"/>
        <w:gridCol w:w="885"/>
        <w:gridCol w:w="885"/>
        <w:gridCol w:w="5221"/>
      </w:tblGrid>
      <w:tr w14:paraId="089B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921" w:type="dxa"/>
            <w:vAlign w:val="top"/>
          </w:tcPr>
          <w:p w14:paraId="253AE9CD">
            <w:pPr>
              <w:jc w:val="center"/>
              <w:rPr>
                <w:rFonts w:hint="eastAsia" w:eastAsiaTheme="minorEastAsia"/>
                <w:color w:val="auto"/>
                <w:vertAlign w:val="baseline"/>
                <w:lang w:val="en-US" w:eastAsia="zh-CN"/>
              </w:rPr>
            </w:pPr>
            <w:r>
              <w:rPr>
                <w:rFonts w:hint="eastAsia"/>
                <w:color w:val="auto"/>
                <w:vertAlign w:val="baseline"/>
                <w:lang w:val="en-US" w:eastAsia="zh-CN"/>
              </w:rPr>
              <w:t>序号</w:t>
            </w:r>
          </w:p>
        </w:tc>
        <w:tc>
          <w:tcPr>
            <w:tcW w:w="1495" w:type="dxa"/>
            <w:gridSpan w:val="2"/>
          </w:tcPr>
          <w:p w14:paraId="11A1EA92">
            <w:pPr>
              <w:rPr>
                <w:color w:val="auto"/>
                <w:vertAlign w:val="baseline"/>
              </w:rPr>
            </w:pPr>
            <w:r>
              <w:rPr>
                <w:rFonts w:hint="eastAsia"/>
                <w:color w:val="auto"/>
              </w:rPr>
              <w:t>评审因素</w:t>
            </w:r>
          </w:p>
        </w:tc>
        <w:tc>
          <w:tcPr>
            <w:tcW w:w="885" w:type="dxa"/>
          </w:tcPr>
          <w:p w14:paraId="7D31DAFC">
            <w:pPr>
              <w:rPr>
                <w:rFonts w:hint="default" w:eastAsiaTheme="minorEastAsia"/>
                <w:color w:val="auto"/>
                <w:vertAlign w:val="baseline"/>
                <w:lang w:val="en-US" w:eastAsia="zh-CN"/>
              </w:rPr>
            </w:pPr>
            <w:r>
              <w:rPr>
                <w:rFonts w:hint="eastAsia"/>
                <w:color w:val="auto"/>
                <w:vertAlign w:val="baseline"/>
                <w:lang w:val="en-US" w:eastAsia="zh-CN"/>
              </w:rPr>
              <w:t>权值</w:t>
            </w:r>
          </w:p>
        </w:tc>
        <w:tc>
          <w:tcPr>
            <w:tcW w:w="5221" w:type="dxa"/>
          </w:tcPr>
          <w:p w14:paraId="1BC07BCC">
            <w:pPr>
              <w:ind w:firstLine="1680" w:firstLineChars="800"/>
              <w:rPr>
                <w:rFonts w:hint="eastAsia"/>
                <w:color w:val="auto"/>
              </w:rPr>
            </w:pPr>
            <w:r>
              <w:rPr>
                <w:rFonts w:hint="eastAsia"/>
                <w:color w:val="auto"/>
              </w:rPr>
              <w:t>评分标准</w:t>
            </w:r>
          </w:p>
          <w:p w14:paraId="054DCC23">
            <w:pPr>
              <w:rPr>
                <w:color w:val="auto"/>
                <w:vertAlign w:val="baseline"/>
              </w:rPr>
            </w:pPr>
          </w:p>
        </w:tc>
      </w:tr>
      <w:tr w14:paraId="2AF6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921" w:type="dxa"/>
            <w:vAlign w:val="top"/>
          </w:tcPr>
          <w:p w14:paraId="4C814379">
            <w:pPr>
              <w:jc w:val="center"/>
              <w:rPr>
                <w:rFonts w:hint="eastAsia" w:eastAsiaTheme="minorEastAsia"/>
                <w:color w:val="auto"/>
                <w:vertAlign w:val="baseline"/>
                <w:lang w:val="en-US" w:eastAsia="zh-CN"/>
              </w:rPr>
            </w:pPr>
            <w:r>
              <w:rPr>
                <w:rFonts w:hint="eastAsia"/>
                <w:color w:val="auto"/>
                <w:vertAlign w:val="baseline"/>
                <w:lang w:val="en-US" w:eastAsia="zh-CN"/>
              </w:rPr>
              <w:t>1</w:t>
            </w:r>
          </w:p>
        </w:tc>
        <w:tc>
          <w:tcPr>
            <w:tcW w:w="1495" w:type="dxa"/>
            <w:gridSpan w:val="2"/>
          </w:tcPr>
          <w:p w14:paraId="36121D83">
            <w:pPr>
              <w:rPr>
                <w:rFonts w:hint="eastAsia"/>
                <w:color w:val="auto"/>
                <w:vertAlign w:val="baseline"/>
                <w:lang w:val="en-US" w:eastAsia="zh-CN"/>
              </w:rPr>
            </w:pPr>
          </w:p>
          <w:p w14:paraId="54449A11">
            <w:pPr>
              <w:rPr>
                <w:rFonts w:hint="eastAsia"/>
                <w:color w:val="auto"/>
                <w:vertAlign w:val="baseline"/>
                <w:lang w:val="en-US" w:eastAsia="zh-CN"/>
              </w:rPr>
            </w:pPr>
          </w:p>
          <w:p w14:paraId="0E508115">
            <w:pPr>
              <w:rPr>
                <w:rFonts w:hint="eastAsia"/>
                <w:color w:val="auto"/>
                <w:vertAlign w:val="baseline"/>
                <w:lang w:val="en-US" w:eastAsia="zh-CN"/>
              </w:rPr>
            </w:pPr>
          </w:p>
          <w:p w14:paraId="119C14DF">
            <w:pPr>
              <w:rPr>
                <w:rFonts w:hint="eastAsia"/>
                <w:color w:val="auto"/>
                <w:vertAlign w:val="baseline"/>
                <w:lang w:val="en-US" w:eastAsia="zh-CN"/>
              </w:rPr>
            </w:pPr>
          </w:p>
          <w:p w14:paraId="0343E337">
            <w:pPr>
              <w:rPr>
                <w:rFonts w:hint="eastAsia"/>
                <w:color w:val="auto"/>
                <w:vertAlign w:val="baseline"/>
                <w:lang w:val="en-US" w:eastAsia="zh-CN"/>
              </w:rPr>
            </w:pPr>
          </w:p>
          <w:p w14:paraId="2EF81A15">
            <w:pPr>
              <w:rPr>
                <w:rFonts w:hint="default" w:eastAsiaTheme="minorEastAsia"/>
                <w:color w:val="auto"/>
                <w:vertAlign w:val="baseline"/>
                <w:lang w:val="en-US" w:eastAsia="zh-CN"/>
              </w:rPr>
            </w:pPr>
            <w:r>
              <w:rPr>
                <w:rFonts w:hint="eastAsia"/>
                <w:color w:val="auto"/>
                <w:vertAlign w:val="baseline"/>
                <w:lang w:val="en-US" w:eastAsia="zh-CN"/>
              </w:rPr>
              <w:t>价格部分</w:t>
            </w:r>
          </w:p>
        </w:tc>
        <w:tc>
          <w:tcPr>
            <w:tcW w:w="885" w:type="dxa"/>
            <w:vAlign w:val="center"/>
          </w:tcPr>
          <w:p w14:paraId="1CE880E3">
            <w:pPr>
              <w:jc w:val="center"/>
              <w:rPr>
                <w:rFonts w:hint="eastAsia"/>
                <w:color w:val="auto"/>
                <w:vertAlign w:val="baseline"/>
                <w:lang w:val="en-US" w:eastAsia="zh-CN"/>
              </w:rPr>
            </w:pPr>
          </w:p>
          <w:p w14:paraId="5462EBAD">
            <w:pPr>
              <w:jc w:val="center"/>
              <w:rPr>
                <w:rFonts w:hint="eastAsia"/>
                <w:color w:val="auto"/>
                <w:vertAlign w:val="baseline"/>
                <w:lang w:val="en-US" w:eastAsia="zh-CN"/>
              </w:rPr>
            </w:pPr>
          </w:p>
          <w:p w14:paraId="311DCDA7">
            <w:pPr>
              <w:jc w:val="center"/>
              <w:rPr>
                <w:rFonts w:hint="eastAsia"/>
                <w:color w:val="auto"/>
                <w:vertAlign w:val="baseline"/>
                <w:lang w:val="en-US" w:eastAsia="zh-CN"/>
              </w:rPr>
            </w:pPr>
          </w:p>
          <w:p w14:paraId="3629E1EE">
            <w:pPr>
              <w:jc w:val="center"/>
              <w:rPr>
                <w:rFonts w:hint="eastAsia"/>
                <w:color w:val="auto"/>
                <w:vertAlign w:val="baseline"/>
                <w:lang w:val="en-US" w:eastAsia="zh-CN"/>
              </w:rPr>
            </w:pPr>
          </w:p>
          <w:p w14:paraId="5CFA9963">
            <w:pPr>
              <w:jc w:val="center"/>
              <w:rPr>
                <w:rFonts w:hint="eastAsia"/>
                <w:color w:val="auto"/>
                <w:vertAlign w:val="baseline"/>
                <w:lang w:val="en-US" w:eastAsia="zh-CN"/>
              </w:rPr>
            </w:pPr>
          </w:p>
          <w:p w14:paraId="22165E70">
            <w:pPr>
              <w:jc w:val="center"/>
              <w:rPr>
                <w:rFonts w:hint="default" w:eastAsiaTheme="minorEastAsia"/>
                <w:color w:val="auto"/>
                <w:vertAlign w:val="baseline"/>
                <w:lang w:val="en-US" w:eastAsia="zh-CN"/>
              </w:rPr>
            </w:pPr>
            <w:r>
              <w:rPr>
                <w:rFonts w:hint="eastAsia"/>
                <w:color w:val="auto"/>
                <w:vertAlign w:val="baseline"/>
                <w:lang w:val="en-US" w:eastAsia="zh-CN"/>
              </w:rPr>
              <w:t>30</w:t>
            </w:r>
          </w:p>
        </w:tc>
        <w:tc>
          <w:tcPr>
            <w:tcW w:w="5221" w:type="dxa"/>
          </w:tcPr>
          <w:p w14:paraId="471179B3">
            <w:pPr>
              <w:rPr>
                <w:rFonts w:hint="eastAsia"/>
                <w:color w:val="auto"/>
              </w:rPr>
            </w:pPr>
            <w:r>
              <w:rPr>
                <w:rFonts w:hint="eastAsia"/>
                <w:color w:val="auto"/>
              </w:rPr>
              <w:t>经评委会一致认定满足文件要求且投标价格最低的投标报价</w:t>
            </w:r>
            <w:r>
              <w:rPr>
                <w:rFonts w:hint="eastAsia"/>
                <w:color w:val="auto"/>
                <w:lang w:val="en-US" w:eastAsia="zh-CN"/>
              </w:rPr>
              <w:t>为</w:t>
            </w:r>
            <w:r>
              <w:rPr>
                <w:rFonts w:hint="eastAsia"/>
                <w:color w:val="auto"/>
              </w:rPr>
              <w:t>评标基准价，其价格得分计30分。其他供应商的价格得分统一按公式计算：</w:t>
            </w:r>
          </w:p>
          <w:p w14:paraId="633565AC">
            <w:pPr>
              <w:rPr>
                <w:rFonts w:hint="default" w:eastAsiaTheme="minorEastAsia"/>
                <w:color w:val="auto"/>
                <w:lang w:val="en-US" w:eastAsia="zh-CN"/>
              </w:rPr>
            </w:pPr>
            <w:r>
              <w:rPr>
                <w:rFonts w:hint="eastAsia"/>
                <w:color w:val="auto"/>
              </w:rPr>
              <w:t>投标报价得分=（评标基准价/投标报价）×（报价</w:t>
            </w:r>
            <w:r>
              <w:rPr>
                <w:rFonts w:hint="eastAsia"/>
                <w:color w:val="auto"/>
                <w:lang w:val="en-US" w:eastAsia="zh-CN"/>
              </w:rPr>
              <w:t>权重分）</w:t>
            </w:r>
          </w:p>
          <w:p w14:paraId="6FF0A403">
            <w:pPr>
              <w:rPr>
                <w:color w:val="auto"/>
                <w:vertAlign w:val="baseline"/>
              </w:rPr>
            </w:pPr>
            <w:r>
              <w:rPr>
                <w:rFonts w:hint="eastAsia"/>
                <w:color w:val="auto"/>
              </w:rPr>
              <w:t>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w:t>
            </w:r>
          </w:p>
        </w:tc>
      </w:tr>
      <w:tr w14:paraId="0B94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2F8F54A1">
            <w:pPr>
              <w:jc w:val="center"/>
              <w:rPr>
                <w:rFonts w:hint="eastAsia" w:eastAsiaTheme="minorEastAsia"/>
                <w:color w:val="auto"/>
                <w:vertAlign w:val="baseline"/>
                <w:lang w:val="en-US" w:eastAsia="zh-CN"/>
              </w:rPr>
            </w:pPr>
            <w:r>
              <w:rPr>
                <w:rFonts w:hint="eastAsia"/>
                <w:color w:val="auto"/>
                <w:vertAlign w:val="baseline"/>
                <w:lang w:val="en-US" w:eastAsia="zh-CN"/>
              </w:rPr>
              <w:t>2</w:t>
            </w:r>
          </w:p>
        </w:tc>
        <w:tc>
          <w:tcPr>
            <w:tcW w:w="610" w:type="dxa"/>
            <w:vMerge w:val="restart"/>
          </w:tcPr>
          <w:p w14:paraId="74BC9A2F">
            <w:pPr>
              <w:rPr>
                <w:color w:val="auto"/>
                <w:vertAlign w:val="baseline"/>
              </w:rPr>
            </w:pPr>
          </w:p>
          <w:p w14:paraId="0597014B">
            <w:pPr>
              <w:rPr>
                <w:color w:val="auto"/>
                <w:vertAlign w:val="baseline"/>
              </w:rPr>
            </w:pPr>
          </w:p>
          <w:p w14:paraId="16804315">
            <w:pPr>
              <w:rPr>
                <w:color w:val="auto"/>
                <w:vertAlign w:val="baseline"/>
              </w:rPr>
            </w:pPr>
          </w:p>
          <w:p w14:paraId="3826D594">
            <w:pPr>
              <w:rPr>
                <w:color w:val="auto"/>
                <w:vertAlign w:val="baseline"/>
              </w:rPr>
            </w:pPr>
          </w:p>
          <w:p w14:paraId="411AE0F1">
            <w:pPr>
              <w:rPr>
                <w:color w:val="auto"/>
                <w:vertAlign w:val="baseline"/>
              </w:rPr>
            </w:pPr>
          </w:p>
          <w:p w14:paraId="57DE0B46">
            <w:pPr>
              <w:rPr>
                <w:color w:val="auto"/>
                <w:vertAlign w:val="baseline"/>
              </w:rPr>
            </w:pPr>
          </w:p>
          <w:p w14:paraId="60E41E6F">
            <w:pPr>
              <w:rPr>
                <w:color w:val="auto"/>
                <w:vertAlign w:val="baseline"/>
              </w:rPr>
            </w:pPr>
          </w:p>
          <w:p w14:paraId="56377447">
            <w:pPr>
              <w:rPr>
                <w:rFonts w:hint="eastAsia"/>
                <w:color w:val="auto"/>
                <w:vertAlign w:val="baseline"/>
                <w:lang w:val="en-US" w:eastAsia="zh-CN"/>
              </w:rPr>
            </w:pPr>
            <w:r>
              <w:rPr>
                <w:rFonts w:hint="eastAsia"/>
                <w:color w:val="auto"/>
                <w:vertAlign w:val="baseline"/>
                <w:lang w:val="en-US" w:eastAsia="zh-CN"/>
              </w:rPr>
              <w:t>技术部分</w:t>
            </w:r>
          </w:p>
          <w:p w14:paraId="77B06F7C">
            <w:pPr>
              <w:rPr>
                <w:rFonts w:hint="eastAsia"/>
                <w:color w:val="auto"/>
                <w:vertAlign w:val="baseline"/>
                <w:lang w:val="en-US" w:eastAsia="zh-CN"/>
              </w:rPr>
            </w:pPr>
            <w:r>
              <w:rPr>
                <w:rFonts w:hint="eastAsia"/>
                <w:color w:val="auto"/>
                <w:vertAlign w:val="baseline"/>
                <w:lang w:val="en-US" w:eastAsia="zh-CN"/>
              </w:rPr>
              <w:t>30</w:t>
            </w:r>
          </w:p>
          <w:p w14:paraId="6BDE85A7">
            <w:pPr>
              <w:rPr>
                <w:rFonts w:hint="default"/>
                <w:color w:val="auto"/>
                <w:vertAlign w:val="baseline"/>
                <w:lang w:val="en-US" w:eastAsia="zh-CN"/>
              </w:rPr>
            </w:pPr>
            <w:r>
              <w:rPr>
                <w:rFonts w:hint="eastAsia"/>
                <w:color w:val="auto"/>
                <w:vertAlign w:val="baseline"/>
                <w:lang w:val="en-US" w:eastAsia="zh-CN"/>
              </w:rPr>
              <w:t>分</w:t>
            </w:r>
          </w:p>
        </w:tc>
        <w:tc>
          <w:tcPr>
            <w:tcW w:w="885" w:type="dxa"/>
            <w:vAlign w:val="center"/>
          </w:tcPr>
          <w:p w14:paraId="32FEA45D">
            <w:pPr>
              <w:jc w:val="center"/>
              <w:rPr>
                <w:rFonts w:hint="eastAsia"/>
                <w:color w:val="auto"/>
                <w:vertAlign w:val="baseline"/>
                <w:lang w:val="en-US" w:eastAsia="zh-CN"/>
              </w:rPr>
            </w:pPr>
          </w:p>
          <w:p w14:paraId="5880243F">
            <w:pPr>
              <w:jc w:val="center"/>
              <w:rPr>
                <w:rFonts w:hint="eastAsia"/>
                <w:color w:val="auto"/>
                <w:vertAlign w:val="baseline"/>
                <w:lang w:val="en-US" w:eastAsia="zh-CN"/>
              </w:rPr>
            </w:pPr>
          </w:p>
          <w:p w14:paraId="21EAE780">
            <w:pPr>
              <w:jc w:val="center"/>
              <w:rPr>
                <w:rFonts w:hint="default" w:eastAsiaTheme="minorEastAsia"/>
                <w:color w:val="auto"/>
                <w:vertAlign w:val="baseline"/>
                <w:lang w:val="en-US" w:eastAsia="zh-CN"/>
              </w:rPr>
            </w:pPr>
            <w:r>
              <w:rPr>
                <w:rFonts w:hint="eastAsia"/>
                <w:color w:val="auto"/>
                <w:vertAlign w:val="baseline"/>
                <w:lang w:val="en-US" w:eastAsia="zh-CN"/>
              </w:rPr>
              <w:t>整体服务方案</w:t>
            </w:r>
          </w:p>
        </w:tc>
        <w:tc>
          <w:tcPr>
            <w:tcW w:w="885" w:type="dxa"/>
            <w:vAlign w:val="center"/>
          </w:tcPr>
          <w:p w14:paraId="70FB5B6A">
            <w:pPr>
              <w:jc w:val="center"/>
              <w:rPr>
                <w:rFonts w:hint="eastAsia"/>
                <w:color w:val="auto"/>
                <w:vertAlign w:val="baseline"/>
                <w:lang w:val="en-US" w:eastAsia="zh-CN"/>
              </w:rPr>
            </w:pPr>
          </w:p>
          <w:p w14:paraId="448550A6">
            <w:pPr>
              <w:jc w:val="center"/>
              <w:rPr>
                <w:rFonts w:hint="eastAsia"/>
                <w:color w:val="auto"/>
                <w:vertAlign w:val="baseline"/>
                <w:lang w:val="en-US" w:eastAsia="zh-CN"/>
              </w:rPr>
            </w:pPr>
          </w:p>
          <w:p w14:paraId="567E5DA9">
            <w:pPr>
              <w:jc w:val="center"/>
              <w:rPr>
                <w:rFonts w:hint="default" w:eastAsiaTheme="minorEastAsia"/>
                <w:color w:val="auto"/>
                <w:vertAlign w:val="baseline"/>
                <w:lang w:val="en-US" w:eastAsia="zh-CN"/>
              </w:rPr>
            </w:pPr>
            <w:r>
              <w:rPr>
                <w:rFonts w:hint="eastAsia"/>
                <w:color w:val="auto"/>
                <w:vertAlign w:val="baseline"/>
                <w:lang w:val="en-US" w:eastAsia="zh-CN"/>
              </w:rPr>
              <w:t>20</w:t>
            </w:r>
          </w:p>
        </w:tc>
        <w:tc>
          <w:tcPr>
            <w:tcW w:w="5221" w:type="dxa"/>
          </w:tcPr>
          <w:p w14:paraId="2C4D241B">
            <w:pPr>
              <w:rPr>
                <w:color w:val="auto"/>
                <w:vertAlign w:val="baseline"/>
              </w:rPr>
            </w:pPr>
            <w:r>
              <w:rPr>
                <w:rFonts w:hint="eastAsia"/>
                <w:color w:val="auto"/>
              </w:rPr>
              <w:t>投标人须针对本项目采购需求提供项目实施方案，内容包括但不限于：①工作计划及进度安排；②人员配备与岗位分工;③项目重难点分析；④质量保证措施；⑤项目后续服务方案。方案内容全面、合理、针对性、可行性高的计20分；不满足、有缺漏项、针对性和可实施性差的的每项扣4分；不缺项但欠合理、不全面、针对性和可实施性一般的的每处扣2分，扣完为止。未提供不计分。</w:t>
            </w:r>
          </w:p>
        </w:tc>
      </w:tr>
      <w:tr w14:paraId="340C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31D28A65">
            <w:pPr>
              <w:jc w:val="center"/>
              <w:rPr>
                <w:rFonts w:hint="eastAsia" w:eastAsiaTheme="minorEastAsia"/>
                <w:color w:val="auto"/>
                <w:vertAlign w:val="baseline"/>
                <w:lang w:val="en-US" w:eastAsia="zh-CN"/>
              </w:rPr>
            </w:pPr>
            <w:r>
              <w:rPr>
                <w:rFonts w:hint="eastAsia"/>
                <w:color w:val="auto"/>
                <w:vertAlign w:val="baseline"/>
                <w:lang w:val="en-US" w:eastAsia="zh-CN"/>
              </w:rPr>
              <w:t>3</w:t>
            </w:r>
          </w:p>
        </w:tc>
        <w:tc>
          <w:tcPr>
            <w:tcW w:w="610" w:type="dxa"/>
            <w:vMerge w:val="continue"/>
          </w:tcPr>
          <w:p w14:paraId="02C8AF64">
            <w:pPr>
              <w:rPr>
                <w:color w:val="auto"/>
                <w:vertAlign w:val="baseline"/>
              </w:rPr>
            </w:pPr>
          </w:p>
        </w:tc>
        <w:tc>
          <w:tcPr>
            <w:tcW w:w="885" w:type="dxa"/>
            <w:vAlign w:val="center"/>
          </w:tcPr>
          <w:p w14:paraId="3BA1A030">
            <w:pPr>
              <w:jc w:val="center"/>
              <w:rPr>
                <w:rFonts w:hint="eastAsia"/>
                <w:color w:val="auto"/>
                <w:vertAlign w:val="baseline"/>
                <w:lang w:val="en-US" w:eastAsia="zh-CN"/>
              </w:rPr>
            </w:pPr>
          </w:p>
          <w:p w14:paraId="06BD1C1D">
            <w:pPr>
              <w:jc w:val="center"/>
              <w:rPr>
                <w:rFonts w:hint="eastAsia"/>
                <w:color w:val="auto"/>
                <w:vertAlign w:val="baseline"/>
                <w:lang w:val="en-US" w:eastAsia="zh-CN"/>
              </w:rPr>
            </w:pPr>
          </w:p>
          <w:p w14:paraId="00B259E6">
            <w:pPr>
              <w:jc w:val="center"/>
              <w:rPr>
                <w:rFonts w:hint="default" w:eastAsiaTheme="minorEastAsia"/>
                <w:color w:val="auto"/>
                <w:vertAlign w:val="baseline"/>
                <w:lang w:val="en-US" w:eastAsia="zh-CN"/>
              </w:rPr>
            </w:pPr>
            <w:r>
              <w:rPr>
                <w:rFonts w:hint="eastAsia"/>
                <w:color w:val="auto"/>
                <w:vertAlign w:val="baseline"/>
                <w:lang w:val="en-US" w:eastAsia="zh-CN"/>
              </w:rPr>
              <w:t>综合管理</w:t>
            </w:r>
          </w:p>
        </w:tc>
        <w:tc>
          <w:tcPr>
            <w:tcW w:w="885" w:type="dxa"/>
            <w:vAlign w:val="center"/>
          </w:tcPr>
          <w:p w14:paraId="7B9ACE42">
            <w:pPr>
              <w:jc w:val="center"/>
              <w:rPr>
                <w:rFonts w:hint="eastAsia"/>
                <w:color w:val="auto"/>
                <w:vertAlign w:val="baseline"/>
                <w:lang w:val="en-US" w:eastAsia="zh-CN"/>
              </w:rPr>
            </w:pPr>
          </w:p>
          <w:p w14:paraId="451E3315">
            <w:pPr>
              <w:jc w:val="center"/>
              <w:rPr>
                <w:rFonts w:hint="eastAsia"/>
                <w:color w:val="auto"/>
                <w:vertAlign w:val="baseline"/>
                <w:lang w:val="en-US" w:eastAsia="zh-CN"/>
              </w:rPr>
            </w:pPr>
          </w:p>
          <w:p w14:paraId="05A64E7A">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5221" w:type="dxa"/>
          </w:tcPr>
          <w:p w14:paraId="2EE4BB86">
            <w:pPr>
              <w:rPr>
                <w:rFonts w:hint="eastAsia"/>
                <w:color w:val="auto"/>
              </w:rPr>
            </w:pPr>
            <w:r>
              <w:rPr>
                <w:rFonts w:hint="eastAsia"/>
                <w:color w:val="auto"/>
              </w:rPr>
              <w:t>投标人提供响应招标文件要求及审计工作需要的从业管理制度及措施，至少包括：①执业人员管理；②业务操作规程;③内部稽核；④廉政风险控制；⑤限时办结及服务时限节点部分等方面制度规定。</w:t>
            </w:r>
          </w:p>
          <w:p w14:paraId="34F436E6">
            <w:pPr>
              <w:rPr>
                <w:color w:val="auto"/>
                <w:vertAlign w:val="baseline"/>
              </w:rPr>
            </w:pPr>
            <w:r>
              <w:rPr>
                <w:rFonts w:hint="eastAsia"/>
                <w:color w:val="auto"/>
              </w:rPr>
              <w:t>制度完善科学、针对性和可实施性强的计5分；不满足、有缺漏项、针对性和可实施性差的每处扣1分；不缺项但不合理、不全面、针对性和可实施性一般的每处扣0.5分；扣完为止。未提供不计分。</w:t>
            </w:r>
          </w:p>
        </w:tc>
      </w:tr>
      <w:tr w14:paraId="5237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E0ED11E">
            <w:pPr>
              <w:jc w:val="center"/>
              <w:rPr>
                <w:rFonts w:hint="eastAsia" w:eastAsiaTheme="minorEastAsia"/>
                <w:color w:val="auto"/>
                <w:vertAlign w:val="baseline"/>
                <w:lang w:val="en-US" w:eastAsia="zh-CN"/>
              </w:rPr>
            </w:pPr>
            <w:r>
              <w:rPr>
                <w:rFonts w:hint="eastAsia"/>
                <w:color w:val="auto"/>
                <w:vertAlign w:val="baseline"/>
                <w:lang w:val="en-US" w:eastAsia="zh-CN"/>
              </w:rPr>
              <w:t>4</w:t>
            </w:r>
          </w:p>
        </w:tc>
        <w:tc>
          <w:tcPr>
            <w:tcW w:w="610" w:type="dxa"/>
            <w:vMerge w:val="continue"/>
          </w:tcPr>
          <w:p w14:paraId="65DA7052">
            <w:pPr>
              <w:rPr>
                <w:color w:val="auto"/>
                <w:vertAlign w:val="baseline"/>
              </w:rPr>
            </w:pPr>
          </w:p>
        </w:tc>
        <w:tc>
          <w:tcPr>
            <w:tcW w:w="885" w:type="dxa"/>
            <w:vAlign w:val="center"/>
          </w:tcPr>
          <w:p w14:paraId="6BAD5D53">
            <w:pPr>
              <w:jc w:val="center"/>
              <w:rPr>
                <w:rFonts w:hint="eastAsia"/>
                <w:color w:val="auto"/>
              </w:rPr>
            </w:pPr>
          </w:p>
          <w:p w14:paraId="13DE07C4">
            <w:pPr>
              <w:jc w:val="center"/>
              <w:rPr>
                <w:rFonts w:hint="eastAsia"/>
                <w:color w:val="auto"/>
              </w:rPr>
            </w:pPr>
          </w:p>
          <w:p w14:paraId="4015DD31">
            <w:pPr>
              <w:jc w:val="center"/>
              <w:rPr>
                <w:color w:val="auto"/>
                <w:vertAlign w:val="baseline"/>
              </w:rPr>
            </w:pPr>
            <w:r>
              <w:rPr>
                <w:rFonts w:hint="eastAsia"/>
                <w:color w:val="auto"/>
              </w:rPr>
              <w:t>售后服务方案</w:t>
            </w:r>
          </w:p>
        </w:tc>
        <w:tc>
          <w:tcPr>
            <w:tcW w:w="885" w:type="dxa"/>
            <w:vAlign w:val="center"/>
          </w:tcPr>
          <w:p w14:paraId="435EF14E">
            <w:pPr>
              <w:jc w:val="center"/>
              <w:rPr>
                <w:rFonts w:hint="eastAsia"/>
                <w:color w:val="auto"/>
                <w:vertAlign w:val="baseline"/>
                <w:lang w:val="en-US" w:eastAsia="zh-CN"/>
              </w:rPr>
            </w:pPr>
          </w:p>
          <w:p w14:paraId="66569863">
            <w:pPr>
              <w:jc w:val="center"/>
              <w:rPr>
                <w:rFonts w:hint="eastAsia"/>
                <w:color w:val="auto"/>
                <w:vertAlign w:val="baseline"/>
                <w:lang w:val="en-US" w:eastAsia="zh-CN"/>
              </w:rPr>
            </w:pPr>
          </w:p>
          <w:p w14:paraId="3497DA4E">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5221" w:type="dxa"/>
          </w:tcPr>
          <w:p w14:paraId="7FEB0AA8">
            <w:pPr>
              <w:rPr>
                <w:rFonts w:hint="eastAsia"/>
                <w:color w:val="auto"/>
              </w:rPr>
            </w:pPr>
            <w:r>
              <w:rPr>
                <w:rFonts w:hint="eastAsia"/>
                <w:color w:val="auto"/>
              </w:rPr>
              <w:t>制定项目售后服务方案，包括但不限于：①内控制度管理及处罚机制；②服务质量的有效保障措施；③后期资料递交的及时性保障；④后期成果资料的正确性保障；⑤应急处理措施等。方案完善且完全满足用户的需求的计5分；不满足、有缺漏项、针对性和可实施性差的每处扣1分；不缺项但不合理、不全面、针对性和可实施性一般的每处扣0.5分；扣完为止。未提供不计分。</w:t>
            </w:r>
          </w:p>
          <w:p w14:paraId="18DAEA9D">
            <w:pPr>
              <w:rPr>
                <w:rFonts w:hint="eastAsia"/>
                <w:color w:val="auto"/>
              </w:rPr>
            </w:pPr>
          </w:p>
        </w:tc>
      </w:tr>
      <w:tr w14:paraId="3626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921" w:type="dxa"/>
            <w:vAlign w:val="top"/>
          </w:tcPr>
          <w:p w14:paraId="6AB2FB43">
            <w:pPr>
              <w:jc w:val="center"/>
              <w:rPr>
                <w:rFonts w:hint="eastAsia" w:eastAsiaTheme="minorEastAsia"/>
                <w:color w:val="auto"/>
                <w:vertAlign w:val="baseline"/>
                <w:lang w:val="en-US" w:eastAsia="zh-CN"/>
              </w:rPr>
            </w:pPr>
            <w:r>
              <w:rPr>
                <w:rFonts w:hint="eastAsia"/>
                <w:color w:val="auto"/>
                <w:vertAlign w:val="baseline"/>
                <w:lang w:val="en-US" w:eastAsia="zh-CN"/>
              </w:rPr>
              <w:t>5</w:t>
            </w:r>
          </w:p>
        </w:tc>
        <w:tc>
          <w:tcPr>
            <w:tcW w:w="610" w:type="dxa"/>
            <w:vMerge w:val="restart"/>
          </w:tcPr>
          <w:p w14:paraId="1838A088">
            <w:pPr>
              <w:rPr>
                <w:rFonts w:hint="eastAsia"/>
                <w:color w:val="auto"/>
                <w:vertAlign w:val="baseline"/>
                <w:lang w:val="en-US" w:eastAsia="zh-CN"/>
              </w:rPr>
            </w:pPr>
          </w:p>
          <w:p w14:paraId="1FC8D956">
            <w:pPr>
              <w:rPr>
                <w:rFonts w:hint="eastAsia"/>
                <w:color w:val="auto"/>
                <w:vertAlign w:val="baseline"/>
                <w:lang w:val="en-US" w:eastAsia="zh-CN"/>
              </w:rPr>
            </w:pPr>
          </w:p>
          <w:p w14:paraId="3606D5C4">
            <w:pPr>
              <w:rPr>
                <w:rFonts w:hint="eastAsia"/>
                <w:color w:val="auto"/>
                <w:vertAlign w:val="baseline"/>
                <w:lang w:val="en-US" w:eastAsia="zh-CN"/>
              </w:rPr>
            </w:pPr>
          </w:p>
          <w:p w14:paraId="08E945BE">
            <w:pPr>
              <w:rPr>
                <w:rFonts w:hint="eastAsia"/>
                <w:color w:val="auto"/>
                <w:vertAlign w:val="baseline"/>
                <w:lang w:val="en-US" w:eastAsia="zh-CN"/>
              </w:rPr>
            </w:pPr>
          </w:p>
          <w:p w14:paraId="237EC915">
            <w:pPr>
              <w:rPr>
                <w:rFonts w:hint="eastAsia"/>
                <w:color w:val="auto"/>
                <w:vertAlign w:val="baseline"/>
                <w:lang w:val="en-US" w:eastAsia="zh-CN"/>
              </w:rPr>
            </w:pPr>
          </w:p>
          <w:p w14:paraId="28D0C42C">
            <w:pPr>
              <w:rPr>
                <w:rFonts w:hint="eastAsia"/>
                <w:color w:val="auto"/>
                <w:vertAlign w:val="baseline"/>
                <w:lang w:val="en-US" w:eastAsia="zh-CN"/>
              </w:rPr>
            </w:pPr>
          </w:p>
          <w:p w14:paraId="1B353D52">
            <w:pPr>
              <w:rPr>
                <w:rFonts w:hint="eastAsia"/>
                <w:color w:val="auto"/>
                <w:vertAlign w:val="baseline"/>
                <w:lang w:val="en-US" w:eastAsia="zh-CN"/>
              </w:rPr>
            </w:pPr>
          </w:p>
          <w:p w14:paraId="1269704B">
            <w:pPr>
              <w:rPr>
                <w:rFonts w:hint="eastAsia"/>
                <w:color w:val="auto"/>
                <w:vertAlign w:val="baseline"/>
                <w:lang w:val="en-US" w:eastAsia="zh-CN"/>
              </w:rPr>
            </w:pPr>
          </w:p>
          <w:p w14:paraId="68056ACB">
            <w:pPr>
              <w:rPr>
                <w:rFonts w:hint="eastAsia"/>
                <w:color w:val="auto"/>
                <w:vertAlign w:val="baseline"/>
                <w:lang w:val="en-US" w:eastAsia="zh-CN"/>
              </w:rPr>
            </w:pPr>
          </w:p>
          <w:p w14:paraId="325DFC93">
            <w:pPr>
              <w:rPr>
                <w:rFonts w:hint="eastAsia"/>
                <w:color w:val="auto"/>
                <w:vertAlign w:val="baseline"/>
                <w:lang w:val="en-US" w:eastAsia="zh-CN"/>
              </w:rPr>
            </w:pPr>
          </w:p>
          <w:p w14:paraId="23DD5709">
            <w:pPr>
              <w:rPr>
                <w:rFonts w:hint="eastAsia"/>
                <w:color w:val="auto"/>
                <w:vertAlign w:val="baseline"/>
                <w:lang w:val="en-US" w:eastAsia="zh-CN"/>
              </w:rPr>
            </w:pPr>
          </w:p>
          <w:p w14:paraId="0A17434A">
            <w:pPr>
              <w:rPr>
                <w:rFonts w:hint="eastAsia"/>
                <w:color w:val="auto"/>
                <w:vertAlign w:val="baseline"/>
                <w:lang w:val="en-US" w:eastAsia="zh-CN"/>
              </w:rPr>
            </w:pPr>
          </w:p>
          <w:p w14:paraId="1C973697">
            <w:pPr>
              <w:rPr>
                <w:rFonts w:hint="eastAsia"/>
                <w:color w:val="auto"/>
                <w:vertAlign w:val="baseline"/>
                <w:lang w:val="en-US" w:eastAsia="zh-CN"/>
              </w:rPr>
            </w:pPr>
          </w:p>
          <w:p w14:paraId="137DE293">
            <w:pPr>
              <w:rPr>
                <w:rFonts w:hint="eastAsia"/>
                <w:color w:val="auto"/>
                <w:vertAlign w:val="baseline"/>
                <w:lang w:val="en-US" w:eastAsia="zh-CN"/>
              </w:rPr>
            </w:pPr>
          </w:p>
          <w:p w14:paraId="32E92E74">
            <w:pPr>
              <w:rPr>
                <w:rFonts w:hint="eastAsia"/>
                <w:color w:val="auto"/>
                <w:vertAlign w:val="baseline"/>
                <w:lang w:val="en-US" w:eastAsia="zh-CN"/>
              </w:rPr>
            </w:pPr>
          </w:p>
          <w:p w14:paraId="747E54D2">
            <w:pPr>
              <w:rPr>
                <w:rFonts w:hint="eastAsia"/>
                <w:color w:val="auto"/>
                <w:vertAlign w:val="baseline"/>
                <w:lang w:val="en-US" w:eastAsia="zh-CN"/>
              </w:rPr>
            </w:pPr>
          </w:p>
          <w:p w14:paraId="4F8EDC64">
            <w:pPr>
              <w:rPr>
                <w:rFonts w:hint="eastAsia"/>
                <w:color w:val="auto"/>
                <w:vertAlign w:val="baseline"/>
                <w:lang w:val="en-US" w:eastAsia="zh-CN"/>
              </w:rPr>
            </w:pPr>
            <w:r>
              <w:rPr>
                <w:rFonts w:hint="eastAsia"/>
                <w:color w:val="auto"/>
                <w:vertAlign w:val="baseline"/>
                <w:lang w:val="en-US" w:eastAsia="zh-CN"/>
              </w:rPr>
              <w:t>商务部分</w:t>
            </w:r>
          </w:p>
          <w:p w14:paraId="6FE5894E">
            <w:pPr>
              <w:rPr>
                <w:rFonts w:hint="eastAsia"/>
                <w:color w:val="auto"/>
                <w:vertAlign w:val="baseline"/>
                <w:lang w:val="en-US" w:eastAsia="zh-CN"/>
              </w:rPr>
            </w:pPr>
            <w:r>
              <w:rPr>
                <w:rFonts w:hint="eastAsia"/>
                <w:color w:val="auto"/>
                <w:vertAlign w:val="baseline"/>
                <w:lang w:val="en-US" w:eastAsia="zh-CN"/>
              </w:rPr>
              <w:t>40</w:t>
            </w:r>
          </w:p>
          <w:p w14:paraId="21D9EDC2">
            <w:pPr>
              <w:rPr>
                <w:rFonts w:hint="default"/>
                <w:color w:val="auto"/>
                <w:vertAlign w:val="baseline"/>
                <w:lang w:val="en-US" w:eastAsia="zh-CN"/>
              </w:rPr>
            </w:pPr>
            <w:r>
              <w:rPr>
                <w:rFonts w:hint="eastAsia"/>
                <w:color w:val="auto"/>
                <w:vertAlign w:val="baseline"/>
                <w:lang w:val="en-US" w:eastAsia="zh-CN"/>
              </w:rPr>
              <w:t>分</w:t>
            </w:r>
          </w:p>
        </w:tc>
        <w:tc>
          <w:tcPr>
            <w:tcW w:w="885" w:type="dxa"/>
            <w:vAlign w:val="center"/>
          </w:tcPr>
          <w:p w14:paraId="3716274F">
            <w:pPr>
              <w:jc w:val="center"/>
              <w:rPr>
                <w:rFonts w:hint="eastAsia"/>
                <w:color w:val="auto"/>
                <w:vertAlign w:val="baseline"/>
                <w:lang w:val="en-US" w:eastAsia="zh-CN"/>
              </w:rPr>
            </w:pPr>
          </w:p>
          <w:p w14:paraId="7F1E82B4">
            <w:pPr>
              <w:jc w:val="center"/>
              <w:rPr>
                <w:rFonts w:hint="eastAsia"/>
                <w:color w:val="auto"/>
                <w:vertAlign w:val="baseline"/>
                <w:lang w:val="en-US" w:eastAsia="zh-CN"/>
              </w:rPr>
            </w:pPr>
          </w:p>
          <w:p w14:paraId="6EE0E404">
            <w:pPr>
              <w:jc w:val="center"/>
              <w:rPr>
                <w:rFonts w:hint="default" w:eastAsiaTheme="minorEastAsia"/>
                <w:color w:val="auto"/>
                <w:vertAlign w:val="baseline"/>
                <w:lang w:val="en-US" w:eastAsia="zh-CN"/>
              </w:rPr>
            </w:pPr>
            <w:r>
              <w:rPr>
                <w:rFonts w:hint="eastAsia"/>
                <w:color w:val="auto"/>
                <w:vertAlign w:val="baseline"/>
                <w:lang w:val="en-US" w:eastAsia="zh-CN"/>
              </w:rPr>
              <w:t>企业综合实力</w:t>
            </w:r>
          </w:p>
        </w:tc>
        <w:tc>
          <w:tcPr>
            <w:tcW w:w="885" w:type="dxa"/>
            <w:vAlign w:val="center"/>
          </w:tcPr>
          <w:p w14:paraId="3858AC5B">
            <w:pPr>
              <w:jc w:val="center"/>
              <w:rPr>
                <w:rFonts w:hint="eastAsia"/>
                <w:color w:val="auto"/>
                <w:vertAlign w:val="baseline"/>
                <w:lang w:val="en-US" w:eastAsia="zh-CN"/>
              </w:rPr>
            </w:pPr>
          </w:p>
          <w:p w14:paraId="11194E2C">
            <w:pPr>
              <w:jc w:val="center"/>
              <w:rPr>
                <w:rFonts w:hint="eastAsia"/>
                <w:color w:val="auto"/>
                <w:vertAlign w:val="baseline"/>
                <w:lang w:val="en-US" w:eastAsia="zh-CN"/>
              </w:rPr>
            </w:pPr>
          </w:p>
          <w:p w14:paraId="2C312BF9">
            <w:pPr>
              <w:jc w:val="center"/>
              <w:rPr>
                <w:rFonts w:hint="default" w:eastAsiaTheme="minorEastAsia"/>
                <w:color w:val="auto"/>
                <w:vertAlign w:val="baseline"/>
                <w:lang w:val="en-US" w:eastAsia="zh-CN"/>
              </w:rPr>
            </w:pPr>
            <w:r>
              <w:rPr>
                <w:rFonts w:hint="eastAsia"/>
                <w:color w:val="auto"/>
                <w:vertAlign w:val="baseline"/>
                <w:lang w:val="en-US" w:eastAsia="zh-CN"/>
              </w:rPr>
              <w:t>13</w:t>
            </w:r>
          </w:p>
        </w:tc>
        <w:tc>
          <w:tcPr>
            <w:tcW w:w="5221" w:type="dxa"/>
          </w:tcPr>
          <w:p w14:paraId="0612EA02">
            <w:pPr>
              <w:numPr>
                <w:ilvl w:val="0"/>
                <w:numId w:val="2"/>
              </w:numPr>
              <w:rPr>
                <w:rFonts w:hint="eastAsia"/>
                <w:color w:val="auto"/>
              </w:rPr>
            </w:pPr>
            <w:r>
              <w:rPr>
                <w:rFonts w:hint="eastAsia"/>
                <w:color w:val="auto"/>
              </w:rPr>
              <w:t>供应商近三年（2022年至今）获得市级及以上行业行政主管部门颁发质量考核优秀的，每提供1例，计1分。本项最多计3分。</w:t>
            </w:r>
          </w:p>
          <w:p w14:paraId="0C5A6BFF">
            <w:pPr>
              <w:rPr>
                <w:rFonts w:hint="eastAsia"/>
                <w:color w:val="auto"/>
              </w:rPr>
            </w:pPr>
            <w:r>
              <w:rPr>
                <w:rFonts w:hint="eastAsia"/>
                <w:color w:val="auto"/>
              </w:rPr>
              <w:t>2、供应商获得湖南省注册会计师协会关于发布《湖南省2023年度综合评价前60家会计师事务所信息》的通知排名前10名的计6分，排名11-20名计3分，21名-30名的计1分，不满足的不计分。本项最多计6分。</w:t>
            </w:r>
          </w:p>
          <w:p w14:paraId="2B1CEDB6">
            <w:pPr>
              <w:rPr>
                <w:rFonts w:hint="eastAsia" w:eastAsiaTheme="minorEastAsia"/>
                <w:color w:val="auto"/>
                <w:lang w:val="en-US" w:eastAsia="zh-CN"/>
              </w:rPr>
            </w:pPr>
            <w:r>
              <w:rPr>
                <w:rFonts w:hint="eastAsia"/>
                <w:color w:val="auto"/>
              </w:rPr>
              <w:t>3、供应商近三年（2022年至今）获得过省级及以上协会关于表彰行业优秀服务成果案例优秀组织奖或青年文明号或先进基层党组织的每个计2分，获得过</w:t>
            </w:r>
            <w:r>
              <w:rPr>
                <w:rFonts w:hint="eastAsia"/>
                <w:color w:val="auto"/>
                <w:lang w:val="en-US" w:eastAsia="zh-CN"/>
              </w:rPr>
              <w:t>地市</w:t>
            </w:r>
            <w:r>
              <w:rPr>
                <w:rFonts w:hint="eastAsia"/>
                <w:color w:val="auto"/>
              </w:rPr>
              <w:t>级协会关于表彰行业优秀服务成果案例优秀组织奖或青年文明号或先进基层党组织的每个计</w:t>
            </w:r>
            <w:r>
              <w:rPr>
                <w:rFonts w:hint="eastAsia"/>
                <w:color w:val="auto"/>
                <w:lang w:val="en-US" w:eastAsia="zh-CN"/>
              </w:rPr>
              <w:t>1</w:t>
            </w:r>
            <w:r>
              <w:rPr>
                <w:rFonts w:hint="eastAsia"/>
                <w:color w:val="auto"/>
              </w:rPr>
              <w:t>分，本项最多计4分</w:t>
            </w:r>
            <w:r>
              <w:rPr>
                <w:rFonts w:hint="eastAsia"/>
                <w:color w:val="auto"/>
                <w:lang w:eastAsia="zh-CN"/>
              </w:rPr>
              <w:t>。</w:t>
            </w:r>
          </w:p>
          <w:p w14:paraId="656BCE0D">
            <w:pPr>
              <w:rPr>
                <w:rFonts w:hint="eastAsia"/>
                <w:color w:val="auto"/>
              </w:rPr>
            </w:pPr>
            <w:r>
              <w:rPr>
                <w:rFonts w:hint="eastAsia"/>
                <w:color w:val="auto"/>
              </w:rPr>
              <w:t>（需提供证书复印件或者网站查询网址截图并加盖供应商公章，未提供不计分）</w:t>
            </w:r>
          </w:p>
        </w:tc>
      </w:tr>
      <w:tr w14:paraId="315C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600348C">
            <w:pPr>
              <w:jc w:val="center"/>
              <w:rPr>
                <w:rFonts w:hint="eastAsia" w:eastAsiaTheme="minorEastAsia"/>
                <w:color w:val="auto"/>
                <w:vertAlign w:val="baseline"/>
                <w:lang w:val="en-US" w:eastAsia="zh-CN"/>
              </w:rPr>
            </w:pPr>
            <w:r>
              <w:rPr>
                <w:rFonts w:hint="eastAsia"/>
                <w:color w:val="auto"/>
                <w:vertAlign w:val="baseline"/>
                <w:lang w:val="en-US" w:eastAsia="zh-CN"/>
              </w:rPr>
              <w:t>6</w:t>
            </w:r>
          </w:p>
        </w:tc>
        <w:tc>
          <w:tcPr>
            <w:tcW w:w="610" w:type="dxa"/>
            <w:vMerge w:val="continue"/>
          </w:tcPr>
          <w:p w14:paraId="227B9E8F">
            <w:pPr>
              <w:rPr>
                <w:color w:val="auto"/>
                <w:vertAlign w:val="baseline"/>
              </w:rPr>
            </w:pPr>
          </w:p>
        </w:tc>
        <w:tc>
          <w:tcPr>
            <w:tcW w:w="885" w:type="dxa"/>
            <w:vAlign w:val="center"/>
          </w:tcPr>
          <w:p w14:paraId="7DE7909F">
            <w:pPr>
              <w:jc w:val="center"/>
              <w:rPr>
                <w:rFonts w:hint="eastAsia"/>
                <w:color w:val="auto"/>
              </w:rPr>
            </w:pPr>
          </w:p>
          <w:p w14:paraId="3552EC25">
            <w:pPr>
              <w:jc w:val="center"/>
              <w:rPr>
                <w:rFonts w:hint="eastAsia"/>
                <w:color w:val="auto"/>
              </w:rPr>
            </w:pPr>
          </w:p>
          <w:p w14:paraId="1A783D6B">
            <w:pPr>
              <w:jc w:val="center"/>
              <w:rPr>
                <w:rFonts w:hint="eastAsia"/>
                <w:color w:val="auto"/>
              </w:rPr>
            </w:pPr>
            <w:r>
              <w:rPr>
                <w:rFonts w:hint="eastAsia"/>
                <w:color w:val="auto"/>
              </w:rPr>
              <w:t>类似业绩</w:t>
            </w:r>
          </w:p>
          <w:p w14:paraId="5CF145FD">
            <w:pPr>
              <w:jc w:val="center"/>
              <w:rPr>
                <w:color w:val="auto"/>
                <w:vertAlign w:val="baseline"/>
              </w:rPr>
            </w:pPr>
          </w:p>
        </w:tc>
        <w:tc>
          <w:tcPr>
            <w:tcW w:w="885" w:type="dxa"/>
            <w:vAlign w:val="center"/>
          </w:tcPr>
          <w:p w14:paraId="738986FE">
            <w:pPr>
              <w:jc w:val="center"/>
              <w:rPr>
                <w:rFonts w:hint="eastAsia"/>
                <w:color w:val="auto"/>
                <w:vertAlign w:val="baseline"/>
                <w:lang w:val="en-US" w:eastAsia="zh-CN"/>
              </w:rPr>
            </w:pPr>
          </w:p>
          <w:p w14:paraId="3C56E51E">
            <w:pPr>
              <w:jc w:val="center"/>
              <w:rPr>
                <w:rFonts w:hint="eastAsia"/>
                <w:color w:val="auto"/>
                <w:vertAlign w:val="baseline"/>
                <w:lang w:val="en-US" w:eastAsia="zh-CN"/>
              </w:rPr>
            </w:pPr>
          </w:p>
          <w:p w14:paraId="774E9B5A">
            <w:pPr>
              <w:jc w:val="center"/>
              <w:rPr>
                <w:rFonts w:hint="eastAsia"/>
                <w:color w:val="auto"/>
                <w:vertAlign w:val="baseline"/>
                <w:lang w:val="en-US" w:eastAsia="zh-CN"/>
              </w:rPr>
            </w:pPr>
          </w:p>
          <w:p w14:paraId="25B4F948">
            <w:pPr>
              <w:jc w:val="center"/>
              <w:rPr>
                <w:rFonts w:hint="default" w:eastAsiaTheme="minorEastAsia"/>
                <w:color w:val="auto"/>
                <w:vertAlign w:val="baseline"/>
                <w:lang w:val="en-US" w:eastAsia="zh-CN"/>
              </w:rPr>
            </w:pPr>
            <w:r>
              <w:rPr>
                <w:rFonts w:hint="eastAsia"/>
                <w:color w:val="auto"/>
                <w:vertAlign w:val="baseline"/>
                <w:lang w:val="en-US" w:eastAsia="zh-CN"/>
              </w:rPr>
              <w:t>15</w:t>
            </w:r>
          </w:p>
        </w:tc>
        <w:tc>
          <w:tcPr>
            <w:tcW w:w="5221" w:type="dxa"/>
          </w:tcPr>
          <w:p w14:paraId="42E27E45">
            <w:pPr>
              <w:rPr>
                <w:rFonts w:hint="default" w:eastAsiaTheme="minorEastAsia"/>
                <w:color w:val="auto"/>
                <w:lang w:val="en-US" w:eastAsia="zh-CN"/>
              </w:rPr>
            </w:pPr>
            <w:r>
              <w:rPr>
                <w:rFonts w:hint="eastAsia"/>
                <w:color w:val="auto"/>
              </w:rPr>
              <w:t>供应商自2022年至今（以合同签订时间为准）承担过医院类审计或咨询项目，每提供1份合同计3分，供应商自2022年至今（以合同签订时间为准）承担过</w:t>
            </w:r>
            <w:r>
              <w:rPr>
                <w:rFonts w:hint="eastAsia"/>
                <w:color w:val="auto"/>
                <w:lang w:val="en-US" w:eastAsia="zh-CN"/>
              </w:rPr>
              <w:t>企业</w:t>
            </w:r>
            <w:r>
              <w:rPr>
                <w:rFonts w:hint="eastAsia"/>
                <w:color w:val="auto"/>
              </w:rPr>
              <w:t>类审计或咨询项目，每提供1份合同计</w:t>
            </w:r>
            <w:r>
              <w:rPr>
                <w:rFonts w:hint="eastAsia"/>
                <w:color w:val="auto"/>
                <w:lang w:val="en-US" w:eastAsia="zh-CN"/>
              </w:rPr>
              <w:t>2</w:t>
            </w:r>
            <w:r>
              <w:rPr>
                <w:rFonts w:hint="eastAsia"/>
                <w:color w:val="auto"/>
              </w:rPr>
              <w:t>分，</w:t>
            </w:r>
            <w:r>
              <w:rPr>
                <w:rFonts w:hint="eastAsia"/>
                <w:color w:val="auto"/>
                <w:lang w:val="en-US" w:eastAsia="zh-CN"/>
              </w:rPr>
              <w:t>最多提供5份合同。</w:t>
            </w:r>
          </w:p>
          <w:p w14:paraId="0F7AACEB">
            <w:pPr>
              <w:rPr>
                <w:rFonts w:hint="eastAsia"/>
                <w:color w:val="auto"/>
              </w:rPr>
            </w:pPr>
            <w:r>
              <w:rPr>
                <w:rFonts w:hint="eastAsia"/>
                <w:color w:val="auto"/>
              </w:rPr>
              <w:t>注：须提供委托合同等有效证明材料复印件，并加盖投标人单位公章，未提供不计分。</w:t>
            </w:r>
          </w:p>
          <w:p w14:paraId="43A96401">
            <w:pPr>
              <w:rPr>
                <w:color w:val="auto"/>
                <w:vertAlign w:val="baseline"/>
              </w:rPr>
            </w:pPr>
          </w:p>
        </w:tc>
      </w:tr>
      <w:tr w14:paraId="401D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2DC7D817">
            <w:pPr>
              <w:jc w:val="center"/>
              <w:rPr>
                <w:rFonts w:hint="eastAsia" w:eastAsiaTheme="minorEastAsia"/>
                <w:color w:val="auto"/>
                <w:vertAlign w:val="baseline"/>
                <w:lang w:val="en-US" w:eastAsia="zh-CN"/>
              </w:rPr>
            </w:pPr>
            <w:r>
              <w:rPr>
                <w:rFonts w:hint="eastAsia"/>
                <w:color w:val="auto"/>
                <w:vertAlign w:val="baseline"/>
                <w:lang w:val="en-US" w:eastAsia="zh-CN"/>
              </w:rPr>
              <w:t>7</w:t>
            </w:r>
          </w:p>
        </w:tc>
        <w:tc>
          <w:tcPr>
            <w:tcW w:w="610" w:type="dxa"/>
            <w:vMerge w:val="continue"/>
          </w:tcPr>
          <w:p w14:paraId="7877E657">
            <w:pPr>
              <w:rPr>
                <w:color w:val="auto"/>
                <w:vertAlign w:val="baseline"/>
              </w:rPr>
            </w:pPr>
          </w:p>
        </w:tc>
        <w:tc>
          <w:tcPr>
            <w:tcW w:w="885" w:type="dxa"/>
            <w:vAlign w:val="center"/>
          </w:tcPr>
          <w:p w14:paraId="25C57940">
            <w:pPr>
              <w:jc w:val="center"/>
              <w:rPr>
                <w:rFonts w:hint="eastAsia"/>
                <w:color w:val="auto"/>
              </w:rPr>
            </w:pPr>
          </w:p>
          <w:p w14:paraId="42400293">
            <w:pPr>
              <w:jc w:val="center"/>
              <w:rPr>
                <w:rFonts w:hint="eastAsia"/>
                <w:color w:val="auto"/>
              </w:rPr>
            </w:pPr>
          </w:p>
          <w:p w14:paraId="372CC485">
            <w:pPr>
              <w:jc w:val="center"/>
              <w:rPr>
                <w:rFonts w:hint="eastAsia"/>
                <w:color w:val="auto"/>
              </w:rPr>
            </w:pPr>
          </w:p>
          <w:p w14:paraId="158768D0">
            <w:pPr>
              <w:jc w:val="center"/>
              <w:rPr>
                <w:rFonts w:hint="eastAsia"/>
                <w:color w:val="auto"/>
              </w:rPr>
            </w:pPr>
          </w:p>
          <w:p w14:paraId="54F63CE2">
            <w:pPr>
              <w:jc w:val="center"/>
              <w:rPr>
                <w:rFonts w:hint="eastAsia" w:eastAsiaTheme="minorEastAsia"/>
                <w:color w:val="auto"/>
                <w:vertAlign w:val="baseline"/>
                <w:lang w:val="en-US" w:eastAsia="zh-CN"/>
              </w:rPr>
            </w:pPr>
            <w:r>
              <w:rPr>
                <w:rFonts w:hint="eastAsia"/>
                <w:color w:val="auto"/>
              </w:rPr>
              <w:t>拟派团队成员实</w:t>
            </w:r>
            <w:r>
              <w:rPr>
                <w:rFonts w:hint="eastAsia"/>
                <w:color w:val="auto"/>
                <w:lang w:val="en-US" w:eastAsia="zh-CN"/>
              </w:rPr>
              <w:t>力</w:t>
            </w:r>
          </w:p>
        </w:tc>
        <w:tc>
          <w:tcPr>
            <w:tcW w:w="885" w:type="dxa"/>
            <w:vAlign w:val="center"/>
          </w:tcPr>
          <w:p w14:paraId="7D03FFB6">
            <w:pPr>
              <w:jc w:val="center"/>
              <w:rPr>
                <w:rFonts w:hint="eastAsia"/>
                <w:color w:val="auto"/>
                <w:vertAlign w:val="baseline"/>
                <w:lang w:val="en-US" w:eastAsia="zh-CN"/>
              </w:rPr>
            </w:pPr>
          </w:p>
          <w:p w14:paraId="594ACD9B">
            <w:pPr>
              <w:jc w:val="center"/>
              <w:rPr>
                <w:rFonts w:hint="eastAsia"/>
                <w:color w:val="auto"/>
                <w:vertAlign w:val="baseline"/>
                <w:lang w:val="en-US" w:eastAsia="zh-CN"/>
              </w:rPr>
            </w:pPr>
          </w:p>
          <w:p w14:paraId="7B5981E2">
            <w:pPr>
              <w:jc w:val="center"/>
              <w:rPr>
                <w:rFonts w:hint="eastAsia"/>
                <w:color w:val="auto"/>
                <w:vertAlign w:val="baseline"/>
                <w:lang w:val="en-US" w:eastAsia="zh-CN"/>
              </w:rPr>
            </w:pPr>
          </w:p>
          <w:p w14:paraId="1B624DE1">
            <w:pPr>
              <w:jc w:val="center"/>
              <w:rPr>
                <w:rFonts w:hint="eastAsia"/>
                <w:color w:val="auto"/>
                <w:vertAlign w:val="baseline"/>
                <w:lang w:val="en-US" w:eastAsia="zh-CN"/>
              </w:rPr>
            </w:pPr>
          </w:p>
          <w:p w14:paraId="73A7156A">
            <w:pPr>
              <w:jc w:val="center"/>
              <w:rPr>
                <w:rFonts w:hint="eastAsia"/>
                <w:color w:val="auto"/>
                <w:vertAlign w:val="baseline"/>
                <w:lang w:val="en-US" w:eastAsia="zh-CN"/>
              </w:rPr>
            </w:pPr>
          </w:p>
          <w:p w14:paraId="2AEDD2D9">
            <w:pPr>
              <w:jc w:val="center"/>
              <w:rPr>
                <w:rFonts w:hint="eastAsia" w:eastAsiaTheme="minorEastAsia"/>
                <w:color w:val="auto"/>
                <w:vertAlign w:val="baseline"/>
                <w:lang w:val="en-US" w:eastAsia="zh-CN"/>
              </w:rPr>
            </w:pPr>
            <w:r>
              <w:rPr>
                <w:rFonts w:hint="eastAsia"/>
                <w:color w:val="auto"/>
                <w:vertAlign w:val="baseline"/>
                <w:lang w:val="en-US" w:eastAsia="zh-CN"/>
              </w:rPr>
              <w:t>9</w:t>
            </w:r>
          </w:p>
        </w:tc>
        <w:tc>
          <w:tcPr>
            <w:tcW w:w="5221" w:type="dxa"/>
          </w:tcPr>
          <w:p w14:paraId="57E5722C">
            <w:pPr>
              <w:numPr>
                <w:ilvl w:val="0"/>
                <w:numId w:val="3"/>
              </w:numPr>
              <w:rPr>
                <w:rFonts w:hint="eastAsia"/>
                <w:color w:val="auto"/>
              </w:rPr>
            </w:pPr>
            <w:r>
              <w:rPr>
                <w:rFonts w:hint="eastAsia"/>
                <w:color w:val="auto"/>
              </w:rPr>
              <w:t>拟派项目负责人具有注册会计师证</w:t>
            </w:r>
            <w:r>
              <w:rPr>
                <w:rFonts w:hint="eastAsia"/>
                <w:color w:val="auto"/>
                <w:lang w:val="en-US" w:eastAsia="zh-CN"/>
              </w:rPr>
              <w:t>或</w:t>
            </w:r>
            <w:r>
              <w:rPr>
                <w:rFonts w:hint="eastAsia"/>
                <w:color w:val="auto"/>
              </w:rPr>
              <w:t>高级会计师</w:t>
            </w:r>
            <w:r>
              <w:rPr>
                <w:rFonts w:hint="eastAsia"/>
                <w:color w:val="auto"/>
                <w:lang w:val="en-US" w:eastAsia="zh-CN"/>
              </w:rPr>
              <w:t>或高级审计师证</w:t>
            </w:r>
            <w:r>
              <w:rPr>
                <w:rFonts w:hint="eastAsia"/>
                <w:color w:val="auto"/>
              </w:rPr>
              <w:t>且工作经验5年及以上的计3分；其他不计分，本项满分3分;</w:t>
            </w:r>
          </w:p>
          <w:p w14:paraId="08B7E624">
            <w:pPr>
              <w:numPr>
                <w:ilvl w:val="0"/>
                <w:numId w:val="3"/>
              </w:numPr>
              <w:rPr>
                <w:rFonts w:hint="eastAsia"/>
                <w:color w:val="auto"/>
              </w:rPr>
            </w:pPr>
            <w:r>
              <w:rPr>
                <w:rFonts w:hint="eastAsia"/>
                <w:color w:val="auto"/>
              </w:rPr>
              <w:t>拟派团队人员中具有4个注册会计师的计2分，每增加1</w:t>
            </w:r>
            <w:r>
              <w:rPr>
                <w:rFonts w:hint="eastAsia"/>
                <w:color w:val="auto"/>
                <w:lang w:val="en-US" w:eastAsia="zh-CN"/>
              </w:rPr>
              <w:t>个</w:t>
            </w:r>
            <w:r>
              <w:rPr>
                <w:rFonts w:hint="eastAsia"/>
                <w:color w:val="auto"/>
              </w:rPr>
              <w:t>注册会计师加1分，本项满分6分。</w:t>
            </w:r>
            <w:r>
              <w:rPr>
                <w:rFonts w:hint="eastAsia"/>
                <w:color w:val="auto"/>
                <w:lang w:val="en-US" w:eastAsia="zh-CN"/>
              </w:rPr>
              <w:t>1、2项</w:t>
            </w:r>
            <w:r>
              <w:rPr>
                <w:rFonts w:hint="eastAsia"/>
                <w:color w:val="auto"/>
              </w:rPr>
              <w:t>不重复计分。</w:t>
            </w:r>
          </w:p>
          <w:p w14:paraId="69D43462">
            <w:pPr>
              <w:rPr>
                <w:rFonts w:hint="eastAsia"/>
                <w:color w:val="auto"/>
              </w:rPr>
            </w:pPr>
            <w:r>
              <w:rPr>
                <w:rFonts w:hint="eastAsia"/>
                <w:color w:val="auto"/>
              </w:rPr>
              <w:t>注：以上须提供相关年份作为人员资质证明复印件和工作经验证明，并加盖投标人公章，如资质证件载明其所属从业单位非投标人的或未载明其所属从业单位的，不计分。</w:t>
            </w:r>
          </w:p>
          <w:p w14:paraId="485AD517">
            <w:pPr>
              <w:rPr>
                <w:rFonts w:hint="eastAsia"/>
                <w:color w:val="auto"/>
              </w:rPr>
            </w:pPr>
            <w:r>
              <w:rPr>
                <w:rFonts w:hint="eastAsia"/>
                <w:color w:val="auto"/>
              </w:rPr>
              <w:t>工作经验以签章最早的审计报告判定标准，没有满足年限不予计分；为本单位人员须提供开标前六个月内任意三个月投标人单位为其缴纳的社保证明。</w:t>
            </w:r>
          </w:p>
          <w:p w14:paraId="708BAAEE">
            <w:pPr>
              <w:rPr>
                <w:color w:val="auto"/>
                <w:vertAlign w:val="baseline"/>
              </w:rPr>
            </w:pPr>
          </w:p>
        </w:tc>
      </w:tr>
      <w:tr w14:paraId="523F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top"/>
          </w:tcPr>
          <w:p w14:paraId="14BF3E8B">
            <w:pPr>
              <w:jc w:val="center"/>
              <w:rPr>
                <w:rFonts w:hint="eastAsia" w:eastAsiaTheme="minorEastAsia"/>
                <w:color w:val="auto"/>
                <w:vertAlign w:val="baseline"/>
                <w:lang w:val="en-US" w:eastAsia="zh-CN"/>
              </w:rPr>
            </w:pPr>
            <w:r>
              <w:rPr>
                <w:rFonts w:hint="eastAsia"/>
                <w:color w:val="auto"/>
                <w:vertAlign w:val="baseline"/>
                <w:lang w:val="en-US" w:eastAsia="zh-CN"/>
              </w:rPr>
              <w:t>8</w:t>
            </w:r>
          </w:p>
        </w:tc>
        <w:tc>
          <w:tcPr>
            <w:tcW w:w="610" w:type="dxa"/>
            <w:vMerge w:val="continue"/>
          </w:tcPr>
          <w:p w14:paraId="3AE587E3">
            <w:pPr>
              <w:rPr>
                <w:color w:val="auto"/>
                <w:vertAlign w:val="baseline"/>
              </w:rPr>
            </w:pPr>
          </w:p>
        </w:tc>
        <w:tc>
          <w:tcPr>
            <w:tcW w:w="885" w:type="dxa"/>
            <w:vAlign w:val="center"/>
          </w:tcPr>
          <w:p w14:paraId="3B010682">
            <w:pPr>
              <w:jc w:val="center"/>
              <w:rPr>
                <w:rFonts w:hint="eastAsia"/>
                <w:color w:val="auto"/>
              </w:rPr>
            </w:pPr>
          </w:p>
          <w:p w14:paraId="7DA60A8E">
            <w:pPr>
              <w:jc w:val="center"/>
              <w:rPr>
                <w:color w:val="auto"/>
                <w:vertAlign w:val="baseline"/>
              </w:rPr>
            </w:pPr>
            <w:r>
              <w:rPr>
                <w:rFonts w:hint="eastAsia"/>
                <w:color w:val="auto"/>
              </w:rPr>
              <w:t>体系认证</w:t>
            </w:r>
          </w:p>
        </w:tc>
        <w:tc>
          <w:tcPr>
            <w:tcW w:w="885" w:type="dxa"/>
            <w:vAlign w:val="center"/>
          </w:tcPr>
          <w:p w14:paraId="37F08F98">
            <w:pPr>
              <w:jc w:val="center"/>
              <w:rPr>
                <w:rFonts w:hint="eastAsia" w:eastAsiaTheme="minorEastAsia"/>
                <w:color w:val="auto"/>
                <w:vertAlign w:val="baseline"/>
                <w:lang w:val="en-US" w:eastAsia="zh-CN"/>
              </w:rPr>
            </w:pPr>
            <w:r>
              <w:rPr>
                <w:rFonts w:hint="eastAsia"/>
                <w:color w:val="auto"/>
                <w:vertAlign w:val="baseline"/>
                <w:lang w:val="en-US" w:eastAsia="zh-CN"/>
              </w:rPr>
              <w:t>3</w:t>
            </w:r>
          </w:p>
        </w:tc>
        <w:tc>
          <w:tcPr>
            <w:tcW w:w="5221" w:type="dxa"/>
          </w:tcPr>
          <w:p w14:paraId="1496FD4A">
            <w:pPr>
              <w:rPr>
                <w:rFonts w:hint="eastAsia"/>
                <w:color w:val="auto"/>
              </w:rPr>
            </w:pPr>
            <w:r>
              <w:rPr>
                <w:rFonts w:hint="eastAsia"/>
                <w:color w:val="auto"/>
              </w:rPr>
              <w:t>供应商具有在有效期内的ISO9001质量管理体系认证证书、IS045001或OHSAS18001职业健康安全管理体系认证证书、ISO14001环境管理体系认证证书。每具有一项证书计1分，最多不超过3分，未提供不得分。</w:t>
            </w:r>
          </w:p>
          <w:p w14:paraId="2AFD8236">
            <w:pPr>
              <w:rPr>
                <w:color w:val="auto"/>
                <w:vertAlign w:val="baseline"/>
              </w:rPr>
            </w:pPr>
          </w:p>
        </w:tc>
      </w:tr>
    </w:tbl>
    <w:p w14:paraId="1C33732C">
      <w:pPr>
        <w:spacing w:before="120" w:beforeLines="50" w:after="120" w:afterLines="50" w:line="360" w:lineRule="auto"/>
        <w:rPr>
          <w:rFonts w:hint="eastAsia" w:ascii="宋体" w:hAnsi="宋体" w:cs="宋体"/>
          <w:color w:val="auto"/>
          <w:sz w:val="28"/>
          <w:szCs w:val="28"/>
        </w:rPr>
      </w:pPr>
    </w:p>
    <w:p w14:paraId="73D83E8E">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14:paraId="707B6C8E">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评标结果按评审后得分由高到低顺序排列；综合得分相同的，按投标报价由低到高顺序排列；综合得分且投标报价得分相同的，按技术得分由高到低顺序排列。</w:t>
      </w:r>
    </w:p>
    <w:p w14:paraId="0A037640">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14:paraId="6BB4B683">
      <w:pPr>
        <w:pStyle w:val="16"/>
        <w:rPr>
          <w:color w:val="auto"/>
        </w:rPr>
      </w:pPr>
    </w:p>
    <w:p w14:paraId="5885EE12">
      <w:pPr>
        <w:rPr>
          <w:color w:val="auto"/>
        </w:rPr>
      </w:pPr>
      <w:r>
        <w:rPr>
          <w:color w:val="auto"/>
        </w:rPr>
        <w:br w:type="page"/>
      </w:r>
    </w:p>
    <w:p w14:paraId="488D5105">
      <w:pPr>
        <w:pStyle w:val="16"/>
        <w:rPr>
          <w:color w:val="auto"/>
        </w:rPr>
      </w:pPr>
    </w:p>
    <w:p w14:paraId="78323885">
      <w:pPr>
        <w:pStyle w:val="16"/>
        <w:widowControl w:val="0"/>
        <w:numPr>
          <w:ilvl w:val="0"/>
          <w:numId w:val="0"/>
        </w:numPr>
        <w:jc w:val="both"/>
        <w:rPr>
          <w:color w:val="auto"/>
          <w:sz w:val="28"/>
          <w:szCs w:val="28"/>
        </w:rPr>
      </w:pPr>
    </w:p>
    <w:p w14:paraId="22BE294C">
      <w:pPr>
        <w:pStyle w:val="16"/>
        <w:widowControl w:val="0"/>
        <w:numPr>
          <w:ilvl w:val="0"/>
          <w:numId w:val="0"/>
        </w:numPr>
        <w:jc w:val="both"/>
        <w:rPr>
          <w:color w:val="auto"/>
          <w:sz w:val="28"/>
          <w:szCs w:val="28"/>
        </w:rPr>
      </w:pPr>
    </w:p>
    <w:p w14:paraId="47BDAF12">
      <w:pPr>
        <w:pStyle w:val="3"/>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14:paraId="1EBD4351">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A1E80E7">
      <w:pPr>
        <w:rPr>
          <w:rFonts w:hint="eastAsia" w:ascii="宋体" w:hAnsi="宋体" w:cs="宋体"/>
          <w:color w:val="auto"/>
        </w:rPr>
      </w:pPr>
    </w:p>
    <w:bookmarkEnd w:id="2"/>
    <w:p w14:paraId="69736F2D">
      <w:pPr>
        <w:rPr>
          <w:rFonts w:hint="eastAsia"/>
          <w:color w:val="auto"/>
        </w:rPr>
      </w:pPr>
    </w:p>
    <w:p w14:paraId="2EA94070">
      <w:pPr>
        <w:jc w:val="center"/>
        <w:rPr>
          <w:b/>
          <w:color w:val="auto"/>
          <w:sz w:val="24"/>
        </w:rPr>
      </w:pPr>
      <w:r>
        <w:rPr>
          <w:b/>
          <w:color w:val="auto"/>
          <w:sz w:val="28"/>
          <w:szCs w:val="28"/>
        </w:rPr>
        <w:t>第一部分、开标一览表</w:t>
      </w:r>
    </w:p>
    <w:p w14:paraId="768A6B7C">
      <w:pPr>
        <w:jc w:val="center"/>
        <w:rPr>
          <w:b/>
          <w:color w:val="auto"/>
          <w:sz w:val="24"/>
        </w:rPr>
      </w:pPr>
    </w:p>
    <w:p w14:paraId="3854C720">
      <w:pPr>
        <w:pStyle w:val="17"/>
        <w:rPr>
          <w:color w:val="auto"/>
        </w:rPr>
      </w:pPr>
    </w:p>
    <w:p w14:paraId="2BC29B3A">
      <w:pPr>
        <w:adjustRightInd w:val="0"/>
        <w:snapToGrid w:val="0"/>
        <w:spacing w:line="360" w:lineRule="auto"/>
        <w:jc w:val="center"/>
        <w:rPr>
          <w:rFonts w:hint="eastAsia" w:ascii="宋体" w:hAnsi="宋体" w:cs="宋体"/>
          <w:b/>
          <w:color w:val="auto"/>
          <w:sz w:val="28"/>
          <w:szCs w:val="28"/>
        </w:rPr>
      </w:pPr>
    </w:p>
    <w:p w14:paraId="1FBD36E0">
      <w:pPr>
        <w:adjustRightInd w:val="0"/>
        <w:snapToGrid w:val="0"/>
        <w:spacing w:line="360" w:lineRule="auto"/>
        <w:jc w:val="center"/>
        <w:rPr>
          <w:rFonts w:hint="eastAsia" w:ascii="宋体" w:hAnsi="宋体" w:cs="宋体"/>
          <w:b/>
          <w:color w:val="auto"/>
          <w:sz w:val="28"/>
          <w:szCs w:val="28"/>
        </w:rPr>
      </w:pPr>
    </w:p>
    <w:p w14:paraId="477C88E9">
      <w:pPr>
        <w:adjustRightInd w:val="0"/>
        <w:snapToGrid w:val="0"/>
        <w:spacing w:line="360" w:lineRule="auto"/>
        <w:jc w:val="center"/>
        <w:rPr>
          <w:rFonts w:hint="eastAsia" w:ascii="宋体" w:hAnsi="宋体" w:cs="宋体"/>
          <w:b/>
          <w:color w:val="auto"/>
          <w:sz w:val="28"/>
          <w:szCs w:val="28"/>
        </w:rPr>
      </w:pPr>
    </w:p>
    <w:p w14:paraId="27A4C153">
      <w:pPr>
        <w:adjustRightInd w:val="0"/>
        <w:snapToGrid w:val="0"/>
        <w:spacing w:line="360" w:lineRule="auto"/>
        <w:jc w:val="center"/>
        <w:rPr>
          <w:rFonts w:hint="eastAsia" w:ascii="宋体" w:hAnsi="宋体" w:cs="宋体"/>
          <w:b/>
          <w:color w:val="auto"/>
          <w:sz w:val="28"/>
          <w:szCs w:val="28"/>
        </w:rPr>
      </w:pPr>
    </w:p>
    <w:p w14:paraId="1CDFD655">
      <w:pPr>
        <w:adjustRightInd w:val="0"/>
        <w:snapToGrid w:val="0"/>
        <w:spacing w:line="360" w:lineRule="auto"/>
        <w:jc w:val="center"/>
        <w:rPr>
          <w:rFonts w:hint="eastAsia" w:ascii="宋体" w:hAnsi="宋体" w:cs="宋体"/>
          <w:b/>
          <w:color w:val="auto"/>
          <w:sz w:val="28"/>
          <w:szCs w:val="28"/>
        </w:rPr>
      </w:pPr>
    </w:p>
    <w:p w14:paraId="73571699">
      <w:pPr>
        <w:adjustRightInd w:val="0"/>
        <w:snapToGrid w:val="0"/>
        <w:spacing w:line="360" w:lineRule="auto"/>
        <w:jc w:val="center"/>
        <w:rPr>
          <w:rFonts w:hint="eastAsia" w:ascii="宋体" w:hAnsi="宋体" w:cs="宋体"/>
          <w:b/>
          <w:color w:val="auto"/>
          <w:sz w:val="28"/>
          <w:szCs w:val="28"/>
        </w:rPr>
      </w:pPr>
    </w:p>
    <w:p w14:paraId="47FC6A0B">
      <w:pPr>
        <w:adjustRightInd w:val="0"/>
        <w:snapToGrid w:val="0"/>
        <w:spacing w:line="360" w:lineRule="auto"/>
        <w:jc w:val="center"/>
        <w:rPr>
          <w:rFonts w:hint="eastAsia" w:ascii="宋体" w:hAnsi="宋体" w:cs="宋体"/>
          <w:b/>
          <w:color w:val="auto"/>
          <w:sz w:val="28"/>
          <w:szCs w:val="28"/>
        </w:rPr>
      </w:pPr>
    </w:p>
    <w:p w14:paraId="459A3B97">
      <w:pPr>
        <w:adjustRightInd w:val="0"/>
        <w:snapToGrid w:val="0"/>
        <w:spacing w:line="360" w:lineRule="auto"/>
        <w:jc w:val="center"/>
        <w:rPr>
          <w:rFonts w:hint="eastAsia" w:ascii="宋体" w:hAnsi="宋体" w:cs="宋体"/>
          <w:b/>
          <w:color w:val="auto"/>
          <w:sz w:val="28"/>
          <w:szCs w:val="28"/>
        </w:rPr>
      </w:pPr>
    </w:p>
    <w:p w14:paraId="7AF40BD2">
      <w:pPr>
        <w:adjustRightInd w:val="0"/>
        <w:snapToGrid w:val="0"/>
        <w:spacing w:line="360" w:lineRule="auto"/>
        <w:jc w:val="center"/>
        <w:rPr>
          <w:rFonts w:hint="eastAsia" w:ascii="宋体" w:hAnsi="宋体" w:cs="宋体"/>
          <w:b/>
          <w:color w:val="auto"/>
          <w:sz w:val="28"/>
          <w:szCs w:val="28"/>
        </w:rPr>
      </w:pPr>
    </w:p>
    <w:p w14:paraId="33B7749D">
      <w:pPr>
        <w:adjustRightInd w:val="0"/>
        <w:snapToGrid w:val="0"/>
        <w:spacing w:line="360" w:lineRule="auto"/>
        <w:jc w:val="center"/>
        <w:rPr>
          <w:rFonts w:hint="eastAsia" w:ascii="宋体" w:hAnsi="宋体" w:cs="宋体"/>
          <w:b/>
          <w:color w:val="auto"/>
          <w:sz w:val="28"/>
          <w:szCs w:val="28"/>
        </w:rPr>
      </w:pPr>
    </w:p>
    <w:p w14:paraId="4615BED2">
      <w:pPr>
        <w:adjustRightInd w:val="0"/>
        <w:snapToGrid w:val="0"/>
        <w:spacing w:line="360" w:lineRule="auto"/>
        <w:jc w:val="center"/>
        <w:rPr>
          <w:rFonts w:hint="eastAsia" w:ascii="宋体" w:hAnsi="宋体" w:cs="宋体"/>
          <w:b/>
          <w:color w:val="auto"/>
          <w:sz w:val="28"/>
          <w:szCs w:val="28"/>
        </w:rPr>
      </w:pPr>
    </w:p>
    <w:p w14:paraId="266D67AC">
      <w:pPr>
        <w:adjustRightInd w:val="0"/>
        <w:snapToGrid w:val="0"/>
        <w:spacing w:line="360" w:lineRule="auto"/>
        <w:jc w:val="center"/>
        <w:rPr>
          <w:rFonts w:hint="eastAsia" w:ascii="宋体" w:hAnsi="宋体" w:cs="宋体"/>
          <w:b/>
          <w:color w:val="auto"/>
          <w:sz w:val="28"/>
          <w:szCs w:val="28"/>
        </w:rPr>
      </w:pPr>
    </w:p>
    <w:p w14:paraId="241BE6A0">
      <w:pPr>
        <w:adjustRightInd w:val="0"/>
        <w:snapToGrid w:val="0"/>
        <w:spacing w:line="360" w:lineRule="auto"/>
        <w:jc w:val="center"/>
        <w:rPr>
          <w:rFonts w:hint="eastAsia" w:ascii="宋体" w:hAnsi="宋体" w:cs="宋体"/>
          <w:b/>
          <w:color w:val="auto"/>
          <w:sz w:val="28"/>
          <w:szCs w:val="28"/>
        </w:rPr>
      </w:pPr>
    </w:p>
    <w:p w14:paraId="3512AA9F">
      <w:pPr>
        <w:adjustRightInd w:val="0"/>
        <w:snapToGrid w:val="0"/>
        <w:spacing w:line="360" w:lineRule="auto"/>
        <w:jc w:val="center"/>
        <w:rPr>
          <w:rFonts w:hint="eastAsia" w:ascii="宋体" w:hAnsi="宋体" w:cs="宋体"/>
          <w:b/>
          <w:color w:val="auto"/>
          <w:sz w:val="28"/>
          <w:szCs w:val="28"/>
        </w:rPr>
      </w:pPr>
    </w:p>
    <w:p w14:paraId="089F9604">
      <w:pPr>
        <w:adjustRightInd w:val="0"/>
        <w:snapToGrid w:val="0"/>
        <w:spacing w:line="360" w:lineRule="auto"/>
        <w:jc w:val="center"/>
        <w:rPr>
          <w:rFonts w:hint="eastAsia" w:ascii="宋体" w:hAnsi="宋体" w:cs="宋体"/>
          <w:b/>
          <w:color w:val="auto"/>
          <w:sz w:val="28"/>
          <w:szCs w:val="28"/>
        </w:rPr>
      </w:pPr>
    </w:p>
    <w:p w14:paraId="7133079D">
      <w:pPr>
        <w:adjustRightInd w:val="0"/>
        <w:snapToGrid w:val="0"/>
        <w:spacing w:line="360" w:lineRule="auto"/>
        <w:jc w:val="center"/>
        <w:rPr>
          <w:rFonts w:hint="eastAsia" w:ascii="宋体" w:hAnsi="宋体" w:cs="宋体"/>
          <w:b/>
          <w:color w:val="auto"/>
          <w:sz w:val="28"/>
          <w:szCs w:val="28"/>
        </w:rPr>
      </w:pPr>
    </w:p>
    <w:p w14:paraId="1131487C">
      <w:pPr>
        <w:adjustRightInd w:val="0"/>
        <w:snapToGrid w:val="0"/>
        <w:spacing w:line="360" w:lineRule="auto"/>
        <w:jc w:val="center"/>
        <w:rPr>
          <w:rFonts w:hint="eastAsia" w:ascii="宋体" w:hAnsi="宋体" w:cs="宋体"/>
          <w:b/>
          <w:color w:val="auto"/>
          <w:sz w:val="28"/>
          <w:szCs w:val="28"/>
        </w:rPr>
      </w:pPr>
    </w:p>
    <w:p w14:paraId="2180CD8F">
      <w:pPr>
        <w:adjustRightInd w:val="0"/>
        <w:snapToGrid w:val="0"/>
        <w:spacing w:line="360" w:lineRule="auto"/>
        <w:jc w:val="center"/>
        <w:rPr>
          <w:rFonts w:hint="eastAsia" w:ascii="宋体" w:hAnsi="宋体" w:cs="宋体"/>
          <w:b/>
          <w:color w:val="auto"/>
          <w:sz w:val="28"/>
          <w:szCs w:val="28"/>
        </w:rPr>
      </w:pPr>
    </w:p>
    <w:p w14:paraId="72270E8D">
      <w:pPr>
        <w:adjustRightInd w:val="0"/>
        <w:snapToGrid w:val="0"/>
        <w:spacing w:line="360" w:lineRule="auto"/>
        <w:jc w:val="center"/>
        <w:rPr>
          <w:rFonts w:hint="eastAsia" w:ascii="宋体" w:hAnsi="宋体" w:cs="宋体"/>
          <w:b/>
          <w:color w:val="auto"/>
          <w:sz w:val="28"/>
          <w:szCs w:val="28"/>
        </w:rPr>
      </w:pPr>
    </w:p>
    <w:p w14:paraId="30B92016">
      <w:pPr>
        <w:adjustRightInd w:val="0"/>
        <w:snapToGrid w:val="0"/>
        <w:spacing w:line="360" w:lineRule="auto"/>
        <w:jc w:val="center"/>
        <w:rPr>
          <w:rFonts w:hint="eastAsia" w:ascii="宋体" w:hAnsi="宋体" w:cs="宋体"/>
          <w:b/>
          <w:color w:val="auto"/>
          <w:sz w:val="28"/>
          <w:szCs w:val="28"/>
        </w:rPr>
      </w:pPr>
    </w:p>
    <w:p w14:paraId="2A33F38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50BF376">
      <w:pPr>
        <w:pStyle w:val="16"/>
        <w:rPr>
          <w:rFonts w:hint="eastAsia"/>
          <w:color w:val="auto"/>
          <w:lang w:eastAsia="zh-CN"/>
        </w:rPr>
      </w:pPr>
    </w:p>
    <w:p w14:paraId="08365CD9">
      <w:pPr>
        <w:adjustRightInd w:val="0"/>
        <w:snapToGrid w:val="0"/>
        <w:spacing w:line="360" w:lineRule="auto"/>
        <w:jc w:val="center"/>
        <w:rPr>
          <w:rFonts w:hint="eastAsia" w:ascii="宋体" w:hAnsi="宋体" w:cs="宋体"/>
          <w:b/>
          <w:color w:val="auto"/>
          <w:sz w:val="24"/>
          <w:szCs w:val="20"/>
        </w:rPr>
      </w:pPr>
    </w:p>
    <w:p w14:paraId="5CE4557C">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1EFD7755">
      <w:pPr>
        <w:adjustRightInd w:val="0"/>
        <w:snapToGrid w:val="0"/>
        <w:spacing w:line="360" w:lineRule="auto"/>
        <w:rPr>
          <w:rFonts w:hint="eastAsia" w:ascii="宋体" w:hAnsi="宋体" w:cs="宋体"/>
          <w:b/>
          <w:color w:val="auto"/>
          <w:sz w:val="28"/>
          <w:szCs w:val="28"/>
        </w:rPr>
      </w:pPr>
    </w:p>
    <w:p w14:paraId="4BD3C6D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5A6063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D62BBEA">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B374CE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B5E4E0C">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D53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33A2C2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5FAA2B31">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459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451BF9F">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30436B68">
      <w:pPr>
        <w:adjustRightInd w:val="0"/>
        <w:snapToGrid w:val="0"/>
        <w:spacing w:line="360" w:lineRule="auto"/>
        <w:rPr>
          <w:rFonts w:hint="eastAsia" w:ascii="宋体" w:hAnsi="宋体" w:cs="宋体"/>
          <w:color w:val="auto"/>
          <w:sz w:val="24"/>
        </w:rPr>
      </w:pPr>
    </w:p>
    <w:p w14:paraId="25DC7F52">
      <w:pPr>
        <w:adjustRightInd w:val="0"/>
        <w:snapToGrid w:val="0"/>
        <w:spacing w:line="360" w:lineRule="auto"/>
        <w:rPr>
          <w:rFonts w:hint="eastAsia" w:ascii="宋体" w:hAnsi="宋体" w:cs="宋体"/>
          <w:color w:val="auto"/>
          <w:sz w:val="24"/>
        </w:rPr>
      </w:pPr>
    </w:p>
    <w:p w14:paraId="78A1033E">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B9192E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1B3C71F6">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B66FC8">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5E3D531">
      <w:pPr>
        <w:adjustRightInd w:val="0"/>
        <w:snapToGrid w:val="0"/>
        <w:spacing w:line="360" w:lineRule="auto"/>
        <w:rPr>
          <w:rFonts w:hint="eastAsia" w:ascii="宋体" w:hAnsi="宋体" w:cs="宋体"/>
          <w:b/>
          <w:color w:val="auto"/>
          <w:sz w:val="28"/>
          <w:szCs w:val="28"/>
        </w:rPr>
      </w:pPr>
    </w:p>
    <w:p w14:paraId="78CE8DD8">
      <w:pPr>
        <w:adjustRightInd w:val="0"/>
        <w:snapToGrid w:val="0"/>
        <w:spacing w:line="360" w:lineRule="auto"/>
        <w:rPr>
          <w:rFonts w:hint="eastAsia" w:ascii="宋体" w:hAnsi="宋体" w:cs="宋体"/>
          <w:b/>
          <w:color w:val="auto"/>
          <w:sz w:val="28"/>
          <w:szCs w:val="28"/>
        </w:rPr>
      </w:pPr>
    </w:p>
    <w:p w14:paraId="691AE1AB">
      <w:pPr>
        <w:adjustRightInd w:val="0"/>
        <w:snapToGrid w:val="0"/>
        <w:spacing w:line="360" w:lineRule="auto"/>
        <w:rPr>
          <w:rFonts w:hint="eastAsia" w:ascii="宋体" w:hAnsi="宋体" w:cs="宋体"/>
          <w:b/>
          <w:color w:val="auto"/>
          <w:sz w:val="28"/>
          <w:szCs w:val="28"/>
        </w:rPr>
      </w:pPr>
    </w:p>
    <w:p w14:paraId="56AD650C">
      <w:pPr>
        <w:adjustRightInd w:val="0"/>
        <w:snapToGrid w:val="0"/>
        <w:spacing w:line="360" w:lineRule="auto"/>
        <w:rPr>
          <w:rFonts w:hint="eastAsia" w:ascii="宋体" w:hAnsi="宋体" w:cs="宋体"/>
          <w:b/>
          <w:color w:val="auto"/>
          <w:sz w:val="28"/>
          <w:szCs w:val="28"/>
        </w:rPr>
      </w:pPr>
    </w:p>
    <w:p w14:paraId="54E924C5">
      <w:pPr>
        <w:adjustRightInd w:val="0"/>
        <w:snapToGrid w:val="0"/>
        <w:spacing w:line="360" w:lineRule="auto"/>
        <w:rPr>
          <w:rFonts w:hint="eastAsia" w:ascii="宋体" w:hAnsi="宋体" w:cs="宋体"/>
          <w:b/>
          <w:color w:val="auto"/>
          <w:sz w:val="28"/>
          <w:szCs w:val="28"/>
        </w:rPr>
      </w:pPr>
    </w:p>
    <w:p w14:paraId="65DD2917">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077F8DBC">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263E959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4A0AEFAD">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67B45A4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9E59AD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DDB8CE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1117AE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0AB79AA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44A5614">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48BA73A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394FA8B">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229D8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461ADDB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4EC2951">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A662631">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0E51315">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0741BDE">
      <w:pPr>
        <w:adjustRightInd w:val="0"/>
        <w:snapToGrid w:val="0"/>
        <w:spacing w:line="360" w:lineRule="auto"/>
        <w:jc w:val="center"/>
        <w:rPr>
          <w:rFonts w:hint="eastAsia" w:ascii="宋体" w:hAnsi="宋体" w:cs="宋体"/>
          <w:b/>
          <w:color w:val="auto"/>
          <w:sz w:val="24"/>
          <w:szCs w:val="20"/>
        </w:rPr>
      </w:pPr>
    </w:p>
    <w:p w14:paraId="1114E32C">
      <w:pPr>
        <w:adjustRightInd w:val="0"/>
        <w:snapToGrid w:val="0"/>
        <w:spacing w:line="360" w:lineRule="auto"/>
        <w:rPr>
          <w:rFonts w:hint="eastAsia" w:ascii="宋体" w:hAnsi="宋体" w:cs="宋体"/>
          <w:b/>
          <w:color w:val="auto"/>
          <w:sz w:val="24"/>
          <w:szCs w:val="20"/>
        </w:rPr>
      </w:pPr>
    </w:p>
    <w:p w14:paraId="2DC30D03">
      <w:pPr>
        <w:adjustRightInd w:val="0"/>
        <w:snapToGrid w:val="0"/>
        <w:spacing w:line="360" w:lineRule="auto"/>
        <w:rPr>
          <w:rFonts w:hint="eastAsia" w:ascii="宋体" w:hAnsi="宋体" w:cs="宋体"/>
          <w:b/>
          <w:color w:val="auto"/>
          <w:sz w:val="24"/>
          <w:szCs w:val="20"/>
        </w:rPr>
      </w:pPr>
    </w:p>
    <w:p w14:paraId="510FBCEC">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2FD8307">
      <w:pPr>
        <w:adjustRightInd w:val="0"/>
        <w:snapToGrid w:val="0"/>
        <w:spacing w:line="360" w:lineRule="auto"/>
        <w:jc w:val="center"/>
        <w:rPr>
          <w:rFonts w:hint="eastAsia" w:ascii="宋体" w:hAnsi="宋体" w:cs="宋体"/>
          <w:b/>
          <w:color w:val="auto"/>
          <w:sz w:val="24"/>
          <w:szCs w:val="20"/>
        </w:rPr>
      </w:pPr>
    </w:p>
    <w:p w14:paraId="1EE9B7D2">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065CD954">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7E58A676">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49E38975">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2CE606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46A9C8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AA71226">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517F50E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2D392C65">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274FDB73">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286EF558">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74973BCC">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78B0BB5C">
      <w:pPr>
        <w:jc w:val="left"/>
        <w:rPr>
          <w:rFonts w:hint="eastAsia" w:ascii="宋体" w:hAnsi="宋体" w:eastAsia="宋体" w:cs="Times New Roman"/>
          <w:b w:val="0"/>
          <w:bCs w:val="0"/>
          <w:color w:val="auto"/>
          <w:kern w:val="2"/>
          <w:sz w:val="24"/>
          <w:szCs w:val="24"/>
          <w:lang w:val="en-US" w:eastAsia="zh-CN" w:bidi="ar-SA"/>
        </w:rPr>
      </w:pPr>
    </w:p>
    <w:p w14:paraId="06672324">
      <w:pPr>
        <w:jc w:val="left"/>
        <w:rPr>
          <w:rFonts w:hint="eastAsia" w:ascii="宋体" w:hAnsi="宋体" w:eastAsia="宋体" w:cs="Times New Roman"/>
          <w:b w:val="0"/>
          <w:bCs w:val="0"/>
          <w:color w:val="auto"/>
          <w:kern w:val="2"/>
          <w:sz w:val="24"/>
          <w:szCs w:val="24"/>
          <w:lang w:val="en-US" w:eastAsia="zh-CN" w:bidi="ar-SA"/>
        </w:rPr>
      </w:pPr>
    </w:p>
    <w:p w14:paraId="728991A2">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EBE57A3">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14:paraId="0A2ACDDF">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63318B28">
      <w:pPr>
        <w:pStyle w:val="16"/>
        <w:rPr>
          <w:rFonts w:hint="eastAsia"/>
          <w:color w:val="auto"/>
          <w:lang w:eastAsia="zh-CN"/>
        </w:rPr>
      </w:pPr>
    </w:p>
    <w:p w14:paraId="406300D6">
      <w:pPr>
        <w:spacing w:before="120" w:beforeLines="50" w:after="120" w:afterLines="50" w:line="276" w:lineRule="auto"/>
        <w:jc w:val="center"/>
        <w:rPr>
          <w:b/>
          <w:color w:val="auto"/>
          <w:sz w:val="24"/>
        </w:rPr>
      </w:pPr>
      <w:r>
        <w:rPr>
          <w:b/>
          <w:color w:val="auto"/>
          <w:sz w:val="24"/>
        </w:rPr>
        <w:t>采购需求响应/偏离表</w:t>
      </w:r>
    </w:p>
    <w:p w14:paraId="0A9D0E5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F32C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27C01B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13A0EE1">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02F92742">
            <w:pPr>
              <w:adjustRightInd w:val="0"/>
              <w:snapToGrid w:val="0"/>
              <w:spacing w:before="50" w:line="360" w:lineRule="auto"/>
              <w:jc w:val="center"/>
              <w:rPr>
                <w:color w:val="auto"/>
              </w:rPr>
            </w:pPr>
            <w:r>
              <w:rPr>
                <w:color w:val="auto"/>
              </w:rPr>
              <w:t>招标文件要求</w:t>
            </w:r>
          </w:p>
        </w:tc>
        <w:tc>
          <w:tcPr>
            <w:tcW w:w="962" w:type="pct"/>
            <w:noWrap w:val="0"/>
            <w:vAlign w:val="top"/>
          </w:tcPr>
          <w:p w14:paraId="7A3FC0EF">
            <w:pPr>
              <w:adjustRightInd w:val="0"/>
              <w:snapToGrid w:val="0"/>
              <w:spacing w:before="50" w:line="360" w:lineRule="auto"/>
              <w:jc w:val="center"/>
              <w:rPr>
                <w:color w:val="auto"/>
              </w:rPr>
            </w:pPr>
            <w:r>
              <w:rPr>
                <w:color w:val="auto"/>
              </w:rPr>
              <w:t>投标文件应答</w:t>
            </w:r>
          </w:p>
        </w:tc>
        <w:tc>
          <w:tcPr>
            <w:tcW w:w="905" w:type="pct"/>
            <w:noWrap w:val="0"/>
            <w:vAlign w:val="center"/>
          </w:tcPr>
          <w:p w14:paraId="7A5825DD">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781FCC">
            <w:pPr>
              <w:adjustRightInd w:val="0"/>
              <w:snapToGrid w:val="0"/>
              <w:spacing w:before="50" w:line="360" w:lineRule="auto"/>
              <w:ind w:left="-88" w:leftChars="-42"/>
              <w:jc w:val="center"/>
              <w:rPr>
                <w:color w:val="auto"/>
                <w:szCs w:val="21"/>
              </w:rPr>
            </w:pPr>
            <w:r>
              <w:rPr>
                <w:color w:val="auto"/>
                <w:szCs w:val="21"/>
              </w:rPr>
              <w:t>偏离说明</w:t>
            </w:r>
          </w:p>
        </w:tc>
      </w:tr>
      <w:tr w14:paraId="1692B3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919F941">
            <w:pPr>
              <w:adjustRightInd w:val="0"/>
              <w:snapToGrid w:val="0"/>
              <w:spacing w:before="50" w:line="360" w:lineRule="auto"/>
              <w:ind w:left="-88" w:leftChars="-42"/>
              <w:jc w:val="center"/>
              <w:rPr>
                <w:color w:val="auto"/>
                <w:szCs w:val="21"/>
              </w:rPr>
            </w:pPr>
          </w:p>
        </w:tc>
        <w:tc>
          <w:tcPr>
            <w:tcW w:w="1123" w:type="pct"/>
            <w:noWrap w:val="0"/>
            <w:vAlign w:val="center"/>
          </w:tcPr>
          <w:p w14:paraId="7DDB7198">
            <w:pPr>
              <w:adjustRightInd w:val="0"/>
              <w:snapToGrid w:val="0"/>
              <w:spacing w:before="50" w:line="360" w:lineRule="auto"/>
              <w:ind w:left="-88" w:leftChars="-42"/>
              <w:jc w:val="center"/>
              <w:rPr>
                <w:color w:val="auto"/>
                <w:szCs w:val="21"/>
              </w:rPr>
            </w:pPr>
          </w:p>
        </w:tc>
        <w:tc>
          <w:tcPr>
            <w:tcW w:w="1000" w:type="pct"/>
            <w:noWrap w:val="0"/>
            <w:vAlign w:val="center"/>
          </w:tcPr>
          <w:p w14:paraId="6C459A62">
            <w:pPr>
              <w:adjustRightInd w:val="0"/>
              <w:snapToGrid w:val="0"/>
              <w:spacing w:before="50" w:line="360" w:lineRule="auto"/>
              <w:ind w:left="-88" w:leftChars="-42"/>
              <w:jc w:val="center"/>
              <w:rPr>
                <w:color w:val="auto"/>
                <w:szCs w:val="21"/>
              </w:rPr>
            </w:pPr>
          </w:p>
        </w:tc>
        <w:tc>
          <w:tcPr>
            <w:tcW w:w="962" w:type="pct"/>
            <w:noWrap w:val="0"/>
            <w:vAlign w:val="center"/>
          </w:tcPr>
          <w:p w14:paraId="06E30FF1">
            <w:pPr>
              <w:adjustRightInd w:val="0"/>
              <w:snapToGrid w:val="0"/>
              <w:spacing w:before="50" w:line="360" w:lineRule="auto"/>
              <w:ind w:left="-88" w:leftChars="-42"/>
              <w:jc w:val="center"/>
              <w:rPr>
                <w:color w:val="auto"/>
                <w:szCs w:val="21"/>
              </w:rPr>
            </w:pPr>
          </w:p>
        </w:tc>
        <w:tc>
          <w:tcPr>
            <w:tcW w:w="905" w:type="pct"/>
            <w:noWrap w:val="0"/>
            <w:vAlign w:val="center"/>
          </w:tcPr>
          <w:p w14:paraId="47730AD2">
            <w:pPr>
              <w:adjustRightInd w:val="0"/>
              <w:snapToGrid w:val="0"/>
              <w:spacing w:before="50" w:line="360" w:lineRule="auto"/>
              <w:ind w:left="-88" w:leftChars="-42"/>
              <w:jc w:val="center"/>
              <w:rPr>
                <w:color w:val="auto"/>
                <w:szCs w:val="21"/>
              </w:rPr>
            </w:pPr>
          </w:p>
        </w:tc>
        <w:tc>
          <w:tcPr>
            <w:tcW w:w="634" w:type="pct"/>
            <w:noWrap w:val="0"/>
            <w:vAlign w:val="center"/>
          </w:tcPr>
          <w:p w14:paraId="67CCA7D4">
            <w:pPr>
              <w:adjustRightInd w:val="0"/>
              <w:snapToGrid w:val="0"/>
              <w:spacing w:before="50" w:line="360" w:lineRule="auto"/>
              <w:ind w:left="-88" w:leftChars="-42"/>
              <w:jc w:val="center"/>
              <w:rPr>
                <w:color w:val="auto"/>
                <w:szCs w:val="21"/>
              </w:rPr>
            </w:pPr>
          </w:p>
        </w:tc>
      </w:tr>
      <w:tr w14:paraId="3BD4BC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99980AA">
            <w:pPr>
              <w:adjustRightInd w:val="0"/>
              <w:snapToGrid w:val="0"/>
              <w:spacing w:before="50" w:line="360" w:lineRule="auto"/>
              <w:ind w:left="-88" w:leftChars="-42"/>
              <w:jc w:val="center"/>
              <w:rPr>
                <w:color w:val="auto"/>
                <w:szCs w:val="21"/>
              </w:rPr>
            </w:pPr>
          </w:p>
        </w:tc>
        <w:tc>
          <w:tcPr>
            <w:tcW w:w="1123" w:type="pct"/>
            <w:noWrap w:val="0"/>
            <w:vAlign w:val="center"/>
          </w:tcPr>
          <w:p w14:paraId="519D9808">
            <w:pPr>
              <w:adjustRightInd w:val="0"/>
              <w:snapToGrid w:val="0"/>
              <w:spacing w:before="50" w:line="360" w:lineRule="auto"/>
              <w:ind w:left="-88" w:leftChars="-42"/>
              <w:jc w:val="center"/>
              <w:rPr>
                <w:color w:val="auto"/>
                <w:szCs w:val="21"/>
              </w:rPr>
            </w:pPr>
          </w:p>
        </w:tc>
        <w:tc>
          <w:tcPr>
            <w:tcW w:w="1000" w:type="pct"/>
            <w:noWrap w:val="0"/>
            <w:vAlign w:val="center"/>
          </w:tcPr>
          <w:p w14:paraId="6CF2FCE2">
            <w:pPr>
              <w:adjustRightInd w:val="0"/>
              <w:snapToGrid w:val="0"/>
              <w:spacing w:before="50" w:line="360" w:lineRule="auto"/>
              <w:ind w:left="-88" w:leftChars="-42"/>
              <w:jc w:val="center"/>
              <w:rPr>
                <w:color w:val="auto"/>
                <w:szCs w:val="21"/>
              </w:rPr>
            </w:pPr>
          </w:p>
        </w:tc>
        <w:tc>
          <w:tcPr>
            <w:tcW w:w="962" w:type="pct"/>
            <w:noWrap w:val="0"/>
            <w:vAlign w:val="center"/>
          </w:tcPr>
          <w:p w14:paraId="3113B6EC">
            <w:pPr>
              <w:adjustRightInd w:val="0"/>
              <w:snapToGrid w:val="0"/>
              <w:spacing w:before="50" w:line="360" w:lineRule="auto"/>
              <w:ind w:left="-88" w:leftChars="-42"/>
              <w:jc w:val="center"/>
              <w:rPr>
                <w:color w:val="auto"/>
                <w:szCs w:val="21"/>
              </w:rPr>
            </w:pPr>
          </w:p>
        </w:tc>
        <w:tc>
          <w:tcPr>
            <w:tcW w:w="905" w:type="pct"/>
            <w:noWrap w:val="0"/>
            <w:vAlign w:val="center"/>
          </w:tcPr>
          <w:p w14:paraId="381A5E6C">
            <w:pPr>
              <w:adjustRightInd w:val="0"/>
              <w:snapToGrid w:val="0"/>
              <w:spacing w:before="50" w:line="360" w:lineRule="auto"/>
              <w:ind w:left="-88" w:leftChars="-42"/>
              <w:jc w:val="center"/>
              <w:rPr>
                <w:color w:val="auto"/>
                <w:szCs w:val="21"/>
              </w:rPr>
            </w:pPr>
          </w:p>
        </w:tc>
        <w:tc>
          <w:tcPr>
            <w:tcW w:w="634" w:type="pct"/>
            <w:noWrap w:val="0"/>
            <w:vAlign w:val="center"/>
          </w:tcPr>
          <w:p w14:paraId="101DDBB3">
            <w:pPr>
              <w:adjustRightInd w:val="0"/>
              <w:snapToGrid w:val="0"/>
              <w:spacing w:before="50" w:line="360" w:lineRule="auto"/>
              <w:ind w:left="-88" w:leftChars="-42"/>
              <w:jc w:val="center"/>
              <w:rPr>
                <w:color w:val="auto"/>
                <w:szCs w:val="21"/>
              </w:rPr>
            </w:pPr>
          </w:p>
        </w:tc>
      </w:tr>
      <w:tr w14:paraId="35C57F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7668BAB">
            <w:pPr>
              <w:adjustRightInd w:val="0"/>
              <w:snapToGrid w:val="0"/>
              <w:spacing w:before="50" w:line="360" w:lineRule="auto"/>
              <w:ind w:left="-88" w:leftChars="-42"/>
              <w:jc w:val="center"/>
              <w:rPr>
                <w:color w:val="auto"/>
                <w:szCs w:val="21"/>
              </w:rPr>
            </w:pPr>
          </w:p>
        </w:tc>
        <w:tc>
          <w:tcPr>
            <w:tcW w:w="1123" w:type="pct"/>
            <w:noWrap w:val="0"/>
            <w:vAlign w:val="center"/>
          </w:tcPr>
          <w:p w14:paraId="72C24B99">
            <w:pPr>
              <w:adjustRightInd w:val="0"/>
              <w:snapToGrid w:val="0"/>
              <w:spacing w:before="50" w:line="360" w:lineRule="auto"/>
              <w:ind w:left="-88" w:leftChars="-42"/>
              <w:jc w:val="center"/>
              <w:rPr>
                <w:color w:val="auto"/>
                <w:szCs w:val="21"/>
              </w:rPr>
            </w:pPr>
          </w:p>
        </w:tc>
        <w:tc>
          <w:tcPr>
            <w:tcW w:w="1000" w:type="pct"/>
            <w:noWrap w:val="0"/>
            <w:vAlign w:val="center"/>
          </w:tcPr>
          <w:p w14:paraId="0A108550">
            <w:pPr>
              <w:adjustRightInd w:val="0"/>
              <w:snapToGrid w:val="0"/>
              <w:spacing w:before="50" w:line="360" w:lineRule="auto"/>
              <w:ind w:left="-88" w:leftChars="-42"/>
              <w:jc w:val="center"/>
              <w:rPr>
                <w:color w:val="auto"/>
                <w:szCs w:val="21"/>
              </w:rPr>
            </w:pPr>
          </w:p>
        </w:tc>
        <w:tc>
          <w:tcPr>
            <w:tcW w:w="962" w:type="pct"/>
            <w:noWrap w:val="0"/>
            <w:vAlign w:val="center"/>
          </w:tcPr>
          <w:p w14:paraId="7C2202B1">
            <w:pPr>
              <w:adjustRightInd w:val="0"/>
              <w:snapToGrid w:val="0"/>
              <w:spacing w:before="50" w:line="360" w:lineRule="auto"/>
              <w:ind w:left="-88" w:leftChars="-42"/>
              <w:jc w:val="center"/>
              <w:rPr>
                <w:color w:val="auto"/>
                <w:szCs w:val="21"/>
              </w:rPr>
            </w:pPr>
          </w:p>
        </w:tc>
        <w:tc>
          <w:tcPr>
            <w:tcW w:w="905" w:type="pct"/>
            <w:noWrap w:val="0"/>
            <w:vAlign w:val="center"/>
          </w:tcPr>
          <w:p w14:paraId="66E5242A">
            <w:pPr>
              <w:adjustRightInd w:val="0"/>
              <w:snapToGrid w:val="0"/>
              <w:spacing w:before="50" w:line="360" w:lineRule="auto"/>
              <w:ind w:left="-88" w:leftChars="-42"/>
              <w:jc w:val="center"/>
              <w:rPr>
                <w:color w:val="auto"/>
                <w:szCs w:val="21"/>
              </w:rPr>
            </w:pPr>
          </w:p>
        </w:tc>
        <w:tc>
          <w:tcPr>
            <w:tcW w:w="634" w:type="pct"/>
            <w:noWrap w:val="0"/>
            <w:vAlign w:val="center"/>
          </w:tcPr>
          <w:p w14:paraId="5732A52C">
            <w:pPr>
              <w:adjustRightInd w:val="0"/>
              <w:snapToGrid w:val="0"/>
              <w:spacing w:before="50" w:line="360" w:lineRule="auto"/>
              <w:ind w:left="-88" w:leftChars="-42"/>
              <w:jc w:val="center"/>
              <w:rPr>
                <w:color w:val="auto"/>
                <w:szCs w:val="21"/>
              </w:rPr>
            </w:pPr>
          </w:p>
        </w:tc>
      </w:tr>
      <w:tr w14:paraId="23B9A2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06CBE57A">
            <w:pPr>
              <w:rPr>
                <w:b/>
                <w:color w:val="auto"/>
              </w:rPr>
            </w:pPr>
            <w:r>
              <w:rPr>
                <w:b/>
                <w:color w:val="auto"/>
              </w:rPr>
              <w:t>投标人保证：我单位对招标文件的其他采购需求条款完全响应，无偏离。</w:t>
            </w:r>
          </w:p>
        </w:tc>
      </w:tr>
    </w:tbl>
    <w:p w14:paraId="5839CC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68876D90">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32AC98F5">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14:paraId="4EC8FA7D">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14:paraId="2F3DC93E">
      <w:pPr>
        <w:rPr>
          <w:color w:val="auto"/>
          <w:sz w:val="24"/>
        </w:rPr>
      </w:pPr>
      <w:r>
        <w:rPr>
          <w:color w:val="auto"/>
          <w:sz w:val="24"/>
        </w:rPr>
        <w:br w:type="page"/>
      </w:r>
    </w:p>
    <w:p w14:paraId="52BCACD8">
      <w:pPr>
        <w:pStyle w:val="13"/>
        <w:rPr>
          <w:color w:val="auto"/>
        </w:rPr>
      </w:pPr>
    </w:p>
    <w:p w14:paraId="01905ADE">
      <w:pPr>
        <w:spacing w:before="120" w:beforeLines="50" w:after="120" w:afterLines="50" w:line="276" w:lineRule="auto"/>
        <w:rPr>
          <w:rFonts w:hint="eastAsia" w:eastAsia="宋体"/>
          <w:b/>
          <w:bCs/>
          <w:color w:val="auto"/>
          <w:sz w:val="28"/>
          <w:szCs w:val="28"/>
          <w:lang w:eastAsia="zh-CN"/>
        </w:rPr>
      </w:pPr>
    </w:p>
    <w:p w14:paraId="4DABA895">
      <w:pPr>
        <w:pStyle w:val="16"/>
        <w:rPr>
          <w:rFonts w:hint="eastAsia"/>
          <w:color w:val="auto"/>
          <w:lang w:eastAsia="zh-CN"/>
        </w:rPr>
      </w:pPr>
    </w:p>
    <w:p w14:paraId="447B3AD3">
      <w:pPr>
        <w:spacing w:before="120" w:beforeLines="50" w:after="120" w:afterLines="50" w:line="276" w:lineRule="auto"/>
        <w:jc w:val="center"/>
        <w:rPr>
          <w:rFonts w:hint="eastAsia" w:ascii="宋体" w:hAnsi="宋体" w:cs="宋体"/>
          <w:color w:val="auto"/>
          <w:sz w:val="24"/>
        </w:rPr>
      </w:pPr>
    </w:p>
    <w:p w14:paraId="42275E15">
      <w:pPr>
        <w:adjustRightInd w:val="0"/>
        <w:snapToGrid w:val="0"/>
        <w:spacing w:before="120" w:beforeLines="50" w:line="360" w:lineRule="auto"/>
        <w:rPr>
          <w:rFonts w:ascii="宋体" w:hAnsi="宋体" w:cs="宋体"/>
          <w:b/>
          <w:color w:val="auto"/>
          <w:sz w:val="24"/>
        </w:rPr>
      </w:pPr>
    </w:p>
    <w:p w14:paraId="6191E7DF">
      <w:pPr>
        <w:pStyle w:val="17"/>
        <w:rPr>
          <w:color w:val="auto"/>
        </w:rPr>
      </w:pPr>
    </w:p>
    <w:p w14:paraId="7BB13E6A">
      <w:pPr>
        <w:pStyle w:val="17"/>
        <w:rPr>
          <w:color w:val="auto"/>
        </w:rPr>
      </w:pPr>
    </w:p>
    <w:p w14:paraId="1FCA3B9F">
      <w:pPr>
        <w:pStyle w:val="17"/>
        <w:rPr>
          <w:color w:val="auto"/>
        </w:rPr>
      </w:pPr>
    </w:p>
    <w:p w14:paraId="6E7201EC">
      <w:pPr>
        <w:pStyle w:val="17"/>
        <w:rPr>
          <w:color w:val="auto"/>
        </w:rPr>
      </w:pPr>
    </w:p>
    <w:p w14:paraId="3F2FE004">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14:paraId="33DEB5D2">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14:paraId="4D534278">
      <w:pPr>
        <w:pStyle w:val="17"/>
        <w:rPr>
          <w:color w:val="auto"/>
        </w:rPr>
      </w:pPr>
    </w:p>
    <w:p w14:paraId="3105E205">
      <w:pPr>
        <w:pStyle w:val="17"/>
        <w:rPr>
          <w:rFonts w:hint="eastAsia"/>
          <w:color w:val="auto"/>
        </w:rPr>
      </w:pPr>
    </w:p>
    <w:p w14:paraId="1E6B59C4">
      <w:pPr>
        <w:pStyle w:val="17"/>
        <w:rPr>
          <w:color w:val="auto"/>
        </w:rPr>
      </w:pPr>
    </w:p>
    <w:p w14:paraId="0D196372">
      <w:pPr>
        <w:pStyle w:val="17"/>
        <w:rPr>
          <w:color w:val="auto"/>
        </w:rPr>
      </w:pPr>
    </w:p>
    <w:p w14:paraId="6DD3B039">
      <w:pPr>
        <w:pStyle w:val="17"/>
        <w:rPr>
          <w:color w:val="auto"/>
        </w:rPr>
      </w:pPr>
    </w:p>
    <w:p w14:paraId="70CCFAE8">
      <w:pPr>
        <w:pStyle w:val="17"/>
        <w:rPr>
          <w:color w:val="auto"/>
        </w:rPr>
      </w:pPr>
    </w:p>
    <w:p w14:paraId="57A9CE48">
      <w:pPr>
        <w:pStyle w:val="17"/>
        <w:rPr>
          <w:color w:val="auto"/>
        </w:rPr>
      </w:pPr>
    </w:p>
    <w:p w14:paraId="5D2BC90E">
      <w:pPr>
        <w:pStyle w:val="17"/>
        <w:rPr>
          <w:rFonts w:hint="eastAsia"/>
          <w:color w:val="auto"/>
        </w:rPr>
      </w:pPr>
    </w:p>
    <w:p w14:paraId="2CD5C9B7">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7D580CC2">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3428D054">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14:paraId="4DDE6DBC">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14:paraId="70115979">
      <w:pPr>
        <w:pStyle w:val="16"/>
        <w:rPr>
          <w:rFonts w:hint="eastAsia"/>
          <w:color w:val="auto"/>
          <w:lang w:eastAsia="zh-CN"/>
        </w:rPr>
      </w:pPr>
    </w:p>
    <w:p w14:paraId="0065F625">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5CEC428E">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55D4D49A">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14:paraId="018B2F5A">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14:paraId="2E1F1FBF">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14:paraId="3DCA29A5">
      <w:pPr>
        <w:adjustRightInd w:val="0"/>
        <w:snapToGrid w:val="0"/>
        <w:spacing w:before="120" w:beforeLines="50" w:line="360" w:lineRule="auto"/>
        <w:jc w:val="center"/>
        <w:rPr>
          <w:color w:val="auto"/>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14:paraId="493FED4B">
      <w:pPr>
        <w:rPr>
          <w:color w:val="auto"/>
        </w:rPr>
      </w:pPr>
    </w:p>
    <w:p w14:paraId="5409453E">
      <w:pPr>
        <w:rPr>
          <w:color w:val="auto"/>
        </w:rPr>
      </w:pPr>
    </w:p>
    <w:p w14:paraId="34357819">
      <w:pPr>
        <w:keepNext w:val="0"/>
        <w:keepLines w:val="0"/>
        <w:pageBreakBefore w:val="0"/>
        <w:widowControl w:val="0"/>
        <w:kinsoku/>
        <w:wordWrap/>
        <w:overflowPunct/>
        <w:topLinePunct w:val="0"/>
        <w:autoSpaceDE/>
        <w:autoSpaceDN/>
        <w:bidi w:val="0"/>
        <w:adjustRightInd/>
        <w:snapToGrid/>
        <w:spacing w:line="480" w:lineRule="exact"/>
        <w:ind w:firstLine="5880" w:firstLineChars="21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合同编号：</w:t>
      </w:r>
    </w:p>
    <w:p w14:paraId="63B08F6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eastAsia="宋体"/>
          <w:b w:val="0"/>
          <w:bCs/>
          <w:color w:val="000000"/>
          <w:sz w:val="36"/>
          <w:szCs w:val="36"/>
          <w:lang w:val="en-US" w:eastAsia="zh-CN"/>
        </w:rPr>
      </w:pPr>
      <w:r>
        <w:rPr>
          <w:rFonts w:hint="eastAsia" w:ascii="黑体" w:hAnsi="黑体" w:eastAsia="黑体" w:cs="黑体"/>
          <w:b w:val="0"/>
          <w:bCs/>
          <w:color w:val="000000"/>
          <w:sz w:val="44"/>
          <w:szCs w:val="44"/>
        </w:rPr>
        <w:t>专项审计</w:t>
      </w:r>
      <w:r>
        <w:rPr>
          <w:rFonts w:hint="eastAsia" w:ascii="黑体" w:hAnsi="黑体" w:eastAsia="黑体" w:cs="黑体"/>
          <w:b w:val="0"/>
          <w:bCs/>
          <w:color w:val="000000"/>
          <w:sz w:val="44"/>
          <w:szCs w:val="44"/>
          <w:lang w:eastAsia="zh-CN"/>
        </w:rPr>
        <w:t>核查</w:t>
      </w:r>
      <w:r>
        <w:rPr>
          <w:rFonts w:hint="eastAsia" w:ascii="黑体" w:hAnsi="黑体" w:eastAsia="黑体" w:cs="黑体"/>
          <w:b w:val="0"/>
          <w:bCs/>
          <w:color w:val="000000"/>
          <w:sz w:val="44"/>
          <w:szCs w:val="44"/>
          <w:lang w:val="en-US" w:eastAsia="zh-CN"/>
        </w:rPr>
        <w:t>服务合同</w:t>
      </w:r>
    </w:p>
    <w:p w14:paraId="6F5855A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val="0"/>
          <w:bCs/>
          <w:color w:val="000000"/>
        </w:rPr>
      </w:pPr>
    </w:p>
    <w:p w14:paraId="3520D80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val="0"/>
          <w:color w:val="000000"/>
          <w:sz w:val="28"/>
          <w:szCs w:val="28"/>
        </w:rPr>
      </w:pPr>
      <w:r>
        <w:rPr>
          <w:rFonts w:hint="eastAsia" w:ascii="仿宋" w:hAnsi="仿宋" w:eastAsia="宋体" w:cs="仿宋"/>
          <w:b/>
          <w:bCs w:val="0"/>
          <w:color w:val="000000"/>
          <w:sz w:val="28"/>
          <w:szCs w:val="28"/>
        </w:rPr>
        <w:t>甲方：娄底市中心医院</w:t>
      </w:r>
    </w:p>
    <w:p w14:paraId="1C036EB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rPr>
        <w:t>法定代表人：</w:t>
      </w:r>
      <w:r>
        <w:rPr>
          <w:rFonts w:hint="eastAsia" w:ascii="仿宋" w:hAnsi="仿宋" w:eastAsia="宋体" w:cs="仿宋"/>
          <w:b w:val="0"/>
          <w:bCs/>
          <w:color w:val="000000"/>
          <w:sz w:val="28"/>
          <w:szCs w:val="28"/>
          <w:lang w:val="en-US" w:eastAsia="zh-CN"/>
        </w:rPr>
        <w:t>杨吉军</w:t>
      </w:r>
    </w:p>
    <w:p w14:paraId="5E97363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rPr>
        <w:t>统一社会信用代码：12431300447162073W</w:t>
      </w:r>
    </w:p>
    <w:p w14:paraId="1C6D8B4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地址：湖南省娄底市娄星区长青中街51号</w:t>
      </w:r>
    </w:p>
    <w:p w14:paraId="15831AC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联系人：</w:t>
      </w:r>
    </w:p>
    <w:p w14:paraId="2D64F9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联系电话：</w:t>
      </w:r>
      <w:r>
        <w:rPr>
          <w:rFonts w:hint="eastAsia" w:ascii="仿宋" w:hAnsi="仿宋" w:eastAsia="宋体" w:cs="仿宋"/>
          <w:b w:val="0"/>
          <w:bCs/>
          <w:color w:val="000000"/>
          <w:sz w:val="28"/>
          <w:szCs w:val="28"/>
        </w:rPr>
        <w:t xml:space="preserve">              　　　　　 </w:t>
      </w:r>
    </w:p>
    <w:p w14:paraId="79FA45C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val="0"/>
          <w:color w:val="000000"/>
          <w:sz w:val="28"/>
          <w:szCs w:val="28"/>
          <w:lang w:eastAsia="zh-CN"/>
        </w:rPr>
      </w:pPr>
      <w:r>
        <w:rPr>
          <w:rFonts w:hint="eastAsia" w:ascii="仿宋" w:hAnsi="仿宋" w:eastAsia="宋体" w:cs="仿宋"/>
          <w:b/>
          <w:bCs w:val="0"/>
          <w:color w:val="000000"/>
          <w:sz w:val="28"/>
          <w:szCs w:val="28"/>
        </w:rPr>
        <w:t>乙方：</w:t>
      </w:r>
    </w:p>
    <w:p w14:paraId="146D13C4">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法定代表人：</w:t>
      </w:r>
    </w:p>
    <w:p w14:paraId="03766FF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统一社会信用代码：</w:t>
      </w:r>
    </w:p>
    <w:p w14:paraId="7C01B4C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地址：</w:t>
      </w:r>
    </w:p>
    <w:p w14:paraId="692B7A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联系人：</w:t>
      </w:r>
    </w:p>
    <w:p w14:paraId="29BC5B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联系电话：</w:t>
      </w:r>
    </w:p>
    <w:p w14:paraId="4CAF47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p>
    <w:p w14:paraId="1970710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甲方通过</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方式采购2025年度设备维修管理及固定资产管理专项审计服务，乙方为成交服务商。现根据《中华人民共和国民法典》等相关法律之规定，甲、乙双方在采购项目基础上平等、自愿协商一致，现订立本合同，以资共同遵守。</w:t>
      </w:r>
    </w:p>
    <w:p w14:paraId="1F32BEF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80" w:lineRule="exact"/>
        <w:ind w:left="0" w:leftChars="0" w:right="105" w:rightChars="50" w:firstLine="562" w:firstLineChars="200"/>
        <w:textAlignment w:val="auto"/>
        <w:rPr>
          <w:rFonts w:hint="default"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第一条 专项审计核查服务内容及期限</w:t>
      </w:r>
    </w:p>
    <w:p w14:paraId="23BB197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80" w:lineRule="exact"/>
        <w:ind w:left="0" w:leftChars="0" w:right="105" w:rightChars="50"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1.1 乙方提供娄底市中心医院2025年度设备维修管理及固定资产管理专项审计服务，提出处理建议并出具报告。</w:t>
      </w:r>
    </w:p>
    <w:p w14:paraId="1875B13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1.2 设备维修管理专项审计</w:t>
      </w:r>
    </w:p>
    <w:p w14:paraId="490B12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1.2.1 审计对象：甲方2023—2024年度医疗设备维修中心相关业务。</w:t>
      </w:r>
    </w:p>
    <w:p w14:paraId="764CCB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 审计内容：</w:t>
      </w:r>
    </w:p>
    <w:p w14:paraId="2363731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1.2.2.1 大型设备维保审计：重点审查维保采购程序是否合规、维保合同执行状况，包括是否严格按照合同约定的维保周期、维保内容开展工作；检查费用支付的合规性，有无违规支付、超标准支付等问题；核实设备维修台账的完整性，确保记录真实、准确、无遗漏；排查是否存在虚假维保或超范围支出情况。审计事项不少于4个案例。具体事项以甲方监审科书面通知为准。</w:t>
      </w:r>
    </w:p>
    <w:p w14:paraId="546AD7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1.2.2.2 零星维修专项审计：核查零星维修配件采购程序是否合规，有无维修配件采购台账；零星维修审批流程是否规范，是否严格执行医院的审批制度，零星维修台账是否完整；评估成本控制的有效性，分析成本是否合理、有无浪费现象；检查配件库房管理情况，包括库存盘点、出入库记录等；通过抽查项目，检查是否存在虚报工程量、重复结算、定价虚高等问题。审计事项不少于3个案例。具体事项以甲方监审科书面通知为准。</w:t>
      </w:r>
    </w:p>
    <w:p w14:paraId="17AB38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1.2.3 期限要求：乙方需在</w:t>
      </w:r>
      <w:r>
        <w:rPr>
          <w:rFonts w:hint="eastAsia" w:ascii="仿宋" w:hAnsi="仿宋" w:eastAsia="宋体" w:cs="仿宋"/>
          <w:b w:val="0"/>
          <w:bCs/>
          <w:color w:val="000000"/>
          <w:sz w:val="28"/>
          <w:szCs w:val="28"/>
          <w:highlight w:val="none"/>
          <w:lang w:val="en-US" w:eastAsia="zh-CN"/>
        </w:rPr>
        <w:t>2025年6月</w:t>
      </w:r>
      <w:r>
        <w:rPr>
          <w:rFonts w:hint="eastAsia" w:ascii="仿宋" w:hAnsi="仿宋" w:eastAsia="宋体" w:cs="仿宋"/>
          <w:b w:val="0"/>
          <w:bCs/>
          <w:color w:val="000000"/>
          <w:sz w:val="28"/>
          <w:szCs w:val="28"/>
          <w:highlight w:val="none"/>
          <w:u w:val="single"/>
          <w:lang w:val="en-US" w:eastAsia="zh-CN"/>
        </w:rPr>
        <w:t xml:space="preserve">   </w:t>
      </w:r>
      <w:r>
        <w:rPr>
          <w:rFonts w:hint="eastAsia" w:ascii="仿宋" w:hAnsi="仿宋" w:eastAsia="宋体" w:cs="仿宋"/>
          <w:b w:val="0"/>
          <w:bCs/>
          <w:color w:val="000000"/>
          <w:sz w:val="28"/>
          <w:szCs w:val="28"/>
          <w:highlight w:val="none"/>
          <w:lang w:val="en-US" w:eastAsia="zh-CN"/>
        </w:rPr>
        <w:t>日</w:t>
      </w:r>
      <w:r>
        <w:rPr>
          <w:rFonts w:hint="eastAsia" w:ascii="仿宋" w:hAnsi="仿宋" w:eastAsia="宋体" w:cs="仿宋"/>
          <w:b w:val="0"/>
          <w:bCs/>
          <w:color w:val="000000"/>
          <w:sz w:val="28"/>
          <w:szCs w:val="28"/>
          <w:lang w:val="en-US" w:eastAsia="zh-CN"/>
        </w:rPr>
        <w:t>前完成审计工作并提交正式审计报告一式</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份。</w:t>
      </w:r>
    </w:p>
    <w:p w14:paraId="0F1575B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1.3 固定资产管理专项审计</w:t>
      </w:r>
    </w:p>
    <w:p w14:paraId="4C3580A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1.3.1 审计对象：甲方资产管理部门及闲置设备责任科室。</w:t>
      </w:r>
    </w:p>
    <w:p w14:paraId="688F923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 审计内容：</w:t>
      </w:r>
    </w:p>
    <w:p w14:paraId="5D92B21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1.3.2.1 调取闲置固定资产的年度收入情况，深入探究闲置固定资产的形成原因，明确管理责任主体，检查是否建立有效的盘活机制，以提高资产使用效率。</w:t>
      </w:r>
    </w:p>
    <w:p w14:paraId="320D4F6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1.3.2.2 审查近两年设备采购可行性分析报告的真实性，重点核查是否存在虚假论证、重复购置或利益输送问题；对闲置资产（不限两年内，具体名单由设备科提供）进行详细审计，分析资产闲置的原因及对医院资源的影响。审计事项不少于6台设备，具体事项以甲方监审科书面通知为准。</w:t>
      </w:r>
    </w:p>
    <w:p w14:paraId="769F0B5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1.3.3 期限要求：乙方需在</w:t>
      </w:r>
      <w:r>
        <w:rPr>
          <w:rFonts w:hint="eastAsia" w:ascii="仿宋" w:hAnsi="仿宋" w:eastAsia="宋体" w:cs="仿宋"/>
          <w:b w:val="0"/>
          <w:bCs/>
          <w:color w:val="000000"/>
          <w:sz w:val="28"/>
          <w:szCs w:val="28"/>
          <w:highlight w:val="none"/>
          <w:lang w:val="en-US" w:eastAsia="zh-CN"/>
        </w:rPr>
        <w:t>2025年8月</w:t>
      </w:r>
      <w:r>
        <w:rPr>
          <w:rFonts w:hint="eastAsia" w:ascii="仿宋" w:hAnsi="仿宋" w:eastAsia="宋体" w:cs="仿宋"/>
          <w:b w:val="0"/>
          <w:bCs/>
          <w:color w:val="000000"/>
          <w:sz w:val="28"/>
          <w:szCs w:val="28"/>
          <w:highlight w:val="none"/>
          <w:u w:val="single"/>
          <w:lang w:val="en-US" w:eastAsia="zh-CN"/>
        </w:rPr>
        <w:t xml:space="preserve">   </w:t>
      </w:r>
      <w:r>
        <w:rPr>
          <w:rFonts w:hint="eastAsia" w:ascii="仿宋" w:hAnsi="仿宋" w:eastAsia="宋体" w:cs="仿宋"/>
          <w:b w:val="0"/>
          <w:bCs/>
          <w:color w:val="000000"/>
          <w:sz w:val="28"/>
          <w:szCs w:val="28"/>
          <w:highlight w:val="none"/>
          <w:lang w:val="en-US" w:eastAsia="zh-CN"/>
        </w:rPr>
        <w:t>日前</w:t>
      </w:r>
      <w:r>
        <w:rPr>
          <w:rFonts w:hint="eastAsia" w:ascii="仿宋" w:hAnsi="仿宋" w:eastAsia="宋体" w:cs="仿宋"/>
          <w:b w:val="0"/>
          <w:bCs/>
          <w:color w:val="000000"/>
          <w:sz w:val="28"/>
          <w:szCs w:val="28"/>
          <w:lang w:val="en-US" w:eastAsia="zh-CN"/>
        </w:rPr>
        <w:t>完成审计工作并提交正式审计报告一式</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份。</w:t>
      </w:r>
    </w:p>
    <w:p w14:paraId="4CC91E4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第二条 双方其他权利与义务</w:t>
      </w:r>
    </w:p>
    <w:p w14:paraId="2E039295">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default"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2.1 甲方其他权利与义务</w:t>
      </w:r>
    </w:p>
    <w:p w14:paraId="5085D518">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2.1.1 及时提供乙方审计核查需要的相关资料，确保</w:t>
      </w:r>
      <w:r>
        <w:rPr>
          <w:rFonts w:hint="eastAsia" w:ascii="仿宋" w:hAnsi="仿宋" w:eastAsia="宋体" w:cs="仿宋"/>
          <w:b w:val="0"/>
          <w:bCs/>
          <w:color w:val="000000"/>
          <w:sz w:val="28"/>
          <w:szCs w:val="28"/>
          <w:lang w:eastAsia="zh-CN"/>
        </w:rPr>
        <w:t>提供资料的</w:t>
      </w:r>
      <w:r>
        <w:rPr>
          <w:rFonts w:hint="eastAsia" w:ascii="仿宋" w:hAnsi="仿宋" w:eastAsia="宋体" w:cs="仿宋"/>
          <w:b w:val="0"/>
          <w:bCs/>
          <w:color w:val="000000"/>
          <w:sz w:val="28"/>
          <w:szCs w:val="28"/>
        </w:rPr>
        <w:t>真实性。</w:t>
      </w:r>
    </w:p>
    <w:p w14:paraId="0750351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 xml:space="preserve">2.1.2 </w:t>
      </w:r>
      <w:r>
        <w:rPr>
          <w:rFonts w:hint="eastAsia" w:ascii="仿宋" w:hAnsi="仿宋" w:eastAsia="宋体" w:cs="仿宋"/>
          <w:b w:val="0"/>
          <w:bCs/>
          <w:color w:val="000000"/>
          <w:sz w:val="28"/>
          <w:szCs w:val="28"/>
        </w:rPr>
        <w:t>及时派出相关</w:t>
      </w:r>
      <w:r>
        <w:rPr>
          <w:rFonts w:hint="eastAsia" w:ascii="仿宋" w:hAnsi="仿宋" w:eastAsia="宋体" w:cs="仿宋"/>
          <w:b w:val="0"/>
          <w:bCs/>
          <w:color w:val="000000"/>
          <w:sz w:val="28"/>
          <w:szCs w:val="28"/>
          <w:lang w:val="en-US" w:eastAsia="zh-CN"/>
        </w:rPr>
        <w:t>工作</w:t>
      </w:r>
      <w:r>
        <w:rPr>
          <w:rFonts w:hint="eastAsia" w:ascii="仿宋" w:hAnsi="仿宋" w:eastAsia="宋体" w:cs="仿宋"/>
          <w:b w:val="0"/>
          <w:bCs/>
          <w:color w:val="000000"/>
          <w:sz w:val="28"/>
          <w:szCs w:val="28"/>
        </w:rPr>
        <w:t>人员协助乙方</w:t>
      </w:r>
      <w:r>
        <w:rPr>
          <w:rFonts w:hint="eastAsia" w:ascii="仿宋" w:hAnsi="仿宋" w:eastAsia="宋体" w:cs="仿宋"/>
          <w:b w:val="0"/>
          <w:bCs/>
          <w:color w:val="000000"/>
          <w:sz w:val="28"/>
          <w:szCs w:val="28"/>
          <w:lang w:val="en-US" w:eastAsia="zh-CN"/>
        </w:rPr>
        <w:t>进行审计核查</w:t>
      </w:r>
      <w:r>
        <w:rPr>
          <w:rFonts w:hint="eastAsia" w:ascii="仿宋" w:hAnsi="仿宋" w:eastAsia="宋体" w:cs="仿宋"/>
          <w:b w:val="0"/>
          <w:bCs/>
          <w:color w:val="000000"/>
          <w:sz w:val="28"/>
          <w:szCs w:val="28"/>
        </w:rPr>
        <w:t>，为乙方</w:t>
      </w:r>
      <w:r>
        <w:rPr>
          <w:rFonts w:hint="eastAsia" w:ascii="仿宋" w:hAnsi="仿宋" w:eastAsia="宋体" w:cs="仿宋"/>
          <w:b w:val="0"/>
          <w:bCs/>
          <w:color w:val="000000"/>
          <w:sz w:val="28"/>
          <w:szCs w:val="28"/>
          <w:lang w:val="en-US" w:eastAsia="zh-CN"/>
        </w:rPr>
        <w:t>审计核查</w:t>
      </w:r>
      <w:r>
        <w:rPr>
          <w:rFonts w:hint="eastAsia" w:ascii="仿宋" w:hAnsi="仿宋" w:eastAsia="宋体" w:cs="仿宋"/>
          <w:b w:val="0"/>
          <w:bCs/>
          <w:color w:val="000000"/>
          <w:sz w:val="28"/>
          <w:szCs w:val="28"/>
        </w:rPr>
        <w:t>提供必要的工作条件。</w:t>
      </w:r>
    </w:p>
    <w:p w14:paraId="150E5FD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2.1.3 甲方监审科全程监督参与，与乙方及时沟通。</w:t>
      </w:r>
    </w:p>
    <w:p w14:paraId="6867336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highlight w:val="none"/>
          <w:lang w:val="en-US" w:eastAsia="zh-CN"/>
        </w:rPr>
      </w:pPr>
      <w:r>
        <w:rPr>
          <w:rFonts w:hint="eastAsia" w:ascii="仿宋" w:hAnsi="仿宋" w:eastAsia="宋体" w:cs="仿宋"/>
          <w:b w:val="0"/>
          <w:bCs/>
          <w:color w:val="000000"/>
          <w:sz w:val="28"/>
          <w:szCs w:val="28"/>
          <w:highlight w:val="none"/>
          <w:lang w:val="en-US" w:eastAsia="zh-CN"/>
        </w:rPr>
        <w:t xml:space="preserve">2.1.4 </w:t>
      </w:r>
      <w:r>
        <w:rPr>
          <w:rFonts w:hint="eastAsia" w:ascii="仿宋" w:hAnsi="仿宋" w:eastAsia="宋体" w:cs="仿宋"/>
          <w:b w:val="0"/>
          <w:bCs/>
          <w:color w:val="000000"/>
          <w:sz w:val="28"/>
          <w:szCs w:val="28"/>
          <w:highlight w:val="none"/>
        </w:rPr>
        <w:t>甲方管理层</w:t>
      </w:r>
      <w:r>
        <w:rPr>
          <w:rFonts w:hint="eastAsia" w:ascii="仿宋" w:hAnsi="仿宋" w:eastAsia="宋体" w:cs="仿宋"/>
          <w:b w:val="0"/>
          <w:bCs/>
          <w:color w:val="000000"/>
          <w:sz w:val="28"/>
          <w:szCs w:val="28"/>
          <w:highlight w:val="none"/>
          <w:lang w:val="en-US" w:eastAsia="zh-CN"/>
        </w:rPr>
        <w:t>应</w:t>
      </w:r>
      <w:r>
        <w:rPr>
          <w:rFonts w:hint="eastAsia" w:ascii="仿宋" w:hAnsi="仿宋" w:eastAsia="宋体" w:cs="仿宋"/>
          <w:b w:val="0"/>
          <w:bCs/>
          <w:color w:val="000000"/>
          <w:sz w:val="28"/>
          <w:szCs w:val="28"/>
          <w:highlight w:val="none"/>
        </w:rPr>
        <w:t>对</w:t>
      </w:r>
      <w:r>
        <w:rPr>
          <w:rFonts w:hint="eastAsia" w:ascii="仿宋" w:hAnsi="仿宋" w:eastAsia="宋体" w:cs="仿宋"/>
          <w:b w:val="0"/>
          <w:bCs/>
          <w:color w:val="000000"/>
          <w:sz w:val="28"/>
          <w:szCs w:val="28"/>
          <w:highlight w:val="none"/>
          <w:lang w:val="en-US" w:eastAsia="zh-CN"/>
        </w:rPr>
        <w:t>乙方出具的审计核查报告初稿予以书面确认。</w:t>
      </w:r>
    </w:p>
    <w:p w14:paraId="725EF594">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仿宋" w:hAnsi="仿宋" w:eastAsia="宋体" w:cs="仿宋"/>
          <w:b/>
          <w:bCs w:val="0"/>
          <w:color w:val="000000"/>
          <w:sz w:val="28"/>
          <w:szCs w:val="28"/>
          <w:lang w:val="en-US" w:eastAsia="zh-CN"/>
        </w:rPr>
      </w:pP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bCs w:val="0"/>
          <w:color w:val="000000"/>
          <w:sz w:val="28"/>
          <w:szCs w:val="28"/>
          <w:lang w:val="en-US" w:eastAsia="zh-CN"/>
        </w:rPr>
        <w:t xml:space="preserve">   2.2 乙方其他权利与义务</w:t>
      </w:r>
    </w:p>
    <w:p w14:paraId="438187EF">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    2.2.1 严格遵守国家相关审计准则和医院制度，按本合同内容、要求、期限等约定完成审计核查工作并出具审计核查报告，确保审计核查报告真实、正确、合理。</w:t>
      </w:r>
    </w:p>
    <w:p w14:paraId="3DEA4C3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2.2.2 提交的审计报告应内容完整、格式规范，包括审计目的、范围、方法、发现的问题、整改建议等，并附相关证据材料。       </w:t>
      </w:r>
    </w:p>
    <w:p w14:paraId="1B5581D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 xml:space="preserve">2.2.3 </w:t>
      </w:r>
      <w:r>
        <w:rPr>
          <w:rFonts w:hint="eastAsia" w:ascii="仿宋" w:hAnsi="仿宋" w:eastAsia="宋体" w:cs="仿宋"/>
          <w:b w:val="0"/>
          <w:bCs/>
          <w:color w:val="000000"/>
          <w:sz w:val="28"/>
          <w:szCs w:val="28"/>
          <w:lang w:eastAsia="zh-CN"/>
        </w:rPr>
        <w:t>乙方工作人员</w:t>
      </w:r>
      <w:r>
        <w:rPr>
          <w:rFonts w:hint="eastAsia" w:ascii="仿宋" w:hAnsi="仿宋" w:eastAsia="宋体" w:cs="仿宋"/>
          <w:b w:val="0"/>
          <w:bCs/>
          <w:color w:val="000000"/>
          <w:sz w:val="28"/>
          <w:szCs w:val="28"/>
          <w:lang w:val="en-US" w:eastAsia="zh-CN"/>
        </w:rPr>
        <w:t>应当</w:t>
      </w:r>
      <w:r>
        <w:rPr>
          <w:rFonts w:hint="eastAsia" w:ascii="仿宋" w:hAnsi="仿宋" w:eastAsia="宋体" w:cs="仿宋"/>
          <w:b w:val="0"/>
          <w:bCs/>
          <w:color w:val="000000"/>
          <w:sz w:val="28"/>
          <w:szCs w:val="28"/>
        </w:rPr>
        <w:t>遵守</w:t>
      </w:r>
      <w:r>
        <w:rPr>
          <w:rFonts w:hint="eastAsia" w:ascii="仿宋" w:hAnsi="仿宋" w:eastAsia="宋体" w:cs="仿宋"/>
          <w:b w:val="0"/>
          <w:bCs/>
          <w:color w:val="000000"/>
          <w:sz w:val="28"/>
          <w:szCs w:val="28"/>
          <w:lang w:val="en-US" w:eastAsia="zh-CN"/>
        </w:rPr>
        <w:t>国家法律法规和</w:t>
      </w:r>
      <w:r>
        <w:rPr>
          <w:rFonts w:hint="eastAsia" w:ascii="仿宋" w:hAnsi="仿宋" w:eastAsia="宋体" w:cs="仿宋"/>
          <w:b w:val="0"/>
          <w:bCs/>
          <w:color w:val="000000"/>
          <w:sz w:val="28"/>
          <w:szCs w:val="28"/>
        </w:rPr>
        <w:t>职业道德规范，</w:t>
      </w:r>
      <w:r>
        <w:rPr>
          <w:rFonts w:hint="eastAsia" w:ascii="仿宋" w:hAnsi="仿宋" w:eastAsia="宋体" w:cs="仿宋"/>
          <w:b w:val="0"/>
          <w:bCs/>
          <w:color w:val="000000"/>
          <w:sz w:val="28"/>
          <w:szCs w:val="28"/>
          <w:lang w:eastAsia="zh-CN"/>
        </w:rPr>
        <w:t>认真</w:t>
      </w:r>
      <w:r>
        <w:rPr>
          <w:rFonts w:hint="eastAsia" w:ascii="仿宋" w:hAnsi="仿宋" w:eastAsia="宋体" w:cs="仿宋"/>
          <w:b w:val="0"/>
          <w:bCs/>
          <w:color w:val="000000"/>
          <w:sz w:val="28"/>
          <w:szCs w:val="28"/>
        </w:rPr>
        <w:t>实施审计</w:t>
      </w:r>
      <w:r>
        <w:rPr>
          <w:rFonts w:hint="eastAsia" w:ascii="仿宋" w:hAnsi="仿宋" w:eastAsia="宋体" w:cs="仿宋"/>
          <w:b w:val="0"/>
          <w:bCs/>
          <w:color w:val="000000"/>
          <w:sz w:val="28"/>
          <w:szCs w:val="28"/>
          <w:lang w:eastAsia="zh-CN"/>
        </w:rPr>
        <w:t>核查</w:t>
      </w:r>
      <w:r>
        <w:rPr>
          <w:rFonts w:hint="eastAsia" w:ascii="仿宋" w:hAnsi="仿宋" w:eastAsia="宋体" w:cs="仿宋"/>
          <w:b w:val="0"/>
          <w:bCs/>
          <w:color w:val="000000"/>
          <w:sz w:val="28"/>
          <w:szCs w:val="28"/>
        </w:rPr>
        <w:t>工作</w:t>
      </w:r>
      <w:r>
        <w:rPr>
          <w:rFonts w:hint="eastAsia" w:ascii="仿宋" w:hAnsi="仿宋" w:eastAsia="宋体" w:cs="仿宋"/>
          <w:b w:val="0"/>
          <w:bCs/>
          <w:color w:val="000000"/>
          <w:sz w:val="28"/>
          <w:szCs w:val="28"/>
          <w:lang w:eastAsia="zh-CN"/>
        </w:rPr>
        <w:t>；如</w:t>
      </w:r>
      <w:r>
        <w:rPr>
          <w:rFonts w:hint="eastAsia" w:ascii="仿宋" w:hAnsi="仿宋" w:eastAsia="宋体" w:cs="仿宋"/>
          <w:b w:val="0"/>
          <w:bCs/>
          <w:color w:val="000000"/>
          <w:sz w:val="28"/>
          <w:szCs w:val="28"/>
          <w:lang w:val="en-US" w:eastAsia="zh-CN"/>
        </w:rPr>
        <w:t>在审计核查过程中</w:t>
      </w:r>
      <w:r>
        <w:rPr>
          <w:rFonts w:hint="eastAsia" w:ascii="仿宋" w:hAnsi="仿宋" w:eastAsia="宋体" w:cs="仿宋"/>
          <w:b w:val="0"/>
          <w:bCs/>
          <w:color w:val="000000"/>
          <w:sz w:val="28"/>
          <w:szCs w:val="28"/>
          <w:lang w:eastAsia="zh-CN"/>
        </w:rPr>
        <w:t>发现</w:t>
      </w:r>
      <w:r>
        <w:rPr>
          <w:rFonts w:hint="eastAsia" w:ascii="仿宋" w:hAnsi="仿宋" w:eastAsia="宋体" w:cs="仿宋"/>
          <w:b w:val="0"/>
          <w:bCs/>
          <w:color w:val="000000"/>
          <w:sz w:val="28"/>
          <w:szCs w:val="28"/>
          <w:lang w:val="en-US" w:eastAsia="zh-CN"/>
        </w:rPr>
        <w:t>存在</w:t>
      </w:r>
      <w:r>
        <w:rPr>
          <w:rFonts w:hint="eastAsia" w:ascii="仿宋" w:hAnsi="仿宋" w:eastAsia="宋体" w:cs="仿宋"/>
          <w:b w:val="0"/>
          <w:bCs/>
          <w:color w:val="000000"/>
          <w:sz w:val="28"/>
          <w:szCs w:val="28"/>
        </w:rPr>
        <w:t>违规违纪</w:t>
      </w:r>
      <w:r>
        <w:rPr>
          <w:rFonts w:hint="eastAsia" w:ascii="仿宋" w:hAnsi="仿宋" w:eastAsia="宋体" w:cs="仿宋"/>
          <w:b w:val="0"/>
          <w:bCs/>
          <w:color w:val="000000"/>
          <w:sz w:val="28"/>
          <w:szCs w:val="28"/>
          <w:lang w:eastAsia="zh-CN"/>
        </w:rPr>
        <w:t>情况，</w:t>
      </w:r>
      <w:r>
        <w:rPr>
          <w:rFonts w:hint="eastAsia" w:ascii="仿宋" w:hAnsi="仿宋" w:eastAsia="宋体" w:cs="仿宋"/>
          <w:b w:val="0"/>
          <w:bCs/>
          <w:color w:val="000000"/>
          <w:sz w:val="28"/>
          <w:szCs w:val="28"/>
          <w:lang w:val="en-US" w:eastAsia="zh-CN"/>
        </w:rPr>
        <w:t>应立即告知甲方监审科并</w:t>
      </w:r>
      <w:r>
        <w:rPr>
          <w:rFonts w:hint="eastAsia" w:ascii="仿宋" w:hAnsi="仿宋" w:eastAsia="宋体" w:cs="仿宋"/>
          <w:b w:val="0"/>
          <w:bCs/>
          <w:color w:val="000000"/>
          <w:sz w:val="28"/>
          <w:szCs w:val="28"/>
          <w:lang w:eastAsia="zh-CN"/>
        </w:rPr>
        <w:t>保留相关</w:t>
      </w:r>
      <w:r>
        <w:rPr>
          <w:rFonts w:hint="eastAsia" w:ascii="仿宋" w:hAnsi="仿宋" w:eastAsia="宋体" w:cs="仿宋"/>
          <w:b w:val="0"/>
          <w:bCs/>
          <w:color w:val="000000"/>
          <w:sz w:val="28"/>
          <w:szCs w:val="28"/>
        </w:rPr>
        <w:t>证据。</w:t>
      </w:r>
    </w:p>
    <w:p w14:paraId="61B386E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2.2.4 乙方及指派履行本合同的人员对因履行本合同获得的甲方全部信息应永久保密，非经甲方书面同意不得向第三方披露。</w:t>
      </w:r>
    </w:p>
    <w:p w14:paraId="2F7CFC0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2.2.5 乙方履行本合同过程中发生事故，给甲方、乙方或第三方人身、财产造成的所有损失，均由乙方负责处理和承担全部法律责任、经济赔偿。</w:t>
      </w:r>
    </w:p>
    <w:p w14:paraId="5224340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2.2.6 如甲方因乙方提供的审计服务原因涉及纠纷、诉讼或被处以行政处罚，由乙方承担甲方因纠纷、诉讼、罚款等造成的全部经济损失。</w:t>
      </w:r>
    </w:p>
    <w:p w14:paraId="28659C9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sz w:val="28"/>
          <w:szCs w:val="28"/>
          <w:lang w:eastAsia="zh-CN"/>
        </w:rPr>
      </w:pPr>
      <w:r>
        <w:rPr>
          <w:rFonts w:hint="eastAsia" w:ascii="仿宋" w:hAnsi="仿宋" w:eastAsia="宋体" w:cs="仿宋"/>
          <w:b/>
          <w:bCs w:val="0"/>
          <w:color w:val="000000"/>
          <w:sz w:val="28"/>
          <w:szCs w:val="28"/>
          <w:lang w:val="en-US" w:eastAsia="zh-CN"/>
        </w:rPr>
        <w:t>第三条 服务费用及支付方式</w:t>
      </w:r>
    </w:p>
    <w:p w14:paraId="2D863B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3.1 本合同服务费用总计人民币</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元整（小写：</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元），该费用包括且不限于乙方履行本合同正常工作、附加工作和额外工作期间产生的人工费、材料费、食宿费、税费等全部费用，甲方不再另行向乙方支付其他任何费用。</w:t>
      </w:r>
    </w:p>
    <w:p w14:paraId="35149A9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3.2 甲方分次支付本合同费用给乙方：自乙方审计进场之日起10日内，支付本合同费用30%；自乙方出具设备维修管理专项正式审计报告之日起10日内，支付本合同费用30%；自乙方出具固定资产管理专项正式审计报告之日起10日内，支付本合同费用40%。</w:t>
      </w:r>
    </w:p>
    <w:p w14:paraId="07E77DD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3.3 乙方应在甲方每次支付前，向甲方提供以其自己名义开具的符合税法规定的对应金额增值税普通发票；如乙方未按前述约定提供发票，甲方有权拒绝付款且不视为逾期支付，由此产生的不利后果均由乙方自行承担。</w:t>
      </w:r>
    </w:p>
    <w:p w14:paraId="6140185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3.4 甲方通过银行转账向乙方支付审计核查服务费，乙方指定收款的银行账户的开户行：</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户名：</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账号：</w:t>
      </w:r>
      <w:r>
        <w:rPr>
          <w:rFonts w:hint="eastAsia" w:ascii="仿宋" w:hAnsi="仿宋" w:eastAsia="宋体" w:cs="仿宋"/>
          <w:b w:val="0"/>
          <w:bCs/>
          <w:color w:val="000000"/>
          <w:sz w:val="28"/>
          <w:szCs w:val="28"/>
          <w:u w:val="single"/>
          <w:lang w:val="en-US" w:eastAsia="zh-CN"/>
        </w:rPr>
        <w:t xml:space="preserve">            </w:t>
      </w:r>
      <w:r>
        <w:rPr>
          <w:rFonts w:hint="eastAsia" w:ascii="仿宋" w:hAnsi="仿宋" w:eastAsia="宋体" w:cs="仿宋"/>
          <w:b w:val="0"/>
          <w:bCs/>
          <w:color w:val="000000"/>
          <w:sz w:val="28"/>
          <w:szCs w:val="28"/>
          <w:lang w:val="en-US" w:eastAsia="zh-CN"/>
        </w:rPr>
        <w:t>。</w:t>
      </w:r>
    </w:p>
    <w:p w14:paraId="33062A52">
      <w:pPr>
        <w:keepNext w:val="0"/>
        <w:keepLines w:val="0"/>
        <w:pageBreakBefore w:val="0"/>
        <w:widowControl w:val="0"/>
        <w:kinsoku/>
        <w:wordWrap/>
        <w:overflowPunct/>
        <w:topLinePunct w:val="0"/>
        <w:autoSpaceDE/>
        <w:autoSpaceDN/>
        <w:bidi w:val="0"/>
        <w:adjustRightInd/>
        <w:snapToGrid/>
        <w:spacing w:line="480" w:lineRule="exact"/>
        <w:ind w:firstLine="551" w:firstLineChars="196"/>
        <w:textAlignment w:val="auto"/>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第四条 通知与送达</w:t>
      </w:r>
    </w:p>
    <w:p w14:paraId="6E1F6A1E">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甲乙双方同意，与本合同有关的任何文书，应以书面形式按本合同约定的方式送达。书面形式包括手机短信、微信、书面函件、电子邮件等形式。</w:t>
      </w:r>
    </w:p>
    <w:p w14:paraId="32065A0F">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双方确认的文书（包括未来可能发生的诉讼或仲裁活动中法院或仲裁机构的送达法律文书）送达地址：</w:t>
      </w:r>
    </w:p>
    <w:p w14:paraId="74104B52">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u w:val="none"/>
          <w:lang w:val="en-US" w:eastAsia="zh-CN"/>
        </w:rPr>
      </w:pPr>
      <w:r>
        <w:rPr>
          <w:rFonts w:hint="eastAsia" w:ascii="宋体" w:hAnsi="宋体" w:eastAsia="宋体" w:cs="宋体"/>
          <w:color w:val="000000"/>
          <w:sz w:val="28"/>
          <w:szCs w:val="28"/>
          <w:lang w:val="en-US" w:eastAsia="zh-CN"/>
        </w:rPr>
        <w:t>4.2.1 甲方的文书送达地址</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，收件人</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 xml:space="preserve"> ，电子邮箱：</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w:t>
      </w:r>
    </w:p>
    <w:p w14:paraId="3E550FD9">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4.2.2 乙方的文书送达地址：</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，收件人</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，电子邮箱</w:t>
      </w:r>
      <w:r>
        <w:rPr>
          <w:rFonts w:hint="eastAsia" w:ascii="宋体" w:hAnsi="宋体" w:eastAsia="宋体" w:cs="宋体"/>
          <w:color w:val="000000"/>
          <w:sz w:val="28"/>
          <w:szCs w:val="28"/>
          <w:u w:val="none"/>
          <w:lang w:val="en-US" w:eastAsia="zh-CN"/>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w:t>
      </w:r>
    </w:p>
    <w:p w14:paraId="6108AF58">
      <w:pPr>
        <w:keepNext w:val="0"/>
        <w:keepLines w:val="0"/>
        <w:pageBreakBefore w:val="0"/>
        <w:widowControl w:val="0"/>
        <w:kinsoku/>
        <w:wordWrap/>
        <w:overflowPunct/>
        <w:topLinePunct w:val="0"/>
        <w:autoSpaceDE/>
        <w:autoSpaceDN/>
        <w:bidi w:val="0"/>
        <w:adjustRightInd/>
        <w:snapToGrid/>
        <w:spacing w:line="480" w:lineRule="exact"/>
        <w:ind w:firstLine="548" w:firstLineChars="196"/>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4.3上述通知应被视为在下列时间送达：以快递或专人发送的，在收件人签收之日或拒收之日；以挂号邮件发出的，在发出之日起7个工作日；以电子邮件发出的，在电子邮件进入收件方电子邮箱服务器之日。</w:t>
      </w:r>
    </w:p>
    <w:p w14:paraId="7E72B8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color w:val="000000"/>
          <w:sz w:val="28"/>
          <w:szCs w:val="28"/>
          <w:lang w:val="en-US" w:eastAsia="zh-CN"/>
        </w:rPr>
        <w:t>4.4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1E52D0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第五条 廉洁条款</w:t>
      </w:r>
    </w:p>
    <w:p w14:paraId="3C8E4A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5.1 乙方应严格遵守国家相关法律法规，涉及合同的有关业务活动必须坚持公开、公平、公正、诚信原则，不得为获取不正当利益，损害国家、集体和甲方利益。</w:t>
      </w:r>
    </w:p>
    <w:p w14:paraId="7A0F5D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5.2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不得接受任何与本合同项目相关的宴请、礼品、礼金、有价证券、贵重物品及回扣、好处费、感谢费等好处，否则甲方有权要求乙方按本合同约定向甲方支付违反廉洁条款的惩罚性违约金。</w:t>
      </w:r>
    </w:p>
    <w:p w14:paraId="23B192B5">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bCs w:val="0"/>
          <w:color w:val="000000"/>
          <w:sz w:val="28"/>
          <w:szCs w:val="28"/>
          <w:lang w:val="en-US" w:eastAsia="zh-CN"/>
        </w:rPr>
        <w:t>第六条 合同的变更与解除</w:t>
      </w:r>
    </w:p>
    <w:p w14:paraId="6891726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6.1 经双方协商一致，可以变更合同，双方应另行签订补充合同。</w:t>
      </w:r>
    </w:p>
    <w:p w14:paraId="40D556E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 如乙方出现以下情形之一，甲方有权单方面解除本合同：</w:t>
      </w:r>
    </w:p>
    <w:p w14:paraId="08A1460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6.2.1 乙方未在约定期限内完成审计核查并出具正式审计核查报告，逾期</w:t>
      </w:r>
      <w:r>
        <w:rPr>
          <w:rFonts w:hint="eastAsia" w:ascii="仿宋" w:hAnsi="仿宋" w:eastAsia="宋体" w:cs="仿宋"/>
          <w:b w:val="0"/>
          <w:bCs/>
          <w:color w:val="000000"/>
          <w:sz w:val="28"/>
          <w:szCs w:val="28"/>
          <w:u w:val="single"/>
          <w:lang w:val="en-US" w:eastAsia="zh-CN"/>
        </w:rPr>
        <w:t xml:space="preserve"> 7 </w:t>
      </w:r>
      <w:r>
        <w:rPr>
          <w:rFonts w:hint="eastAsia" w:ascii="仿宋" w:hAnsi="仿宋" w:eastAsia="宋体" w:cs="仿宋"/>
          <w:b w:val="0"/>
          <w:bCs/>
          <w:color w:val="000000"/>
          <w:sz w:val="28"/>
          <w:szCs w:val="28"/>
          <w:lang w:val="en-US" w:eastAsia="zh-CN"/>
        </w:rPr>
        <w:t>日仍不能完成的；</w:t>
      </w:r>
    </w:p>
    <w:p w14:paraId="0E0E18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6.2.2 乙方将本合同权利义务全部或部分转让给第三方的；</w:t>
      </w:r>
    </w:p>
    <w:p w14:paraId="7016933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6.2.3 乙方违反保密义务的；</w:t>
      </w:r>
    </w:p>
    <w:p w14:paraId="452B071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6.2.4 其他根本违约的情形。</w:t>
      </w:r>
    </w:p>
    <w:p w14:paraId="4E8FC0D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val="0"/>
          <w:bCs/>
          <w:color w:val="000000"/>
          <w:sz w:val="28"/>
          <w:szCs w:val="28"/>
        </w:rPr>
      </w:pPr>
      <w:r>
        <w:rPr>
          <w:rFonts w:hint="eastAsia" w:ascii="仿宋" w:hAnsi="仿宋" w:eastAsia="宋体" w:cs="仿宋"/>
          <w:b/>
          <w:bCs w:val="0"/>
          <w:color w:val="000000"/>
          <w:sz w:val="28"/>
          <w:szCs w:val="28"/>
          <w:lang w:val="en-US" w:eastAsia="zh-CN"/>
        </w:rPr>
        <w:t>第七条 违约责任</w:t>
      </w:r>
    </w:p>
    <w:p w14:paraId="358F9E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7.1 乙方未在本合同约定期限内完成审计核查、出具正式审计核查报告，每逾期一日，应按本合同总价款千分之一标准向甲方支付违约金，违约金甲方可在应支付价款中先行抵扣。</w:t>
      </w:r>
    </w:p>
    <w:p w14:paraId="6E36A3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 xml:space="preserve">7.2 如乙方擅自单方解除本合同或违反本合同约定的保密义务，除赔偿甲方由此造成的经济损失外，还应向甲方支付违约金3万元。  </w:t>
      </w:r>
    </w:p>
    <w:p w14:paraId="7A262C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color w:val="000000"/>
          <w:lang w:val="en-US" w:eastAsia="zh-CN"/>
        </w:rPr>
      </w:pPr>
      <w:r>
        <w:rPr>
          <w:rFonts w:hint="eastAsia" w:ascii="仿宋" w:hAnsi="仿宋" w:eastAsia="宋体" w:cs="仿宋"/>
          <w:b w:val="0"/>
          <w:bCs/>
          <w:color w:val="000000"/>
          <w:sz w:val="28"/>
          <w:szCs w:val="28"/>
          <w:lang w:val="en-US" w:eastAsia="zh-CN"/>
        </w:rPr>
        <w:t>7.3 无论甲方在任意时候（不限于本合同履行期间）发现存在违反本合同廉洁条款的行为，乙方均须向甲方一次性支付惩罚性违约金5万元。如乙方除需承担违反廉洁条款的违约责任外，同时存在其他违约行为，乙方仍须就其他违约行为承担相应违约责任。</w:t>
      </w:r>
    </w:p>
    <w:p w14:paraId="159A4EC9">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第八条 争议解决</w:t>
      </w:r>
    </w:p>
    <w:p w14:paraId="60B861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8.1 本合同的生效、解释、履行、解除或终止，均受中国法律管辖和解释。</w:t>
      </w:r>
    </w:p>
    <w:p w14:paraId="5FDC39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8.2 本合同履行过程中如发生争议，双方应本着友好合作的精神共同积极协商解决。如协商不成，任何一方可向甲方所在地有管辖权的法院提起诉讼解决。</w:t>
      </w:r>
    </w:p>
    <w:p w14:paraId="38443EA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宋体" w:cs="仿宋"/>
          <w:b/>
          <w:bCs w:val="0"/>
          <w:color w:val="000000"/>
          <w:sz w:val="28"/>
          <w:szCs w:val="28"/>
          <w:lang w:val="en-US" w:eastAsia="zh-CN"/>
        </w:rPr>
      </w:pPr>
      <w:r>
        <w:rPr>
          <w:rFonts w:hint="eastAsia" w:ascii="仿宋" w:hAnsi="仿宋" w:eastAsia="宋体" w:cs="仿宋"/>
          <w:b/>
          <w:bCs w:val="0"/>
          <w:color w:val="000000"/>
          <w:sz w:val="28"/>
          <w:szCs w:val="28"/>
          <w:lang w:val="en-US" w:eastAsia="zh-CN"/>
        </w:rPr>
        <w:t>第九条 附则</w:t>
      </w:r>
    </w:p>
    <w:p w14:paraId="57E4760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9.1 本合同附件作为合同的有效组成部分，无需单独签字盖章即具备同等法律效力。</w:t>
      </w:r>
    </w:p>
    <w:p w14:paraId="5C8F6D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宋体"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9.2 本合同组成文件及优先解释顺序：本合同补充合同；本合同及附件；其他文件、资料等。</w:t>
      </w:r>
    </w:p>
    <w:p w14:paraId="7E68961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9.3 本合同一式四份，甲方执三份、乙方执一份，自双方签字并盖章之日起生效。</w:t>
      </w:r>
    </w:p>
    <w:p w14:paraId="6565E049">
      <w:pPr>
        <w:keepNext w:val="0"/>
        <w:keepLines w:val="0"/>
        <w:pageBreakBefore w:val="0"/>
        <w:widowControl w:val="0"/>
        <w:kinsoku/>
        <w:wordWrap/>
        <w:overflowPunct/>
        <w:topLinePunct w:val="0"/>
        <w:autoSpaceDE/>
        <w:autoSpaceDN/>
        <w:bidi w:val="0"/>
        <w:adjustRightInd/>
        <w:snapToGrid/>
        <w:spacing w:line="480" w:lineRule="exact"/>
        <w:ind w:left="6465" w:hanging="6440" w:hangingChars="2300"/>
        <w:textAlignment w:val="auto"/>
        <w:rPr>
          <w:rFonts w:hint="eastAsia" w:ascii="仿宋" w:hAnsi="仿宋" w:eastAsia="宋体" w:cs="仿宋"/>
          <w:b w:val="0"/>
          <w:bCs/>
          <w:color w:val="000000"/>
          <w:sz w:val="28"/>
          <w:szCs w:val="28"/>
        </w:rPr>
      </w:pPr>
    </w:p>
    <w:p w14:paraId="3EAEF33E">
      <w:pPr>
        <w:keepNext w:val="0"/>
        <w:keepLines w:val="0"/>
        <w:pageBreakBefore w:val="0"/>
        <w:widowControl w:val="0"/>
        <w:kinsoku/>
        <w:wordWrap/>
        <w:overflowPunct/>
        <w:topLinePunct w:val="0"/>
        <w:autoSpaceDE/>
        <w:autoSpaceDN/>
        <w:bidi w:val="0"/>
        <w:adjustRightInd/>
        <w:snapToGrid/>
        <w:spacing w:line="480" w:lineRule="exact"/>
        <w:ind w:left="6465" w:hanging="6440" w:hangingChars="2300"/>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rPr>
        <w:t>甲方（盖章）：娄底市中心医院　</w:t>
      </w: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val="0"/>
          <w:bCs/>
          <w:color w:val="000000"/>
          <w:sz w:val="28"/>
          <w:szCs w:val="28"/>
        </w:rPr>
        <w:t>乙方（盖章）：</w:t>
      </w:r>
    </w:p>
    <w:p w14:paraId="412D82A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宋体" w:cs="仿宋"/>
          <w:b w:val="0"/>
          <w:bCs/>
          <w:color w:val="000000"/>
          <w:sz w:val="28"/>
          <w:szCs w:val="28"/>
          <w:lang w:val="en-US" w:eastAsia="zh-CN"/>
        </w:rPr>
      </w:pPr>
    </w:p>
    <w:p w14:paraId="0E2A95B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color w:val="000000"/>
          <w:sz w:val="28"/>
          <w:szCs w:val="28"/>
          <w:lang w:val="en-US" w:eastAsia="zh-CN"/>
        </w:rPr>
      </w:pPr>
      <w:r>
        <w:rPr>
          <w:rFonts w:hint="eastAsia" w:ascii="仿宋" w:hAnsi="仿宋" w:eastAsia="宋体" w:cs="仿宋"/>
          <w:b w:val="0"/>
          <w:bCs/>
          <w:color w:val="000000"/>
          <w:sz w:val="28"/>
          <w:szCs w:val="28"/>
          <w:lang w:val="en-US" w:eastAsia="zh-CN"/>
        </w:rPr>
        <w:t>法定代表人（签名）：              法定代表人（签名）：</w:t>
      </w:r>
    </w:p>
    <w:p w14:paraId="5725C33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宋体" w:cs="仿宋"/>
          <w:b w:val="0"/>
          <w:bCs/>
          <w:color w:val="000000"/>
          <w:sz w:val="28"/>
          <w:szCs w:val="28"/>
          <w:lang w:val="en-US" w:eastAsia="zh-CN"/>
        </w:rPr>
      </w:pPr>
    </w:p>
    <w:p w14:paraId="43D8149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r>
        <w:rPr>
          <w:rFonts w:hint="eastAsia" w:ascii="仿宋" w:hAnsi="仿宋" w:eastAsia="宋体" w:cs="仿宋"/>
          <w:b w:val="0"/>
          <w:bCs/>
          <w:color w:val="000000"/>
          <w:sz w:val="28"/>
          <w:szCs w:val="28"/>
          <w:lang w:val="en-US" w:eastAsia="zh-CN"/>
        </w:rPr>
        <w:t>或委托代理人（签名）：</w:t>
      </w:r>
      <w:r>
        <w:rPr>
          <w:rFonts w:hint="eastAsia" w:ascii="仿宋" w:hAnsi="仿宋" w:eastAsia="宋体" w:cs="仿宋"/>
          <w:b w:val="0"/>
          <w:bCs/>
          <w:color w:val="000000"/>
          <w:sz w:val="28"/>
          <w:szCs w:val="28"/>
        </w:rPr>
        <w:t>　　</w:t>
      </w:r>
      <w:r>
        <w:rPr>
          <w:rFonts w:hint="eastAsia" w:ascii="仿宋" w:hAnsi="仿宋" w:eastAsia="宋体" w:cs="仿宋"/>
          <w:b w:val="0"/>
          <w:bCs/>
          <w:color w:val="000000"/>
          <w:sz w:val="28"/>
          <w:szCs w:val="28"/>
          <w:lang w:val="en-US" w:eastAsia="zh-CN"/>
        </w:rPr>
        <w:t xml:space="preserve">        或委托代理人（签名）：</w:t>
      </w:r>
      <w:r>
        <w:rPr>
          <w:rFonts w:hint="eastAsia" w:ascii="仿宋" w:hAnsi="仿宋" w:eastAsia="宋体" w:cs="仿宋"/>
          <w:b w:val="0"/>
          <w:bCs/>
          <w:color w:val="000000"/>
          <w:sz w:val="28"/>
          <w:szCs w:val="28"/>
        </w:rPr>
        <w:t>　　　　　　　　　　　　　　　</w:t>
      </w:r>
    </w:p>
    <w:p w14:paraId="6EC019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color w:val="000000"/>
          <w:sz w:val="28"/>
          <w:szCs w:val="28"/>
        </w:rPr>
      </w:pPr>
    </w:p>
    <w:p w14:paraId="00CD26F8">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b w:val="0"/>
          <w:bCs/>
          <w:color w:val="000000"/>
          <w:sz w:val="28"/>
          <w:szCs w:val="28"/>
          <w:u w:val="single"/>
        </w:rPr>
      </w:pPr>
      <w:r>
        <w:rPr>
          <w:rFonts w:hint="eastAsia" w:ascii="仿宋" w:hAnsi="仿宋" w:eastAsia="宋体" w:cs="仿宋"/>
          <w:b w:val="0"/>
          <w:bCs/>
          <w:color w:val="000000"/>
          <w:sz w:val="28"/>
          <w:szCs w:val="28"/>
          <w:lang w:val="en-US" w:eastAsia="zh-CN"/>
        </w:rPr>
        <w:t>合同签订地履行地：娄底市娄星区    签订时间：</w:t>
      </w:r>
      <w:r>
        <w:rPr>
          <w:rFonts w:hint="eastAsia" w:ascii="仿宋" w:hAnsi="仿宋" w:eastAsia="宋体" w:cs="仿宋"/>
          <w:b w:val="0"/>
          <w:bCs/>
          <w:color w:val="000000"/>
          <w:sz w:val="28"/>
          <w:szCs w:val="28"/>
        </w:rPr>
        <w:t xml:space="preserve">    年　</w:t>
      </w:r>
      <w:r>
        <w:rPr>
          <w:rFonts w:hint="eastAsia" w:ascii="仿宋" w:hAnsi="仿宋" w:eastAsia="宋体" w:cs="仿宋"/>
          <w:b w:val="0"/>
          <w:bCs/>
          <w:color w:val="000000"/>
          <w:sz w:val="28"/>
          <w:szCs w:val="28"/>
          <w:lang w:val="en-US" w:eastAsia="zh-CN"/>
        </w:rPr>
        <w:t xml:space="preserve"> </w:t>
      </w:r>
      <w:r>
        <w:rPr>
          <w:rFonts w:hint="eastAsia" w:ascii="仿宋" w:hAnsi="仿宋" w:eastAsia="宋体" w:cs="仿宋"/>
          <w:b w:val="0"/>
          <w:bCs/>
          <w:color w:val="000000"/>
          <w:sz w:val="28"/>
          <w:szCs w:val="28"/>
        </w:rPr>
        <w:t>月　 日</w:t>
      </w:r>
    </w:p>
    <w:p w14:paraId="674252B7">
      <w:pPr>
        <w:keepNext w:val="0"/>
        <w:keepLines w:val="0"/>
        <w:pageBreakBefore w:val="0"/>
        <w:kinsoku/>
        <w:wordWrap/>
        <w:overflowPunct/>
        <w:topLinePunct w:val="0"/>
        <w:autoSpaceDE/>
        <w:autoSpaceDN/>
        <w:bidi w:val="0"/>
        <w:adjustRightInd/>
        <w:snapToGrid/>
        <w:spacing w:line="480" w:lineRule="exact"/>
        <w:textAlignment w:val="auto"/>
        <w:rPr>
          <w:rFonts w:hint="default" w:ascii="仿宋_GB2312" w:hAnsi="Times New Roman" w:eastAsia="仿宋_GB2312" w:cs="仿宋_GB2312"/>
          <w:i w:val="0"/>
          <w:iCs w:val="0"/>
          <w:caps w:val="0"/>
          <w:color w:val="auto"/>
          <w:spacing w:val="0"/>
          <w:kern w:val="2"/>
          <w:sz w:val="32"/>
          <w:szCs w:val="32"/>
          <w:lang w:val="en-US" w:eastAsia="zh-CN" w:bidi="ar-SA"/>
        </w:rPr>
      </w:pPr>
    </w:p>
    <w:p w14:paraId="47A02D5D">
      <w:pPr>
        <w:rPr>
          <w:color w:val="auto"/>
        </w:rPr>
      </w:pPr>
    </w:p>
    <w:p w14:paraId="5B569F93">
      <w:pPr>
        <w:rPr>
          <w:color w:val="auto"/>
        </w:rPr>
      </w:pPr>
    </w:p>
    <w:p w14:paraId="30FBCCDE">
      <w:pPr>
        <w:rPr>
          <w:color w:val="auto"/>
        </w:rPr>
      </w:pPr>
    </w:p>
    <w:p w14:paraId="72BD0C59">
      <w:pPr>
        <w:rPr>
          <w:color w:val="auto"/>
        </w:rPr>
      </w:pPr>
    </w:p>
    <w:p w14:paraId="390A0DBD">
      <w:pPr>
        <w:rPr>
          <w:color w:val="auto"/>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BDEBD">
    <w:pPr>
      <w:pStyle w:val="2"/>
      <w:rPr>
        <w:rFonts w:hint="eastAsia" w:ascii="仿宋_GB2312" w:eastAsia="仿宋_GB2312"/>
        <w:bCs/>
        <w:u w:val="single"/>
      </w:rPr>
    </w:pPr>
    <w:r>
      <w:rPr>
        <w:rFonts w:hint="eastAsia" w:ascii="仿宋_GB2312" w:eastAsia="仿宋_GB2312"/>
        <w:bCs/>
        <w:u w:val="single"/>
      </w:rPr>
      <w:t xml:space="preserve">                                                                                                 </w:t>
    </w:r>
  </w:p>
  <w:p w14:paraId="2C95EB03">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B09C3">
    <w:pPr>
      <w:pStyle w:val="2"/>
      <w:rPr>
        <w:rFonts w:hint="eastAsia" w:ascii="仿宋_GB2312" w:eastAsia="仿宋_GB2312"/>
        <w:bCs/>
        <w:u w:val="single"/>
      </w:rPr>
    </w:pPr>
    <w:r>
      <w:rPr>
        <w:rFonts w:hint="eastAsia" w:ascii="仿宋_GB2312" w:eastAsia="仿宋_GB2312"/>
        <w:bCs/>
        <w:u w:val="single"/>
      </w:rPr>
      <w:t xml:space="preserve">                                                                                                 </w:t>
    </w:r>
  </w:p>
  <w:p w14:paraId="59E9961B">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69E1">
    <w:pPr>
      <w:pStyle w:val="7"/>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9E393">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22E66F"/>
    <w:multiLevelType w:val="singleLevel"/>
    <w:tmpl w:val="B522E66F"/>
    <w:lvl w:ilvl="0" w:tentative="0">
      <w:start w:val="1"/>
      <w:numFmt w:val="decimal"/>
      <w:suff w:val="nothing"/>
      <w:lvlText w:val="%1、"/>
      <w:lvlJc w:val="left"/>
    </w:lvl>
  </w:abstractNum>
  <w:abstractNum w:abstractNumId="1">
    <w:nsid w:val="B6EE324B"/>
    <w:multiLevelType w:val="singleLevel"/>
    <w:tmpl w:val="B6EE324B"/>
    <w:lvl w:ilvl="0" w:tentative="0">
      <w:start w:val="4"/>
      <w:numFmt w:val="chineseCounting"/>
      <w:suff w:val="space"/>
      <w:lvlText w:val="第%1章"/>
      <w:lvlJc w:val="left"/>
      <w:rPr>
        <w:rFonts w:hint="eastAsia"/>
      </w:rPr>
    </w:lvl>
  </w:abstractNum>
  <w:abstractNum w:abstractNumId="2">
    <w:nsid w:val="BB68914C"/>
    <w:multiLevelType w:val="singleLevel"/>
    <w:tmpl w:val="BB68914C"/>
    <w:lvl w:ilvl="0" w:tentative="0">
      <w:start w:val="2"/>
      <w:numFmt w:val="chineseCounting"/>
      <w:suff w:val="nothing"/>
      <w:lvlText w:val="%1、"/>
      <w:lvlJc w:val="left"/>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405DA409"/>
    <w:multiLevelType w:val="singleLevel"/>
    <w:tmpl w:val="405DA409"/>
    <w:lvl w:ilvl="0" w:tentative="0">
      <w:start w:val="1"/>
      <w:numFmt w:val="decimal"/>
      <w:suff w:val="nothing"/>
      <w:lvlText w:val="%1、"/>
      <w:lvlJc w:val="left"/>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5426F"/>
    <w:rsid w:val="1A4603F9"/>
    <w:rsid w:val="34F5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4126</Words>
  <Characters>4280</Characters>
  <Lines>0</Lines>
  <Paragraphs>0</Paragraphs>
  <TotalTime>0</TotalTime>
  <ScaleCrop>false</ScaleCrop>
  <LinksUpToDate>false</LinksUpToDate>
  <CharactersWithSpaces>4294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2025-04-03T02:02:00Z</dcterms:created>
  <dc:creator>胡涛</dc:creator>
  <cp:lastModifiedBy>胡涛</cp:lastModifiedBy>
  <dcterms:modified xsi:type="dcterms:W3CDTF">2025-05-07T01:08:44Z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FD87B5A604D149AF8756B05AF9073951_11</vt:lpwstr>
  </property>
  <property fmtid="{D5CDD505-2E9C-101B-9397-08002B2CF9AE}" pid="4" name="KSOTemplateDocerSaveRecord">
    <vt:lpwstr>eyJoZGlkIjoiMzBiNGI3ZTYwZjQ3ZjQ3NDNlNjVmNTNjZmRkOTY0ZTkiLCJ1c2VySWQiOiIyNjQ2NDY0ODUifQ==</vt:lpwstr>
  </property>
</Properties>
</file>