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35F3F">
      <w:pPr>
        <w:pStyle w:val="5"/>
        <w:snapToGrid w:val="0"/>
        <w:jc w:val="center"/>
        <w:rPr>
          <w:rFonts w:ascii="Arial" w:hAnsi="Arial" w:eastAsia="方正小标宋简体" w:cs="Arial"/>
          <w:color w:val="auto"/>
          <w:sz w:val="72"/>
          <w:szCs w:val="72"/>
        </w:rPr>
      </w:pPr>
    </w:p>
    <w:p w14:paraId="0D5027C7">
      <w:pPr>
        <w:pStyle w:val="5"/>
        <w:tabs>
          <w:tab w:val="left" w:pos="312"/>
        </w:tabs>
        <w:snapToGrid w:val="0"/>
        <w:spacing w:line="288" w:lineRule="auto"/>
        <w:jc w:val="center"/>
        <w:rPr>
          <w:rFonts w:ascii="Arial" w:hAnsi="Arial" w:eastAsia="方正小标宋简体" w:cs="Arial"/>
          <w:color w:val="auto"/>
          <w:sz w:val="72"/>
          <w:szCs w:val="72"/>
        </w:rPr>
      </w:pPr>
      <w:bookmarkStart w:id="0" w:name="_Toc16523570"/>
      <w:r>
        <w:rPr>
          <w:rFonts w:hint="eastAsia" w:ascii="Arial" w:hAnsi="Arial" w:eastAsia="方正小标宋简体" w:cs="Arial"/>
          <w:color w:val="auto"/>
          <w:sz w:val="72"/>
          <w:szCs w:val="72"/>
        </w:rPr>
        <w:t>娄底市中心医院院内</w:t>
      </w:r>
    </w:p>
    <w:p w14:paraId="2F26593D">
      <w:pPr>
        <w:pStyle w:val="5"/>
        <w:snapToGrid w:val="0"/>
        <w:jc w:val="center"/>
        <w:rPr>
          <w:rFonts w:ascii="Arial" w:hAnsi="Arial" w:eastAsia="方正小标宋简体" w:cs="Arial"/>
          <w:color w:val="auto"/>
          <w:sz w:val="72"/>
          <w:szCs w:val="72"/>
        </w:rPr>
      </w:pPr>
    </w:p>
    <w:p w14:paraId="691B911C">
      <w:pPr>
        <w:pStyle w:val="5"/>
        <w:snapToGrid w:val="0"/>
        <w:jc w:val="center"/>
        <w:rPr>
          <w:rFonts w:ascii="Arial" w:hAnsi="Arial" w:eastAsia="方正小标宋简体" w:cs="Arial"/>
          <w:color w:val="auto"/>
          <w:sz w:val="72"/>
          <w:szCs w:val="72"/>
        </w:rPr>
      </w:pPr>
      <w:r>
        <w:rPr>
          <w:rFonts w:hint="eastAsia" w:ascii="Arial" w:hAnsi="Arial" w:eastAsia="方正小标宋简体" w:cs="Arial"/>
          <w:color w:val="auto"/>
          <w:sz w:val="72"/>
          <w:szCs w:val="72"/>
        </w:rPr>
        <w:t>招</w:t>
      </w:r>
    </w:p>
    <w:p w14:paraId="1BFFE977">
      <w:pPr>
        <w:pStyle w:val="5"/>
        <w:snapToGrid w:val="0"/>
        <w:jc w:val="center"/>
        <w:rPr>
          <w:rFonts w:ascii="Arial" w:hAnsi="Arial" w:eastAsia="方正小标宋简体" w:cs="Arial"/>
          <w:color w:val="auto"/>
          <w:sz w:val="72"/>
          <w:szCs w:val="72"/>
        </w:rPr>
      </w:pPr>
    </w:p>
    <w:p w14:paraId="4611ADA2">
      <w:pPr>
        <w:pStyle w:val="5"/>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标</w:t>
      </w:r>
    </w:p>
    <w:p w14:paraId="1293AE37">
      <w:pPr>
        <w:pStyle w:val="5"/>
        <w:snapToGrid w:val="0"/>
        <w:jc w:val="center"/>
        <w:rPr>
          <w:rFonts w:ascii="Arial" w:hAnsi="Arial" w:eastAsia="方正小标宋简体" w:cs="Arial"/>
          <w:color w:val="auto"/>
          <w:sz w:val="72"/>
          <w:szCs w:val="72"/>
        </w:rPr>
      </w:pPr>
    </w:p>
    <w:p w14:paraId="1624EBB2">
      <w:pPr>
        <w:pStyle w:val="5"/>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文</w:t>
      </w:r>
    </w:p>
    <w:p w14:paraId="51A56B19">
      <w:pPr>
        <w:pStyle w:val="5"/>
        <w:snapToGrid w:val="0"/>
        <w:jc w:val="center"/>
        <w:rPr>
          <w:rFonts w:ascii="Arial" w:hAnsi="Arial" w:eastAsia="方正小标宋简体" w:cs="Arial"/>
          <w:color w:val="auto"/>
          <w:sz w:val="72"/>
          <w:szCs w:val="72"/>
        </w:rPr>
      </w:pPr>
    </w:p>
    <w:p w14:paraId="7F86B3C3">
      <w:pPr>
        <w:pStyle w:val="5"/>
        <w:snapToGrid w:val="0"/>
        <w:jc w:val="center"/>
        <w:rPr>
          <w:rFonts w:ascii="Arial" w:hAnsi="Arial" w:eastAsia="方正小标宋简体" w:cs="Arial"/>
          <w:color w:val="auto"/>
          <w:sz w:val="36"/>
          <w:szCs w:val="36"/>
        </w:rPr>
      </w:pPr>
      <w:r>
        <w:rPr>
          <w:rFonts w:ascii="Arial" w:hAnsi="Arial" w:eastAsia="方正小标宋简体" w:cs="Arial"/>
          <w:color w:val="auto"/>
          <w:sz w:val="72"/>
          <w:szCs w:val="72"/>
        </w:rPr>
        <w:t>件</w:t>
      </w:r>
    </w:p>
    <w:p w14:paraId="07E0B5DC">
      <w:pPr>
        <w:pStyle w:val="5"/>
        <w:snapToGrid w:val="0"/>
        <w:jc w:val="center"/>
        <w:rPr>
          <w:rFonts w:ascii="Arial" w:hAnsi="Arial" w:cs="Arial"/>
          <w:color w:val="auto"/>
          <w:sz w:val="32"/>
          <w:szCs w:val="32"/>
        </w:rPr>
      </w:pPr>
    </w:p>
    <w:p w14:paraId="488957DF">
      <w:pPr>
        <w:pStyle w:val="5"/>
        <w:snapToGrid w:val="0"/>
        <w:jc w:val="center"/>
        <w:rPr>
          <w:rFonts w:ascii="Arial" w:hAnsi="Arial" w:cs="Arial"/>
          <w:color w:val="auto"/>
          <w:sz w:val="32"/>
          <w:szCs w:val="32"/>
        </w:rPr>
      </w:pPr>
    </w:p>
    <w:p w14:paraId="054C7AA9">
      <w:pPr>
        <w:pStyle w:val="5"/>
        <w:snapToGrid w:val="0"/>
        <w:jc w:val="center"/>
        <w:rPr>
          <w:rFonts w:ascii="Arial" w:hAnsi="Arial" w:cs="Arial"/>
          <w:color w:val="auto"/>
          <w:sz w:val="32"/>
          <w:szCs w:val="32"/>
        </w:rPr>
      </w:pPr>
    </w:p>
    <w:p w14:paraId="4521341A">
      <w:pPr>
        <w:spacing w:line="360" w:lineRule="auto"/>
        <w:rPr>
          <w:rFonts w:hint="eastAsia"/>
          <w:bCs/>
          <w:color w:val="auto"/>
          <w:sz w:val="32"/>
          <w:szCs w:val="32"/>
        </w:rPr>
      </w:pPr>
    </w:p>
    <w:p w14:paraId="610E62FB">
      <w:pPr>
        <w:keepNext w:val="0"/>
        <w:keepLines w:val="0"/>
        <w:widowControl/>
        <w:suppressLineNumbers w:val="0"/>
        <w:jc w:val="center"/>
        <w:rPr>
          <w:rFonts w:hint="eastAsia"/>
          <w:bCs/>
          <w:color w:val="auto"/>
          <w:sz w:val="32"/>
          <w:szCs w:val="32"/>
        </w:rPr>
      </w:pPr>
      <w:r>
        <w:rPr>
          <w:rFonts w:hint="eastAsia"/>
          <w:bCs/>
          <w:color w:val="auto"/>
          <w:sz w:val="32"/>
          <w:szCs w:val="32"/>
        </w:rPr>
        <w:t>项目名称：</w:t>
      </w:r>
      <w:r>
        <w:rPr>
          <w:rFonts w:hint="eastAsia" w:ascii="Times New Roman" w:hAnsi="Times New Roman" w:eastAsia="宋体" w:cs="Times New Roman"/>
          <w:bCs/>
          <w:color w:val="auto"/>
          <w:sz w:val="32"/>
          <w:szCs w:val="32"/>
          <w:lang w:val="en-US" w:eastAsia="zh-CN"/>
        </w:rPr>
        <w:t>娄底中心医院全省检查检验互认平台医保专线</w:t>
      </w:r>
      <w:r>
        <w:rPr>
          <w:rFonts w:hint="eastAsia" w:cs="Times New Roman"/>
          <w:bCs/>
          <w:color w:val="auto"/>
          <w:sz w:val="32"/>
          <w:szCs w:val="32"/>
          <w:lang w:val="en-US" w:eastAsia="zh-CN"/>
        </w:rPr>
        <w:t>项目</w:t>
      </w:r>
      <w:r>
        <w:rPr>
          <w:rFonts w:hint="eastAsia" w:ascii="Times New Roman" w:hAnsi="Times New Roman" w:eastAsia="宋体" w:cs="Times New Roman"/>
          <w:bCs/>
          <w:color w:val="auto"/>
          <w:sz w:val="32"/>
          <w:szCs w:val="32"/>
          <w:lang w:val="en-US" w:eastAsia="zh-CN"/>
        </w:rPr>
        <w:t xml:space="preserve">招标文件 </w:t>
      </w:r>
      <w:r>
        <w:rPr>
          <w:rFonts w:hint="eastAsia" w:ascii="Times New Roman" w:hAnsi="Times New Roman" w:eastAsia="宋体" w:cs="Times New Roman"/>
          <w:bCs/>
          <w:color w:val="auto"/>
          <w:sz w:val="32"/>
          <w:szCs w:val="32"/>
        </w:rPr>
        <w:t>（</w:t>
      </w:r>
      <w:r>
        <w:rPr>
          <w:rFonts w:hint="eastAsia" w:cs="Times New Roman"/>
          <w:bCs/>
          <w:color w:val="auto"/>
          <w:sz w:val="32"/>
          <w:szCs w:val="32"/>
          <w:lang w:val="en-US" w:eastAsia="zh-CN"/>
        </w:rPr>
        <w:t>最低价</w:t>
      </w:r>
      <w:r>
        <w:rPr>
          <w:rFonts w:hint="eastAsia" w:ascii="Times New Roman" w:hAnsi="Times New Roman" w:eastAsia="宋体" w:cs="Times New Roman"/>
          <w:bCs/>
          <w:color w:val="auto"/>
          <w:sz w:val="32"/>
          <w:szCs w:val="32"/>
          <w:lang w:eastAsia="zh-CN"/>
        </w:rPr>
        <w:t>竞</w:t>
      </w:r>
      <w:r>
        <w:rPr>
          <w:rFonts w:hint="eastAsia" w:cs="Times New Roman"/>
          <w:bCs/>
          <w:color w:val="auto"/>
          <w:sz w:val="32"/>
          <w:szCs w:val="32"/>
          <w:lang w:val="en-US" w:eastAsia="zh-CN"/>
        </w:rPr>
        <w:t>标</w:t>
      </w:r>
      <w:r>
        <w:rPr>
          <w:rFonts w:hint="eastAsia" w:ascii="Times New Roman" w:hAnsi="Times New Roman" w:eastAsia="宋体" w:cs="Times New Roman"/>
          <w:bCs/>
          <w:color w:val="auto"/>
          <w:sz w:val="32"/>
          <w:szCs w:val="32"/>
        </w:rPr>
        <w:t>）</w:t>
      </w:r>
    </w:p>
    <w:p w14:paraId="094CE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auto"/>
          <w:sz w:val="32"/>
          <w:szCs w:val="32"/>
        </w:rPr>
      </w:pPr>
    </w:p>
    <w:p w14:paraId="741B5CF4">
      <w:pPr>
        <w:spacing w:line="320" w:lineRule="exact"/>
        <w:jc w:val="left"/>
        <w:rPr>
          <w:color w:val="auto"/>
          <w:sz w:val="24"/>
        </w:rPr>
      </w:pPr>
    </w:p>
    <w:p w14:paraId="289CD261">
      <w:pPr>
        <w:spacing w:line="320" w:lineRule="exact"/>
        <w:jc w:val="center"/>
        <w:rPr>
          <w:rFonts w:hint="eastAsia"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p>
    <w:p w14:paraId="285F4ED6">
      <w:pPr>
        <w:rPr>
          <w:rFonts w:hint="eastAsia" w:ascii="宋体" w:hAnsi="宋体" w:cs="宋体"/>
          <w:color w:val="auto"/>
          <w:sz w:val="44"/>
          <w:szCs w:val="44"/>
          <w:lang w:val="en-US" w:eastAsia="zh-CN"/>
        </w:rPr>
      </w:pPr>
    </w:p>
    <w:p w14:paraId="69DDB1E5">
      <w:pPr>
        <w:pStyle w:val="2"/>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14:paraId="28184420">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14:paraId="78467CFC">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娄底中心医院全省检查检验互认平台医保专线项目进行挂网招标，将招标事项公告如下：</w:t>
      </w:r>
    </w:p>
    <w:p w14:paraId="1A84E7AA">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一、项目信息</w:t>
      </w:r>
    </w:p>
    <w:p w14:paraId="6CBC760A">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项目名称：娄底中心医院全省检查检验互认平台医保专线项目</w:t>
      </w:r>
    </w:p>
    <w:p w14:paraId="27E2B036">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二、采购方式</w:t>
      </w:r>
    </w:p>
    <w:p w14:paraId="47FA2269">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1、</w:t>
      </w:r>
      <w:r>
        <w:rPr>
          <w:rFonts w:hint="eastAsia"/>
          <w:bCs/>
          <w:color w:val="auto"/>
          <w:sz w:val="28"/>
          <w:szCs w:val="28"/>
          <w:lang w:val="en-US" w:eastAsia="zh-CN"/>
        </w:rPr>
        <w:t>现场评标</w:t>
      </w:r>
      <w:r>
        <w:rPr>
          <w:rFonts w:hint="eastAsia" w:hAnsi="Times New Roman"/>
          <w:bCs/>
          <w:color w:val="auto"/>
          <w:sz w:val="28"/>
          <w:szCs w:val="28"/>
          <w:lang w:val="en-US" w:eastAsia="zh-CN"/>
        </w:rPr>
        <w:t>，按</w:t>
      </w:r>
      <w:r>
        <w:rPr>
          <w:rFonts w:hint="eastAsia"/>
          <w:bCs/>
          <w:color w:val="auto"/>
          <w:sz w:val="28"/>
          <w:szCs w:val="28"/>
          <w:lang w:val="en-US" w:eastAsia="zh-CN"/>
        </w:rPr>
        <w:t>最低价中标</w:t>
      </w:r>
      <w:r>
        <w:rPr>
          <w:rFonts w:hint="eastAsia" w:hAnsi="Times New Roman"/>
          <w:bCs/>
          <w:color w:val="auto"/>
          <w:sz w:val="28"/>
          <w:szCs w:val="28"/>
          <w:lang w:val="en-US" w:eastAsia="zh-CN"/>
        </w:rPr>
        <w:t>。</w:t>
      </w:r>
    </w:p>
    <w:p w14:paraId="6042D087">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三、投标人资格要求</w:t>
      </w:r>
    </w:p>
    <w:p w14:paraId="1DE641C0">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1、</w:t>
      </w:r>
      <w:r>
        <w:rPr>
          <w:rFonts w:hint="eastAsia"/>
          <w:bCs/>
          <w:color w:val="auto"/>
          <w:sz w:val="28"/>
          <w:szCs w:val="28"/>
          <w:lang w:val="en-US" w:eastAsia="zh-CN"/>
        </w:rPr>
        <w:t>具有独立法人地位，营业执照具有相应的经营范围</w:t>
      </w:r>
      <w:r>
        <w:rPr>
          <w:rFonts w:hint="eastAsia" w:hAnsi="Times New Roman"/>
          <w:bCs/>
          <w:color w:val="auto"/>
          <w:sz w:val="28"/>
          <w:szCs w:val="28"/>
          <w:lang w:val="en-US" w:eastAsia="zh-CN"/>
        </w:rPr>
        <w:t>；</w:t>
      </w:r>
    </w:p>
    <w:p w14:paraId="3457511B">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2、参加政府采购活动近3年内，在经营活动中没有重大违法记录；</w:t>
      </w:r>
    </w:p>
    <w:p w14:paraId="4C80284F">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3、投标人未列入经营异常名录和未列入严重违法失信企业名单（黑名单），投标人企业法人代表未被列入失信被执行人名单；</w:t>
      </w:r>
    </w:p>
    <w:p w14:paraId="0991687B">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投标人必须提供相关网站截图并加盖公章。</w:t>
      </w:r>
    </w:p>
    <w:p w14:paraId="2DB8049A">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4、本项目不接受联合体投标，不得分包、转包；</w:t>
      </w:r>
    </w:p>
    <w:p w14:paraId="3B02DCF9">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5、单位负责人为同一人或者存在直接控股、管理关系的不同投标人，不得参加本次采购活动。</w:t>
      </w:r>
    </w:p>
    <w:p w14:paraId="00E9E43D">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四、投标截止时间、开标时间及地点：</w:t>
      </w:r>
    </w:p>
    <w:p w14:paraId="6C21B01B">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1、投标截止时间、开标时间：</w:t>
      </w:r>
      <w:r>
        <w:rPr>
          <w:rFonts w:hint="eastAsia"/>
          <w:bCs/>
          <w:color w:val="auto"/>
          <w:sz w:val="28"/>
          <w:szCs w:val="28"/>
          <w:lang w:val="en-US" w:eastAsia="zh-CN"/>
        </w:rPr>
        <w:t>另行通知</w:t>
      </w:r>
    </w:p>
    <w:p w14:paraId="32CF19A2">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2、开标地点：</w:t>
      </w:r>
      <w:r>
        <w:rPr>
          <w:rFonts w:hint="eastAsia"/>
          <w:bCs/>
          <w:color w:val="auto"/>
          <w:sz w:val="28"/>
          <w:szCs w:val="28"/>
          <w:lang w:val="en-US" w:eastAsia="zh-CN"/>
        </w:rPr>
        <w:t>另行通知</w:t>
      </w:r>
    </w:p>
    <w:p w14:paraId="6BC2B8AB">
      <w:pPr>
        <w:pStyle w:val="5"/>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hAnsi="Times New Roman"/>
          <w:bCs/>
          <w:color w:val="auto"/>
          <w:sz w:val="28"/>
          <w:szCs w:val="28"/>
          <w:lang w:val="en-US" w:eastAsia="zh-CN"/>
        </w:rPr>
        <w:t>五、招标人地址和联系方法：</w:t>
      </w:r>
    </w:p>
    <w:p w14:paraId="209FCD8F">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1、招标人名称：娄底市中心医院</w:t>
      </w:r>
    </w:p>
    <w:p w14:paraId="3F2C3F8D">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2、联系人及联系方式：赵俊 19973859520</w:t>
      </w:r>
    </w:p>
    <w:p w14:paraId="6965F0FD">
      <w:pPr>
        <w:pStyle w:val="5"/>
        <w:numPr>
          <w:ilvl w:val="0"/>
          <w:numId w:val="0"/>
        </w:numPr>
        <w:tabs>
          <w:tab w:val="left" w:pos="312"/>
        </w:tabs>
        <w:snapToGrid w:val="0"/>
        <w:spacing w:line="480" w:lineRule="auto"/>
        <w:ind w:firstLine="560" w:firstLineChars="200"/>
        <w:rPr>
          <w:rFonts w:hint="default" w:hAnsi="Times New Roman"/>
          <w:bCs/>
          <w:color w:val="auto"/>
          <w:sz w:val="28"/>
          <w:szCs w:val="28"/>
          <w:lang w:val="en-US" w:eastAsia="zh-CN"/>
        </w:rPr>
      </w:pPr>
      <w:r>
        <w:rPr>
          <w:rFonts w:hint="eastAsia" w:hAnsi="Times New Roman"/>
          <w:bCs/>
          <w:color w:val="auto"/>
          <w:sz w:val="28"/>
          <w:szCs w:val="28"/>
          <w:lang w:val="en-US" w:eastAsia="zh-CN"/>
        </w:rPr>
        <w:t>3、招标人地址：娄底市中心医院</w:t>
      </w:r>
    </w:p>
    <w:p w14:paraId="1C13196B">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textAlignment w:val="auto"/>
        <w:rPr>
          <w:rFonts w:hint="eastAsia"/>
          <w:bCs/>
          <w:color w:val="auto"/>
          <w:sz w:val="28"/>
          <w:szCs w:val="28"/>
          <w:lang w:val="en-US" w:eastAsia="zh-CN"/>
        </w:rPr>
      </w:pPr>
    </w:p>
    <w:p w14:paraId="739867FB">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14:paraId="207E23BD">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footerReference r:id="rId5" w:type="default"/>
          <w:pgSz w:w="11906" w:h="16838"/>
          <w:pgMar w:top="1191" w:right="1587" w:bottom="1020" w:left="1587" w:header="567" w:footer="283" w:gutter="0"/>
          <w:pgNumType w:fmt="decimal" w:start="1"/>
          <w:cols w:space="720" w:num="1"/>
          <w:docGrid w:linePitch="312" w:charSpace="0"/>
        </w:sectPr>
      </w:pPr>
    </w:p>
    <w:p w14:paraId="40EA7C17">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21390347">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14:paraId="6784F385">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1.项目</w:t>
      </w:r>
      <w:r>
        <w:rPr>
          <w:rFonts w:hint="default" w:ascii="仿宋_GB2312" w:hAnsi="Times New Roman" w:eastAsia="仿宋_GB2312" w:cs="仿宋_GB2312"/>
          <w:bCs/>
          <w:color w:val="auto"/>
          <w:kern w:val="0"/>
          <w:sz w:val="28"/>
          <w:szCs w:val="28"/>
          <w:lang w:val="en-US" w:eastAsia="zh-CN" w:bidi="ar-SA"/>
        </w:rPr>
        <w:t>内容</w:t>
      </w:r>
    </w:p>
    <w:tbl>
      <w:tblPr>
        <w:tblStyle w:val="15"/>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160"/>
        <w:gridCol w:w="2539"/>
      </w:tblGrid>
      <w:tr w14:paraId="39E7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78B40EBC">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160" w:type="dxa"/>
            <w:tcBorders>
              <w:top w:val="single" w:color="auto" w:sz="4" w:space="0"/>
              <w:left w:val="single" w:color="auto" w:sz="4" w:space="0"/>
              <w:bottom w:val="single" w:color="auto" w:sz="4" w:space="0"/>
              <w:right w:val="single" w:color="auto" w:sz="4" w:space="0"/>
            </w:tcBorders>
            <w:vAlign w:val="center"/>
          </w:tcPr>
          <w:p w14:paraId="15AB0CDE">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2539" w:type="dxa"/>
            <w:tcBorders>
              <w:top w:val="single" w:color="auto" w:sz="4" w:space="0"/>
              <w:left w:val="single" w:color="auto" w:sz="4" w:space="0"/>
              <w:bottom w:val="single" w:color="auto" w:sz="4" w:space="0"/>
              <w:right w:val="single" w:color="auto" w:sz="4" w:space="0"/>
            </w:tcBorders>
            <w:vAlign w:val="center"/>
          </w:tcPr>
          <w:p w14:paraId="33336E9A">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品牌型号</w:t>
            </w:r>
          </w:p>
        </w:tc>
      </w:tr>
      <w:tr w14:paraId="46D0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0F78A5D4">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160" w:type="dxa"/>
            <w:tcBorders>
              <w:top w:val="single" w:color="auto" w:sz="4" w:space="0"/>
              <w:left w:val="single" w:color="auto" w:sz="4" w:space="0"/>
              <w:bottom w:val="single" w:color="auto" w:sz="4" w:space="0"/>
              <w:right w:val="single" w:color="auto" w:sz="4" w:space="0"/>
            </w:tcBorders>
            <w:vAlign w:val="center"/>
          </w:tcPr>
          <w:p w14:paraId="609BBC01">
            <w:pPr>
              <w:keepNext w:val="0"/>
              <w:keepLines w:val="0"/>
              <w:widowControl/>
              <w:suppressLineNumbers w:val="0"/>
              <w:jc w:val="center"/>
              <w:textAlignment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500M（IPRAN）全省检查检验互认平台医保专线1年</w:t>
            </w:r>
          </w:p>
        </w:tc>
        <w:tc>
          <w:tcPr>
            <w:tcW w:w="2539" w:type="dxa"/>
            <w:tcBorders>
              <w:top w:val="single" w:color="auto" w:sz="4" w:space="0"/>
              <w:left w:val="single" w:color="auto" w:sz="4" w:space="0"/>
              <w:bottom w:val="single" w:color="auto" w:sz="4" w:space="0"/>
              <w:right w:val="single" w:color="auto" w:sz="4" w:space="0"/>
            </w:tcBorders>
            <w:vAlign w:val="center"/>
          </w:tcPr>
          <w:p w14:paraId="08362ED7">
            <w:pPr>
              <w:keepNext w:val="0"/>
              <w:keepLines w:val="0"/>
              <w:widowControl/>
              <w:suppressLineNumbers w:val="0"/>
              <w:ind w:firstLine="280" w:firstLineChars="100"/>
              <w:jc w:val="both"/>
              <w:textAlignment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电信、移动</w:t>
            </w:r>
          </w:p>
        </w:tc>
      </w:tr>
    </w:tbl>
    <w:p w14:paraId="33A2E58C">
      <w:pPr>
        <w:spacing w:line="360" w:lineRule="auto"/>
        <w:rPr>
          <w:rFonts w:hint="default" w:ascii="仿宋_GB2312" w:hAnsi="Times New Roman" w:eastAsia="仿宋_GB2312" w:cs="仿宋_GB2312"/>
          <w:bCs/>
          <w:color w:val="auto"/>
          <w:kern w:val="0"/>
          <w:sz w:val="28"/>
          <w:szCs w:val="28"/>
          <w:lang w:val="en-US" w:eastAsia="zh-CN" w:bidi="ar-SA"/>
        </w:rPr>
      </w:pPr>
    </w:p>
    <w:p w14:paraId="29E1C2D3">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14:paraId="327EF4D1">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14:paraId="25782617">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14:paraId="2A6388EE">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中标人应在本合同签订之日起 3 日内完成全省检查检验互认平台医保专线实施、调试，并向</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提交有关测试数据报告</w:t>
      </w:r>
      <w:r>
        <w:rPr>
          <w:rFonts w:hint="default" w:ascii="仿宋_GB2312" w:hAnsi="Times New Roman" w:eastAsia="仿宋_GB2312" w:cs="仿宋_GB2312"/>
          <w:bCs/>
          <w:color w:val="auto"/>
          <w:kern w:val="0"/>
          <w:sz w:val="28"/>
          <w:szCs w:val="28"/>
          <w:lang w:val="en-US" w:eastAsia="zh-CN" w:bidi="ar-SA"/>
        </w:rPr>
        <w:t>。</w:t>
      </w:r>
    </w:p>
    <w:p w14:paraId="3194D904">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提供端到端的综合性信息服务，并为</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提供全省检查检验互认平台医保专线业务咨询、组网建议等服务。</w:t>
      </w:r>
    </w:p>
    <w:p w14:paraId="02BE6E32">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p w14:paraId="66EAF6AE">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提供的服务质量及服务具体标准应参照工业和信息化部颁布的《电信服务规范》施行。</w:t>
      </w:r>
    </w:p>
    <w:p w14:paraId="52178127">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保证</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租用全省检查检验互认平台医保专线服务的畅通和负责免费日常维护，承诺在接到</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维护通知时及时响应，除线路中断外的故障应在接到通知后8小时内</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修复，线路中断故障在24小时内修复。</w:t>
      </w:r>
    </w:p>
    <w:p w14:paraId="28D3C165">
      <w:pPr>
        <w:pStyle w:val="1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default" w:ascii="仿宋_GB2312" w:hAnsi="Times New Roman" w:eastAsia="仿宋_GB2312" w:cs="仿宋_GB2312"/>
          <w:bCs/>
          <w:color w:val="auto"/>
          <w:kern w:val="0"/>
          <w:sz w:val="28"/>
          <w:szCs w:val="28"/>
          <w:lang w:val="en-US" w:eastAsia="zh-CN" w:bidi="ar-SA"/>
        </w:rPr>
        <w:t>、采购人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在每合同年度届满之日起10个工作日内，将该年度服务费通过银行转账支付给</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中标人</w:t>
      </w:r>
      <w:r>
        <w:rPr>
          <w:rFonts w:hint="default" w:ascii="仿宋_GB2312" w:hAnsi="Times New Roman" w:eastAsia="仿宋_GB2312" w:cs="仿宋_GB2312"/>
          <w:bCs/>
          <w:color w:val="auto"/>
          <w:kern w:val="0"/>
          <w:sz w:val="28"/>
          <w:szCs w:val="28"/>
          <w:lang w:val="en-US" w:eastAsia="zh-CN" w:bidi="ar-SA"/>
        </w:rPr>
        <w:t>。</w:t>
      </w:r>
    </w:p>
    <w:p w14:paraId="4472C5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14:paraId="1DDE0D18">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、“三证合一”或“五证合一”营业执照；</w:t>
      </w:r>
    </w:p>
    <w:p w14:paraId="24A7FA8A">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w:t>
      </w:r>
      <w:r>
        <w:rPr>
          <w:rFonts w:hint="eastAsia" w:ascii="仿宋_GB2312" w:hAnsi="Times New Roman" w:eastAsia="仿宋_GB2312" w:cs="仿宋_GB2312"/>
          <w:bCs/>
          <w:color w:val="auto"/>
          <w:kern w:val="0"/>
          <w:sz w:val="28"/>
          <w:szCs w:val="28"/>
          <w:lang w:val="en-US" w:eastAsia="zh-CN" w:bidi="ar-SA"/>
        </w:rPr>
        <w:t>、</w:t>
      </w:r>
      <w:r>
        <w:rPr>
          <w:rFonts w:hint="eastAsia" w:ascii="仿宋_GB2312" w:eastAsia="仿宋_GB2312" w:cs="仿宋_GB2312"/>
          <w:bCs/>
          <w:color w:val="auto"/>
          <w:kern w:val="0"/>
          <w:sz w:val="28"/>
          <w:szCs w:val="28"/>
          <w:lang w:val="en-US" w:eastAsia="zh-CN" w:bidi="ar-SA"/>
        </w:rPr>
        <w:t>响应文件</w:t>
      </w:r>
      <w:r>
        <w:rPr>
          <w:rFonts w:hint="eastAsia" w:ascii="仿宋_GB2312" w:hAnsi="Times New Roman" w:eastAsia="仿宋_GB2312" w:cs="仿宋_GB2312"/>
          <w:bCs/>
          <w:color w:val="auto"/>
          <w:kern w:val="0"/>
          <w:sz w:val="28"/>
          <w:szCs w:val="28"/>
          <w:lang w:val="en-US" w:eastAsia="zh-CN" w:bidi="ar-SA"/>
        </w:rPr>
        <w:t>的每一页都必须加盖投标单位的公章</w:t>
      </w:r>
      <w:r>
        <w:rPr>
          <w:rFonts w:hint="eastAsia" w:ascii="仿宋_GB2312" w:eastAsia="仿宋_GB2312" w:cs="仿宋_GB2312"/>
          <w:bCs/>
          <w:color w:val="auto"/>
          <w:kern w:val="0"/>
          <w:sz w:val="28"/>
          <w:szCs w:val="28"/>
          <w:lang w:val="en-US" w:eastAsia="zh-CN" w:bidi="ar-SA"/>
        </w:rPr>
        <w:t>，按要求上传至湖南省政府采购电子卖场</w:t>
      </w:r>
      <w:r>
        <w:rPr>
          <w:rFonts w:hint="eastAsia" w:ascii="仿宋_GB2312" w:hAnsi="Times New Roman" w:eastAsia="仿宋_GB2312" w:cs="仿宋_GB2312"/>
          <w:bCs/>
          <w:color w:val="auto"/>
          <w:kern w:val="0"/>
          <w:sz w:val="28"/>
          <w:szCs w:val="28"/>
          <w:lang w:val="en-US" w:eastAsia="zh-CN" w:bidi="ar-SA"/>
        </w:rPr>
        <w:t>；</w:t>
      </w:r>
    </w:p>
    <w:p w14:paraId="6FB39B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仿宋_GB2312" w:eastAsia="仿宋_GB2312" w:cs="仿宋_GB2312"/>
          <w:b w:val="0"/>
          <w:bCs w:val="0"/>
          <w:color w:val="121212"/>
          <w:kern w:val="0"/>
          <w:sz w:val="28"/>
          <w:szCs w:val="28"/>
          <w:lang w:val="en-US" w:eastAsia="zh-CN"/>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r>
        <w:rPr>
          <w:rFonts w:hint="eastAsia" w:ascii="仿宋_GB2312" w:hAnsi="仿宋_GB2312" w:eastAsia="仿宋_GB2312" w:cs="仿宋_GB2312"/>
          <w:b w:val="0"/>
          <w:bCs w:val="0"/>
          <w:color w:val="121212"/>
          <w:kern w:val="0"/>
          <w:sz w:val="28"/>
          <w:szCs w:val="28"/>
          <w:lang w:val="en-US" w:eastAsia="zh-CN"/>
        </w:rPr>
        <w:t xml:space="preserve">                         </w:t>
      </w:r>
    </w:p>
    <w:p w14:paraId="798CE850">
      <w:pPr>
        <w:keepNext w:val="0"/>
        <w:keepLines w:val="0"/>
        <w:pageBreakBefore w:val="0"/>
        <w:widowControl w:val="0"/>
        <w:wordWrap/>
        <w:overflowPunct/>
        <w:topLinePunct w:val="0"/>
        <w:bidi w:val="0"/>
        <w:spacing w:line="460" w:lineRule="exact"/>
        <w:ind w:left="0" w:leftChars="0" w:right="0"/>
        <w:jc w:val="both"/>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sz w:val="28"/>
          <w:szCs w:val="28"/>
          <w:lang w:val="en-US" w:eastAsia="zh-CN"/>
        </w:rPr>
        <w:t xml:space="preserve">                                      </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合同编号：</w:t>
      </w:r>
    </w:p>
    <w:p w14:paraId="42EE24F7">
      <w:pPr>
        <w:keepNext w:val="0"/>
        <w:keepLines w:val="0"/>
        <w:pageBreakBefore w:val="0"/>
        <w:widowControl w:val="0"/>
        <w:wordWrap/>
        <w:overflowPunct/>
        <w:topLinePunct w:val="0"/>
        <w:bidi w:val="0"/>
        <w:spacing w:line="460" w:lineRule="exact"/>
        <w:ind w:left="0" w:leftChars="0" w:right="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全省检查检验互认平台医保专线</w:t>
      </w:r>
    </w:p>
    <w:p w14:paraId="25F90092">
      <w:pPr>
        <w:keepNext w:val="0"/>
        <w:keepLines w:val="0"/>
        <w:pageBreakBefore w:val="0"/>
        <w:widowControl w:val="0"/>
        <w:wordWrap/>
        <w:overflowPunct/>
        <w:topLinePunct w:val="0"/>
        <w:bidi w:val="0"/>
        <w:spacing w:line="460" w:lineRule="exact"/>
        <w:ind w:left="0" w:leftChars="0" w:right="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租赁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服务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合同</w:t>
      </w:r>
    </w:p>
    <w:p w14:paraId="193556F7">
      <w:pPr>
        <w:pStyle w:val="12"/>
        <w:keepNext w:val="0"/>
        <w:keepLines w:val="0"/>
        <w:pageBreakBefore w:val="0"/>
        <w:widowControl w:val="0"/>
        <w:wordWrap/>
        <w:overflowPunct/>
        <w:topLinePunct w:val="0"/>
        <w:bidi w:val="0"/>
        <w:spacing w:after="0" w:line="460" w:lineRule="exact"/>
        <w:ind w:left="0" w:leftChars="0" w:right="0"/>
        <w:rPr>
          <w:rFonts w:hint="eastAsia"/>
          <w:color w:val="000000" w:themeColor="text1"/>
          <w:lang w:val="en-US" w:eastAsia="zh-CN"/>
          <w14:textFill>
            <w14:solidFill>
              <w14:schemeClr w14:val="tx1"/>
            </w14:solidFill>
          </w14:textFill>
        </w:rPr>
      </w:pPr>
      <w:bookmarkStart w:id="1" w:name="_GoBack"/>
      <w:bookmarkEnd w:id="1"/>
    </w:p>
    <w:p w14:paraId="355C1A28">
      <w:pPr>
        <w:keepNext w:val="0"/>
        <w:keepLines w:val="0"/>
        <w:pageBreakBefore w:val="0"/>
        <w:widowControl w:val="0"/>
        <w:wordWrap/>
        <w:overflowPunct/>
        <w:topLinePunct w:val="0"/>
        <w:bidi w:val="0"/>
        <w:spacing w:line="460" w:lineRule="exact"/>
        <w:ind w:left="0" w:leftChars="0" w:right="0"/>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甲方</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娄底市中心医院</w:t>
      </w:r>
    </w:p>
    <w:p w14:paraId="519AC9E6">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法定代表人：</w:t>
      </w:r>
    </w:p>
    <w:p w14:paraId="03F7E0E6">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统一社会信用代码：12431300447162073W</w:t>
      </w:r>
    </w:p>
    <w:p w14:paraId="7EAD1F98">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地址：娄底市娄星区长青中街51号</w:t>
      </w:r>
    </w:p>
    <w:p w14:paraId="76628ABB">
      <w:pPr>
        <w:pStyle w:val="14"/>
        <w:keepNext w:val="0"/>
        <w:keepLines w:val="0"/>
        <w:pageBreakBefore w:val="0"/>
        <w:widowControl w:val="0"/>
        <w:wordWrap/>
        <w:overflowPunct/>
        <w:topLinePunct w:val="0"/>
        <w:bidi w:val="0"/>
        <w:spacing w:after="0" w:line="460" w:lineRule="exact"/>
        <w:ind w:left="0" w:leftChars="0" w:right="0"/>
        <w:rPr>
          <w:rFonts w:hint="eastAsia"/>
          <w:color w:val="000000" w:themeColor="text1"/>
          <w:lang w:val="en-US" w:eastAsia="zh-CN"/>
          <w14:textFill>
            <w14:solidFill>
              <w14:schemeClr w14:val="tx1"/>
            </w14:solidFill>
          </w14:textFill>
        </w:rPr>
      </w:pPr>
    </w:p>
    <w:p w14:paraId="6DF62829">
      <w:pPr>
        <w:keepNext w:val="0"/>
        <w:keepLines w:val="0"/>
        <w:pageBreakBefore w:val="0"/>
        <w:widowControl w:val="0"/>
        <w:wordWrap/>
        <w:overflowPunct/>
        <w:topLinePunct w:val="0"/>
        <w:bidi w:val="0"/>
        <w:spacing w:line="460" w:lineRule="exact"/>
        <w:ind w:left="0" w:leftChars="0" w:right="0"/>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631E6DB6">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t>法定代表人：</w:t>
      </w:r>
    </w:p>
    <w:p w14:paraId="17344828">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zh-CN" w:eastAsia="zh-CN"/>
          <w14:textFill>
            <w14:solidFill>
              <w14:schemeClr w14:val="tx1"/>
            </w14:solidFill>
          </w14:textFill>
        </w:rPr>
        <w:t>统一社会信用代码：</w:t>
      </w:r>
    </w:p>
    <w:p w14:paraId="4672CE7F">
      <w:pPr>
        <w:keepNext w:val="0"/>
        <w:keepLines w:val="0"/>
        <w:pageBreakBefore w:val="0"/>
        <w:widowControl w:val="0"/>
        <w:tabs>
          <w:tab w:val="left" w:pos="720"/>
        </w:tabs>
        <w:kinsoku/>
        <w:wordWrap/>
        <w:overflowPunct/>
        <w:topLinePunct w:val="0"/>
        <w:autoSpaceDE w:val="0"/>
        <w:autoSpaceDN w:val="0"/>
        <w:bidi w:val="0"/>
        <w:adjustRightInd w:val="0"/>
        <w:snapToGrid/>
        <w:spacing w:line="460" w:lineRule="exact"/>
        <w:ind w:left="0" w:leftChars="0" w:right="0" w:firstLine="0" w:firstLineChars="0"/>
        <w:jc w:val="left"/>
        <w:textAlignment w:val="auto"/>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zh-CN"/>
          <w14:textFill>
            <w14:solidFill>
              <w14:schemeClr w14:val="tx1"/>
            </w14:solidFill>
          </w14:textFill>
        </w:rPr>
        <w:t>地址：</w:t>
      </w:r>
    </w:p>
    <w:p w14:paraId="59FB7BD4">
      <w:pPr>
        <w:pStyle w:val="12"/>
        <w:keepNext w:val="0"/>
        <w:keepLines w:val="0"/>
        <w:pageBreakBefore w:val="0"/>
        <w:widowControl w:val="0"/>
        <w:wordWrap/>
        <w:overflowPunct/>
        <w:topLinePunct w:val="0"/>
        <w:bidi w:val="0"/>
        <w:spacing w:after="0" w:line="460" w:lineRule="exact"/>
        <w:ind w:left="0" w:leftChars="0" w:right="0"/>
        <w:rPr>
          <w:rFonts w:hint="eastAsia"/>
          <w:color w:val="000000" w:themeColor="text1"/>
          <w:lang w:val="en-US" w:eastAsia="zh-CN"/>
          <w14:textFill>
            <w14:solidFill>
              <w14:schemeClr w14:val="tx1"/>
            </w14:solidFill>
          </w14:textFill>
        </w:rPr>
      </w:pPr>
    </w:p>
    <w:p w14:paraId="41B39086">
      <w:pPr>
        <w:keepNext w:val="0"/>
        <w:keepLines w:val="0"/>
        <w:pageBreakBefore w:val="0"/>
        <w:widowControl w:val="0"/>
        <w:kinsoku/>
        <w:wordWrap/>
        <w:overflowPunct/>
        <w:topLinePunct w:val="0"/>
        <w:autoSpaceDE/>
        <w:autoSpaceDN/>
        <w:bidi w:val="0"/>
        <w:adjustRightInd/>
        <w:snapToGrid/>
        <w:spacing w:line="460" w:lineRule="exact"/>
        <w:ind w:left="0" w:leftChars="0" w:right="0" w:firstLine="560" w:firstLineChars="200"/>
        <w:jc w:val="both"/>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甲方通过</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方式采购全省检查检验互认平台医保专线，选定乙方为服务商。现甲乙双方本着互惠互利的原则，就全省检查检验互认平台医保专线租赁事宜协商一致，特订立本合同，以资共同遵守。</w:t>
      </w:r>
    </w:p>
    <w:p w14:paraId="69BE3A53">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第一条 服务内容、要求、接入点</w:t>
      </w:r>
    </w:p>
    <w:p w14:paraId="05CE621D">
      <w:pPr>
        <w:keepNext w:val="0"/>
        <w:keepLines w:val="0"/>
        <w:pageBreakBefore w:val="0"/>
        <w:widowControl w:val="0"/>
        <w:kinsoku/>
        <w:wordWrap/>
        <w:overflowPunct/>
        <w:topLinePunct w:val="0"/>
        <w:autoSpaceDE/>
        <w:autoSpaceDN/>
        <w:bidi w:val="0"/>
        <w:adjustRightInd/>
        <w:snapToGrid/>
        <w:spacing w:line="460" w:lineRule="exact"/>
        <w:ind w:left="0" w:leftChars="0" w:right="0" w:firstLine="560" w:firstLineChars="200"/>
        <w:jc w:val="both"/>
        <w:textAlignment w:val="auto"/>
        <w:rPr>
          <w:rFonts w:hint="default"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 服务内容：乙方提供一条带宽为</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500M（IPRAN）</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的全省检查检验互认平台医保专线服务给甲方，专门用于甲方</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p>
    <w:p w14:paraId="0A57E3E5">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 服务要求：</w:t>
      </w:r>
    </w:p>
    <w:p w14:paraId="5DE5E953">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1.2.1 乙方提供端到端的综合性信息服务，并为甲方提供线路业务咨询、组网建议等服务。</w:t>
      </w:r>
    </w:p>
    <w:p w14:paraId="20085117">
      <w:pPr>
        <w:pStyle w:val="9"/>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1.2.2 乙方提供的服务质量及服务具体标准应参照工业和信息化部颁布的《电信服务规范》施行。</w:t>
      </w:r>
    </w:p>
    <w:p w14:paraId="7972302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1.3 服务接入点</w:t>
      </w:r>
    </w:p>
    <w:p w14:paraId="56E85A84">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textAlignment w:val="baseline"/>
        <w:rPr>
          <w:rFonts w:hint="eastAsia" w:ascii="仿宋_GB2312" w:hAnsi="仿宋_GB2312" w:eastAsia="仿宋_GB2312" w:cs="仿宋_GB2312"/>
          <w:color w:val="000000" w:themeColor="text1"/>
          <w:kern w:val="2"/>
          <w:sz w:val="28"/>
          <w:szCs w:val="28"/>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起点地址：</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p>
    <w:p w14:paraId="50E4DCC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textAlignment w:val="baseline"/>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终点地址：</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p>
    <w:p w14:paraId="0CBC887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第二条 租赁</w:t>
      </w:r>
      <w:r>
        <w:rPr>
          <w:rFonts w:hint="eastAsia" w:ascii="仿宋_GB2312" w:hAnsi="仿宋_GB2312" w:eastAsia="仿宋_GB2312" w:cs="仿宋_GB2312"/>
          <w:b/>
          <w:bCs/>
          <w:color w:val="000000" w:themeColor="text1"/>
          <w:kern w:val="2"/>
          <w:sz w:val="28"/>
          <w:szCs w:val="28"/>
          <w:u w:val="none"/>
          <w:lang w:val="en-US" w:eastAsia="zh-CN" w:bidi="ar-SA"/>
          <w14:textFill>
            <w14:solidFill>
              <w14:schemeClr w14:val="tx1"/>
            </w14:solidFill>
          </w14:textFill>
        </w:rPr>
        <w:t>期限</w:t>
      </w:r>
    </w:p>
    <w:p w14:paraId="75DE413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本合同租赁期限为</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壹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年，自甲方书面确认全省检查检验互认平台医保专线开通之日起开始计算。</w:t>
      </w:r>
    </w:p>
    <w:p w14:paraId="282D587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第三条 费用支付方式及支付时间</w:t>
      </w:r>
    </w:p>
    <w:p w14:paraId="16D656E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3.1 租赁服务费用标准为人民币</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元/月，每合同年度费用为人民币</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元，本合同服务费用共计人民币</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元整（小写：</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u w:val="none"/>
          <w:lang w:val="en-US" w:eastAsia="zh-CN" w:bidi="ar-SA"/>
          <w14:textFill>
            <w14:solidFill>
              <w14:schemeClr w14:val="tx1"/>
            </w14:solidFill>
          </w14:textFill>
        </w:rPr>
        <w:t>元）</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已包含全省检查检验互认平台医保专线租赁费、一次性接入费、线路维修维护费、税费、调试费等全部费用，甲方不再就本合同约定服务额外支付任何其他费用。本合同履行期间，如国家电信资费标准调整后的费用标准低于本合同约定服务费标准，本合同服务费用自调整之日起按调整后的低标准结算；如国家电信资费标准调整后标准高于本合同约定服务费标准，则以按本合同约定服务费用标准结算。</w:t>
      </w:r>
    </w:p>
    <w:p w14:paraId="5AB382F1">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3.2 甲方在每合同年度届满之日起10个工作日内，将该年度服务费通过银行转账支付给乙方。乙方指定收款银行账户户名</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，开户行</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，账号</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14:paraId="2BE37DA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3.3 乙方应在甲方每次付款前提供以乙方名义开具的与付款金额等额的增值税普通发票，如未提供，甲方顺延付款，由此产生的责任均由乙方承担。</w:t>
      </w:r>
    </w:p>
    <w:p w14:paraId="108C4CC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3.4 如本合同履行期间甲方解除本合同，租用服务不足一个月时间的部分，每天按月租费的三十分之一收取，不足24小时的按一天计算。</w:t>
      </w:r>
    </w:p>
    <w:p w14:paraId="355F821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第四条 甲方的权利和义务</w:t>
      </w:r>
    </w:p>
    <w:p w14:paraId="2EBF9D8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4.1 甲方应按照国家有关规定使用获得行业管理部门入网许可证的终端设备。</w:t>
      </w:r>
    </w:p>
    <w:p w14:paraId="79D45B12">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4.2 甲方租用的全省检查检验互认平台医保专线限使用于传递与自身业务有关的信息，不得将租用的或租用后分割的全省检查检验互认平台医保专线转租给第三方。</w:t>
      </w:r>
    </w:p>
    <w:p w14:paraId="072ACB3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4.3 甲方不得利用租用的服务从事危害国家安全、泄露国家机密等违法犯罪活动，不得查阅、制作、复制、发布和传播淫秽色情和妨碍社会治安的信息。</w:t>
      </w:r>
    </w:p>
    <w:p w14:paraId="667CF4C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4.4 如果需要停止、更换租用的全省检查检验互认平台医保专线，甲方应提前书面通知乙方，具体时间从乙方正式收到甲方的变更服务通知单日期为准。</w:t>
      </w:r>
    </w:p>
    <w:p w14:paraId="18940AB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4.5 在租用全省检查检验互认平台医保专线服务业务过程中出现的技术性问题应及时通知乙方。</w:t>
      </w:r>
    </w:p>
    <w:p w14:paraId="156087BD">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第五条 乙方的权利和义务</w:t>
      </w:r>
    </w:p>
    <w:p w14:paraId="7390133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5.1 乙方保证甲方租用全省检查检验互认平台医保专线服务的畅通和负责免费日常维护，承诺在接到甲方维护通知时及时响应，除线路中断外的故障应在接到通知后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8 </w:t>
      </w: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小时内</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修复，线路中断故障在24小时内修复。</w:t>
      </w:r>
    </w:p>
    <w:p w14:paraId="5407C53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5.2 本合同期限内，如甲方提出搬迁、改动接入地点的，乙方免费配合实施。</w:t>
      </w:r>
    </w:p>
    <w:p w14:paraId="543AE619">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5.3 由于乙方端口、线路资源暂未具备等原因而未及时开通电路服务的，乙方有责任协调相关部门尽快开通电路服务并承担因未及时开通服务对甲方造成的经济损失赔偿责任。</w:t>
      </w:r>
    </w:p>
    <w:p w14:paraId="1F98BCA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5.4 乙方所提供电路维护服务的责任界面按照国家法律法规公布的维护规程明确。具体以甲方机房的设备为界，设备以外线路侧由乙方提供维护管理服务，另一侧（设备侧）由甲方负责维护管理。</w:t>
      </w:r>
    </w:p>
    <w:p w14:paraId="6DBBA01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5.5 乙方因技术、设备或国家政策因素等原因对电路服务业务的服务功能、操作方法、计费方式、计费模式、业务号码等作出修改、调整的，乙方应在作出修改调整决定后4小时内书面通知甲方，但费用上调一律按本合同约定结算。</w:t>
      </w:r>
    </w:p>
    <w:p w14:paraId="6C4712F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5.6 因乙方施工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、网络扩容割接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等原因影响电路服务的正常使用并给甲方或第三方造成损失的，乙方应承担所有的法律责任和赔偿责任。</w:t>
      </w:r>
    </w:p>
    <w:p w14:paraId="4BC27A7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5.7 乙方履行本合同过程中发生事故，包括但不限于在运输、装卸、安装及调试过程中发生事故，给甲方、乙方或第三方人身、财产造成的所有损失，均由乙方承担全部法律责任和经济赔偿责任。</w:t>
      </w:r>
    </w:p>
    <w:p w14:paraId="13E69B0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highlight w:val="none"/>
          <w:lang w:val="en-US" w:eastAsia="zh-CN" w:bidi="ar-SA"/>
          <w14:textFill>
            <w14:solidFill>
              <w14:schemeClr w14:val="tx1"/>
            </w14:solidFill>
          </w14:textFill>
        </w:rPr>
        <w:t>第六条 开通与中断补偿</w:t>
      </w:r>
    </w:p>
    <w:p w14:paraId="27C09F0D">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6.1 乙方应在本合同签订之日起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日内完成全省检查检验互认平台医保专线实施、调试，并向甲方提交有关测试数据报告，甲方现场确认全省检查检验互认平台医保专线符合要求后在测试报告上签字。</w:t>
      </w:r>
    </w:p>
    <w:p w14:paraId="4363F26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6.2 因乙方责任造成全省检查检验互认平台医保专线中断，乙方予以延长服务时间补偿：中断时间每满1小时补偿服务时间1小时，不足1小时的部分按1小时计算；当次中断时间超过4小时（不可抗力除外），一律按中断时间的2倍计算补偿时间。</w:t>
      </w:r>
    </w:p>
    <w:p w14:paraId="3ECABA6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6.3 甲方应及时通知乙方线路中断情况，如系乙方知道的设备故障造成的中断，故障时间自动计入补偿时间。</w:t>
      </w:r>
    </w:p>
    <w:p w14:paraId="6F4C5D8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6.4 如果乙方因测试电路等人为原因中断服务，乙方必须事先通知甲方，并征得甲方同意，中断补偿的办法按本合同6.2执行。因甲方提出测试电路要求不包含在中断补偿范围内。</w:t>
      </w:r>
    </w:p>
    <w:p w14:paraId="360A3094">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6.5 如乙方无法在24小时内修复线路，应立即提供备线恢复电路服务。</w:t>
      </w:r>
    </w:p>
    <w:p w14:paraId="2D99AD3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6.6 由于甲方自备设备的故障或甲方操作不当造成的电路中断，乙方不予服务补偿。但当停机超过一小时，乙方应根据甲方的要求提供应急解决方案，最大程度上降低中断时间。</w:t>
      </w:r>
    </w:p>
    <w:p w14:paraId="5985C22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t>第七条 廉洁条款</w:t>
      </w:r>
    </w:p>
    <w:p w14:paraId="25FF244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7.1 乙方应严格遵守国家相关法律法规，涉及合同的有关业务活动必须坚持公开、公平、公正、诚信原则，不得为获取不正当利益，损害国家、集体和甲方利益。</w:t>
      </w:r>
    </w:p>
    <w:p w14:paraId="19524AE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7.2 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6BB081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t xml:space="preserve">第八条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保密义务</w:t>
      </w:r>
    </w:p>
    <w:p w14:paraId="240DD843">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8.1 未经对方书面许可，任何一方不得向第三方提供或者披露因本合同的签订和履行而得知的与对方业务有关的资料和信息。</w:t>
      </w:r>
    </w:p>
    <w:p w14:paraId="7A5140C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8.2 本合同约定的保密信息为永久绝对保密，保密条款在本合同终止后仍然有效。</w:t>
      </w:r>
    </w:p>
    <w:p w14:paraId="733D00E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lang w:val="en-US" w:eastAsia="zh-CN"/>
          <w14:textFill>
            <w14:solidFill>
              <w14:schemeClr w14:val="tx1"/>
            </w14:solidFill>
          </w14:textFill>
        </w:rPr>
        <w:t xml:space="preserve">第九条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通知与送达</w:t>
      </w:r>
    </w:p>
    <w:p w14:paraId="0483F88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9.1 甲乙双方同意，与本合同有关的任何文书，应以书面形式按本合同约定的联系方式送达。书面形式包括手机短信、微信、书面函件、电子邮件等形式。</w:t>
      </w:r>
    </w:p>
    <w:p w14:paraId="46452D9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9.2 双方确认的文书（包括未来可能发生的诉讼或仲裁活动中法院或仲裁机构的送达法律文书）送达地址：</w:t>
      </w:r>
    </w:p>
    <w:p w14:paraId="20560CC1">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9.2.1 甲方的文书送达地址：</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，收件人：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14:paraId="5468C9D8">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9.2.2 乙方的文书送达地址：</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，收件人：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14:paraId="77D6B6CC">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9.3 上述通知应被视为在下列时间送达：以快递或专人发送的，在收件人签收之日或拒收之日；以挂号邮件发出的，在发出之日起7个工作日；以电子邮件发出的，在电子邮件进入收件方电子邮箱服务器之日。</w:t>
      </w:r>
    </w:p>
    <w:p w14:paraId="394A3771">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9.4 以上地址和联系方式，任意一方发生变更应在变更之日起3日内通知对方。如未通知，一方按原地址送达的书面资料被退回的，退回之日视为送达之日。任意一方按照确认地址送到另一方的书面资料被拒绝签收导致邮件被退回的，退回之日视为送达之日。</w:t>
      </w:r>
    </w:p>
    <w:p w14:paraId="5059CEC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第十条 合同的变更与解除</w:t>
      </w:r>
    </w:p>
    <w:p w14:paraId="0A9D45A2">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10.1 合同的变更：经甲乙双方协商一致，可以对本合同内容进行变更和补充，双方应另行签订补充协议。</w:t>
      </w:r>
    </w:p>
    <w:p w14:paraId="28BD3D9D">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 如乙方存在以下违约情形之一的，甲方有权单方面解除合同：</w:t>
      </w:r>
    </w:p>
    <w:p w14:paraId="53981B7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10.2.1 未在约定期限内开通全省检查检验互认平台医保专线服务超过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p>
    <w:p w14:paraId="6490AF95">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10.2.2 修复除中断外的故障超过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小时达3次以上的；</w:t>
      </w:r>
    </w:p>
    <w:p w14:paraId="17605709">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10.2.3 全省检查检验互认平台医保专线中断超过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48小时仍未修复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p>
    <w:p w14:paraId="3C3DC5BE">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10.2.4 乙方将服务转包、分包给第三方的；</w:t>
      </w:r>
    </w:p>
    <w:p w14:paraId="0DE97427">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10.2.5 其他根本违约的情形。</w:t>
      </w:r>
    </w:p>
    <w:p w14:paraId="70A9197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第十一条 违约责任</w:t>
      </w:r>
    </w:p>
    <w:p w14:paraId="52AF768F">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11.1 乙方因自身原因未在约定时间内开通全省检查检验互认平台医保专线的，每逾期一日，按年度费用的</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0.5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%向甲方支付违约金，甲方有权在应付价款中直接扣除该费用。</w:t>
      </w:r>
    </w:p>
    <w:p w14:paraId="694BFEF5">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11.2 乙方未在约定时间内修复故障的，每逾期一日，乙方除按约定补偿服务时间外，还须向甲方支付违约金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100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元，甲方有权在应付价款中直接扣除该费用。</w:t>
      </w:r>
    </w:p>
    <w:p w14:paraId="50B43F5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11.3 如乙方单方解除合同或因乙方原因导致甲方解除合同，乙方除赔偿甲方由此造成的全部损失（包括但不限于实际经济损失，第三方履行产生的费用，因纠纷产生的律师费、诉讼费、差旅费等）外，还须按本合同总价款的10%向甲方支付违约金。</w:t>
      </w:r>
    </w:p>
    <w:p w14:paraId="49ED997A">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jc w:val="both"/>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11.4 无论甲方在任意时候（不限于本合同履行期间）发现存在违反本合同廉洁条款及供应商考核管理制度约定的行为，乙方均须向甲方一次性支付惩罚性违约金8000 .00元。如乙方除需承担违反廉洁条款及供应商考核管理制度的违约责任外，同时存在其他违约行为，乙方仍须就其他违约行为承担相应违约责任。</w:t>
      </w:r>
    </w:p>
    <w:p w14:paraId="0E51105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11.5 因不可抗力因素导致逾期履行的，不承担违约责任且不计入10.2约定情形，</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但双方应努力减小因不可抗力而造成的损失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；不可抗力因素消除后，应当继续履行。</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不可抗力事件包括严重自然灾害、政府行为、第三方电路故障等不可抗拒的事件。</w:t>
      </w:r>
    </w:p>
    <w:p w14:paraId="56B095F0">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第十二条 争议的解决</w:t>
      </w:r>
    </w:p>
    <w:p w14:paraId="1A6F8806">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与</w:t>
      </w:r>
      <w:r>
        <w:rPr>
          <w:rFonts w:hint="default"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lang w:val="en-US" w:eastAsia="zh-CN"/>
          <w14:textFill>
            <w14:solidFill>
              <w14:schemeClr w14:val="tx1"/>
            </w14:solidFill>
          </w14:textFill>
        </w:rPr>
        <w:t>合同</w:t>
      </w:r>
      <w:r>
        <w:rPr>
          <w:rFonts w:hint="default" w:ascii="仿宋" w:hAnsi="仿宋" w:eastAsia="仿宋" w:cs="仿宋"/>
          <w:color w:val="000000" w:themeColor="text1"/>
          <w:sz w:val="28"/>
          <w:szCs w:val="28"/>
          <w:lang w:val="en-US" w:eastAsia="zh-CN"/>
          <w14:textFill>
            <w14:solidFill>
              <w14:schemeClr w14:val="tx1"/>
            </w14:solidFill>
          </w14:textFill>
        </w:rPr>
        <w:t>有关</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default" w:ascii="仿宋" w:hAnsi="仿宋" w:eastAsia="仿宋" w:cs="仿宋"/>
          <w:color w:val="000000" w:themeColor="text1"/>
          <w:sz w:val="28"/>
          <w:szCs w:val="28"/>
          <w:lang w:val="en-US" w:eastAsia="zh-CN"/>
          <w14:textFill>
            <w14:solidFill>
              <w14:schemeClr w14:val="tx1"/>
            </w14:solidFill>
          </w14:textFill>
        </w:rPr>
        <w:t>争议，双方应友好协商解决争议。如解决不成，</w:t>
      </w:r>
      <w:r>
        <w:rPr>
          <w:rFonts w:hint="eastAsia" w:ascii="仿宋" w:hAnsi="仿宋" w:eastAsia="仿宋" w:cs="仿宋"/>
          <w:color w:val="000000" w:themeColor="text1"/>
          <w:sz w:val="28"/>
          <w:szCs w:val="28"/>
          <w:lang w:val="en-US" w:eastAsia="zh-CN"/>
          <w14:textFill>
            <w14:solidFill>
              <w14:schemeClr w14:val="tx1"/>
            </w14:solidFill>
          </w14:textFill>
        </w:rPr>
        <w:t>任一方均可向甲方所在地有管辖权的人民法院</w:t>
      </w:r>
      <w:r>
        <w:rPr>
          <w:rFonts w:hint="default" w:ascii="仿宋" w:hAnsi="仿宋" w:eastAsia="仿宋" w:cs="仿宋"/>
          <w:color w:val="000000" w:themeColor="text1"/>
          <w:sz w:val="28"/>
          <w:szCs w:val="28"/>
          <w:lang w:val="en-US" w:eastAsia="zh-CN"/>
          <w14:textFill>
            <w14:solidFill>
              <w14:schemeClr w14:val="tx1"/>
            </w14:solidFill>
          </w14:textFill>
        </w:rPr>
        <w:t>提起诉讼解决。</w:t>
      </w:r>
    </w:p>
    <w:p w14:paraId="0179DA15">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2" w:firstLineChars="200"/>
        <w:textAlignment w:val="baseline"/>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第十三条 附则 </w:t>
      </w:r>
    </w:p>
    <w:p w14:paraId="4ACE942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1 </w:t>
      </w:r>
      <w:r>
        <w:rPr>
          <w:rFonts w:hint="default" w:ascii="仿宋" w:hAnsi="仿宋" w:eastAsia="仿宋" w:cs="仿宋"/>
          <w:color w:val="000000" w:themeColor="text1"/>
          <w:sz w:val="28"/>
          <w:szCs w:val="28"/>
          <w:lang w:val="en-US" w:eastAsia="zh-CN"/>
          <w14:textFill>
            <w14:solidFill>
              <w14:schemeClr w14:val="tx1"/>
            </w14:solidFill>
          </w14:textFill>
        </w:rPr>
        <w:t>本合同组成文件和优先解释顺序：本合同补充协议；本合同及附件；</w:t>
      </w:r>
      <w:r>
        <w:rPr>
          <w:rFonts w:hint="eastAsia" w:ascii="仿宋" w:hAnsi="仿宋" w:eastAsia="仿宋" w:cs="仿宋"/>
          <w:color w:val="000000" w:themeColor="text1"/>
          <w:sz w:val="28"/>
          <w:szCs w:val="28"/>
          <w:lang w:val="en-US" w:eastAsia="zh-CN"/>
          <w14:textFill>
            <w14:solidFill>
              <w14:schemeClr w14:val="tx1"/>
            </w14:solidFill>
          </w14:textFill>
        </w:rPr>
        <w:t>成交通知书</w:t>
      </w:r>
      <w:r>
        <w:rPr>
          <w:rFonts w:hint="default" w:ascii="仿宋" w:hAnsi="仿宋" w:eastAsia="仿宋" w:cs="仿宋"/>
          <w:color w:val="000000" w:themeColor="text1"/>
          <w:sz w:val="28"/>
          <w:szCs w:val="28"/>
          <w:lang w:val="en-US" w:eastAsia="zh-CN"/>
          <w14:textFill>
            <w14:solidFill>
              <w14:schemeClr w14:val="tx1"/>
            </w14:solidFill>
          </w14:textFill>
        </w:rPr>
        <w:t>；响应文件；采购文件；其他与本合同有关的资料。</w:t>
      </w:r>
    </w:p>
    <w:p w14:paraId="535B2E83">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jc w:val="both"/>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2 </w:t>
      </w:r>
      <w:r>
        <w:rPr>
          <w:rFonts w:hint="default" w:ascii="仿宋" w:hAnsi="仿宋" w:eastAsia="仿宋" w:cs="仿宋"/>
          <w:color w:val="000000" w:themeColor="text1"/>
          <w:sz w:val="28"/>
          <w:szCs w:val="28"/>
          <w:lang w:val="en-US" w:eastAsia="zh-CN"/>
          <w14:textFill>
            <w14:solidFill>
              <w14:schemeClr w14:val="tx1"/>
            </w14:solidFill>
          </w14:textFill>
        </w:rPr>
        <w:t>本合同一式</w:t>
      </w:r>
      <w:r>
        <w:rPr>
          <w:rFonts w:hint="eastAsia" w:ascii="仿宋" w:hAnsi="仿宋" w:eastAsia="仿宋" w:cs="仿宋"/>
          <w:color w:val="000000" w:themeColor="text1"/>
          <w:sz w:val="28"/>
          <w:szCs w:val="28"/>
          <w:lang w:val="en-US" w:eastAsia="zh-CN"/>
          <w14:textFill>
            <w14:solidFill>
              <w14:schemeClr w14:val="tx1"/>
            </w14:solidFill>
          </w14:textFill>
        </w:rPr>
        <w:t>伍</w:t>
      </w:r>
      <w:r>
        <w:rPr>
          <w:rFonts w:hint="default" w:ascii="仿宋" w:hAnsi="仿宋" w:eastAsia="仿宋" w:cs="仿宋"/>
          <w:color w:val="000000" w:themeColor="text1"/>
          <w:sz w:val="28"/>
          <w:szCs w:val="28"/>
          <w:lang w:val="en-US" w:eastAsia="zh-CN"/>
          <w14:textFill>
            <w14:solidFill>
              <w14:schemeClr w14:val="tx1"/>
            </w14:solidFill>
          </w14:textFill>
        </w:rPr>
        <w:t>份，甲方执</w:t>
      </w:r>
      <w:r>
        <w:rPr>
          <w:rFonts w:hint="eastAsia" w:ascii="仿宋" w:hAnsi="仿宋" w:eastAsia="仿宋" w:cs="仿宋"/>
          <w:color w:val="000000" w:themeColor="text1"/>
          <w:sz w:val="28"/>
          <w:szCs w:val="28"/>
          <w:lang w:val="en-US" w:eastAsia="zh-CN"/>
          <w14:textFill>
            <w14:solidFill>
              <w14:schemeClr w14:val="tx1"/>
            </w14:solidFill>
          </w14:textFill>
        </w:rPr>
        <w:t>肆</w:t>
      </w:r>
      <w:r>
        <w:rPr>
          <w:rFonts w:hint="default" w:ascii="仿宋" w:hAnsi="仿宋" w:eastAsia="仿宋" w:cs="仿宋"/>
          <w:color w:val="000000" w:themeColor="text1"/>
          <w:sz w:val="28"/>
          <w:szCs w:val="28"/>
          <w:lang w:val="en-US" w:eastAsia="zh-CN"/>
          <w14:textFill>
            <w14:solidFill>
              <w14:schemeClr w14:val="tx1"/>
            </w14:solidFill>
          </w14:textFill>
        </w:rPr>
        <w:t>份</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乙方执</w:t>
      </w:r>
      <w:r>
        <w:rPr>
          <w:rFonts w:hint="eastAsia" w:ascii="仿宋" w:hAnsi="仿宋" w:eastAsia="仿宋" w:cs="仿宋"/>
          <w:color w:val="000000" w:themeColor="text1"/>
          <w:sz w:val="28"/>
          <w:szCs w:val="28"/>
          <w:lang w:val="en-US" w:eastAsia="zh-CN"/>
          <w14:textFill>
            <w14:solidFill>
              <w14:schemeClr w14:val="tx1"/>
            </w14:solidFill>
          </w14:textFill>
        </w:rPr>
        <w:t>壹</w:t>
      </w:r>
      <w:r>
        <w:rPr>
          <w:rFonts w:hint="default" w:ascii="仿宋" w:hAnsi="仿宋" w:eastAsia="仿宋" w:cs="仿宋"/>
          <w:color w:val="000000" w:themeColor="text1"/>
          <w:sz w:val="28"/>
          <w:szCs w:val="28"/>
          <w:lang w:val="en-US" w:eastAsia="zh-CN"/>
          <w14:textFill>
            <w14:solidFill>
              <w14:schemeClr w14:val="tx1"/>
            </w14:solidFill>
          </w14:textFill>
        </w:rPr>
        <w:t>份，自双方签字盖章之日起生效。</w:t>
      </w:r>
    </w:p>
    <w:p w14:paraId="1589116B">
      <w:pPr>
        <w:pStyle w:val="12"/>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460" w:lineRule="exact"/>
        <w:ind w:left="0" w:leftChars="0" w:right="0" w:firstLine="560" w:firstLineChars="2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p>
    <w:p w14:paraId="105A11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720" w:leftChars="0" w:right="0" w:hanging="6720" w:hangingChars="240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甲方（盖章）：</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娄底市中心医院</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      乙方（盖章）：</w:t>
      </w:r>
    </w:p>
    <w:p w14:paraId="394981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p>
    <w:p w14:paraId="0E5DCD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法定代表人（签字）：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法定代表人（签字）： </w:t>
      </w:r>
    </w:p>
    <w:p w14:paraId="04288EA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p>
    <w:p w14:paraId="6131A12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或</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委托代理人（签字）：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或</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委托代理人（签字）：</w:t>
      </w:r>
    </w:p>
    <w:p w14:paraId="552AFE8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jc w:val="both"/>
        <w:textAlignment w:val="auto"/>
        <w:rPr>
          <w:rFonts w:hint="default" w:ascii="仿宋" w:hAnsi="仿宋" w:eastAsia="仿宋" w:cs="仿宋"/>
          <w:snapToGrid w:val="0"/>
          <w:color w:val="000000" w:themeColor="text1"/>
          <w:kern w:val="0"/>
          <w:sz w:val="28"/>
          <w:szCs w:val="28"/>
          <w:lang w:val="en-US" w:eastAsia="zh-CN"/>
          <w14:textFill>
            <w14:solidFill>
              <w14:schemeClr w14:val="tx1"/>
            </w14:solidFill>
          </w14:textFill>
        </w:rPr>
      </w:pPr>
    </w:p>
    <w:p w14:paraId="6CBAB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宋体" w:hAnsi="宋体" w:eastAsia="宋体" w:cs="宋体"/>
          <w:color w:val="auto"/>
          <w:sz w:val="24"/>
          <w:szCs w:val="24"/>
          <w:lang w:val="en-US" w:eastAsia="zh-CN"/>
        </w:rPr>
      </w:pP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合同签订地</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、履行地</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：娄底市娄星区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签订时间：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年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 xml:space="preserve">月 </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 xml:space="preserve">   </w:t>
      </w:r>
      <w:r>
        <w:rPr>
          <w:rFonts w:hint="default" w:ascii="仿宋" w:hAnsi="仿宋" w:eastAsia="仿宋" w:cs="仿宋"/>
          <w:snapToGrid w:val="0"/>
          <w:color w:val="000000" w:themeColor="text1"/>
          <w:kern w:val="0"/>
          <w:sz w:val="28"/>
          <w:szCs w:val="28"/>
          <w:lang w:val="en-US" w:eastAsia="zh-CN"/>
          <w14:textFill>
            <w14:solidFill>
              <w14:schemeClr w14:val="tx1"/>
            </w14:solidFill>
          </w14:textFill>
        </w:rPr>
        <w:t>日</w:t>
      </w:r>
    </w:p>
    <w:p w14:paraId="0EDEF40D">
      <w:pPr>
        <w:pStyle w:val="12"/>
        <w:rPr>
          <w:rFonts w:hint="eastAsia" w:ascii="仿宋_GB2312" w:hAnsi="仿宋_GB2312" w:eastAsia="仿宋_GB2312" w:cs="仿宋_GB2312"/>
          <w:b w:val="0"/>
          <w:bCs w:val="0"/>
          <w:color w:val="121212"/>
          <w:kern w:val="0"/>
          <w:sz w:val="28"/>
          <w:szCs w:val="28"/>
          <w:lang w:val="en-US" w:eastAsia="zh-CN"/>
        </w:rPr>
      </w:pPr>
    </w:p>
    <w:p w14:paraId="48E64EA5">
      <w:pPr>
        <w:pStyle w:val="5"/>
        <w:rPr>
          <w:rFonts w:hint="eastAsia" w:ascii="仿宋_GB2312" w:hAnsi="Times New Roman" w:eastAsia="仿宋_GB2312" w:cs="仿宋_GB2312"/>
          <w:bCs/>
          <w:color w:val="auto"/>
          <w:kern w:val="0"/>
          <w:sz w:val="28"/>
          <w:szCs w:val="28"/>
          <w:lang w:val="en-US" w:eastAsia="zh-CN" w:bidi="ar-SA"/>
        </w:rPr>
      </w:pPr>
    </w:p>
    <w:p w14:paraId="66362E3F">
      <w:pPr>
        <w:pStyle w:val="5"/>
        <w:rPr>
          <w:rFonts w:hint="eastAsia" w:ascii="仿宋_GB2312" w:hAnsi="Times New Roman" w:eastAsia="仿宋_GB2312" w:cs="仿宋_GB2312"/>
          <w:bCs/>
          <w:color w:val="auto"/>
          <w:kern w:val="0"/>
          <w:sz w:val="28"/>
          <w:szCs w:val="28"/>
          <w:lang w:val="en-US" w:eastAsia="zh-CN" w:bidi="ar-SA"/>
        </w:rPr>
      </w:pPr>
    </w:p>
    <w:p w14:paraId="4EC73E90">
      <w:pPr>
        <w:pStyle w:val="5"/>
        <w:rPr>
          <w:rFonts w:hint="eastAsia" w:ascii="仿宋_GB2312" w:hAnsi="Times New Roman" w:eastAsia="仿宋_GB2312" w:cs="仿宋_GB2312"/>
          <w:bCs/>
          <w:color w:val="auto"/>
          <w:kern w:val="0"/>
          <w:sz w:val="28"/>
          <w:szCs w:val="28"/>
          <w:lang w:val="en-US" w:eastAsia="zh-CN" w:bidi="ar-SA"/>
        </w:rPr>
      </w:pPr>
    </w:p>
    <w:p w14:paraId="5825C23C">
      <w:pPr>
        <w:pStyle w:val="5"/>
        <w:rPr>
          <w:rFonts w:hint="eastAsia" w:ascii="仿宋_GB2312" w:hAnsi="Times New Roman" w:eastAsia="仿宋_GB2312" w:cs="仿宋_GB2312"/>
          <w:bCs/>
          <w:color w:val="auto"/>
          <w:kern w:val="0"/>
          <w:sz w:val="28"/>
          <w:szCs w:val="28"/>
          <w:lang w:val="en-US" w:eastAsia="zh-CN" w:bidi="ar-SA"/>
        </w:rPr>
      </w:pPr>
    </w:p>
    <w:p w14:paraId="13CDF22C">
      <w:pPr>
        <w:pStyle w:val="2"/>
        <w:numPr>
          <w:ilvl w:val="0"/>
          <w:numId w:val="0"/>
        </w:numPr>
        <w:spacing w:line="240" w:lineRule="auto"/>
        <w:jc w:val="center"/>
        <w:rPr>
          <w:rFonts w:hint="eastAsia" w:ascii="宋体" w:hAnsi="宋体" w:cs="宋体"/>
          <w:color w:val="auto"/>
          <w:sz w:val="30"/>
          <w:szCs w:val="30"/>
        </w:rPr>
      </w:pPr>
      <w:r>
        <w:rPr>
          <w:rFonts w:hint="eastAsia" w:ascii="宋体" w:hAnsi="宋体" w:cs="宋体"/>
          <w:color w:val="auto"/>
          <w:sz w:val="30"/>
          <w:szCs w:val="30"/>
          <w:lang w:eastAsia="zh-CN"/>
        </w:rPr>
        <w:t>第三章</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14:paraId="298EED3B">
      <w:pPr>
        <w:spacing w:line="360" w:lineRule="auto"/>
        <w:rPr>
          <w:rFonts w:hint="eastAsia"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按上述要求在电子卖场提供相应的响应文件，如无响应文件则视为无效投标</w:t>
      </w:r>
    </w:p>
    <w:p w14:paraId="725B4165">
      <w:pPr>
        <w:pStyle w:val="5"/>
        <w:rPr>
          <w:rFonts w:hint="eastAsia" w:ascii="仿宋_GB2312" w:hAnsi="Times New Roman" w:eastAsia="仿宋_GB2312" w:cs="仿宋_GB2312"/>
          <w:bCs/>
          <w:color w:val="auto"/>
          <w:kern w:val="0"/>
          <w:sz w:val="28"/>
          <w:szCs w:val="28"/>
          <w:lang w:val="en-US" w:eastAsia="zh-CN" w:bidi="ar-SA"/>
        </w:rPr>
        <w:sectPr>
          <w:pgSz w:w="11906" w:h="16838"/>
          <w:pgMar w:top="1191" w:right="1587" w:bottom="1020" w:left="1587" w:header="567" w:footer="283" w:gutter="0"/>
          <w:pgNumType w:fmt="decimal"/>
          <w:cols w:space="720" w:num="1"/>
          <w:docGrid w:linePitch="312" w:charSpace="0"/>
        </w:sectPr>
      </w:pPr>
    </w:p>
    <w:p w14:paraId="0659921F"/>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42C0A7-6E16-4498-9DBB-2556C88E049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embedRegular r:id="rId2" w:fontKey="{F88D9069-BD4E-443D-B6FA-63E7EE4FD65C}"/>
  </w:font>
  <w:font w:name="仿宋">
    <w:panose1 w:val="02010609060101010101"/>
    <w:charset w:val="86"/>
    <w:family w:val="auto"/>
    <w:pitch w:val="default"/>
    <w:sig w:usb0="800002BF" w:usb1="38CF7CFA" w:usb2="00000016" w:usb3="00000000" w:csb0="00040001" w:csb1="00000000"/>
    <w:embedRegular r:id="rId3" w:fontKey="{EF8F52E5-D34D-40DA-89EF-F473A3A7A622}"/>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7DB2F91-561E-4416-8827-864BF98DB6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6AED">
    <w:pPr>
      <w:pStyle w:val="10"/>
      <w:rPr>
        <w:rFonts w:hint="eastAsia" w:ascii="仿宋_GB2312" w:eastAsia="仿宋_GB2312"/>
        <w:bCs/>
        <w:u w:val="single"/>
      </w:rPr>
    </w:pPr>
    <w:r>
      <w:rPr>
        <w:rFonts w:hint="eastAsia" w:ascii="仿宋_GB2312" w:eastAsia="仿宋_GB2312"/>
        <w:bCs/>
        <w:u w:val="single"/>
      </w:rPr>
      <w:t xml:space="preserve">                                                                                                 </w:t>
    </w:r>
  </w:p>
  <w:p w14:paraId="369FF3DD">
    <w:pPr>
      <w:adjustRightInd w:val="0"/>
      <w:snapToGrid w:val="0"/>
      <w:spacing w:line="260" w:lineRule="atLeast"/>
      <w:ind w:left="482" w:hanging="482"/>
      <w:rPr>
        <w:rFonts w:hint="eastAsia" w:ascii="宋体" w:hAnsi="宋体"/>
        <w:kern w:val="0"/>
        <w:sz w:val="18"/>
        <w:szCs w:val="21"/>
      </w:rPr>
    </w:pPr>
  </w:p>
  <w:p w14:paraId="694DA63F">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A9B1">
    <w:pPr>
      <w:pStyle w:val="10"/>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50AA6E">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650AA6E">
                    <w:pPr>
                      <w:pStyle w:val="10"/>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仿宋_GB2312" w:eastAsia="仿宋_GB2312"/>
        <w:bCs/>
        <w:u w:val="single"/>
      </w:rPr>
      <w:t xml:space="preserve">                                                                                                 </w:t>
    </w:r>
  </w:p>
  <w:p w14:paraId="570F1FEC">
    <w:pPr>
      <w:adjustRightInd w:val="0"/>
      <w:snapToGrid w:val="0"/>
      <w:spacing w:line="260" w:lineRule="atLeast"/>
      <w:ind w:left="482" w:hanging="482"/>
      <w:rPr>
        <w:rFonts w:hint="eastAsia" w:ascii="宋体" w:hAnsi="宋体"/>
        <w:kern w:val="0"/>
        <w:sz w:val="18"/>
        <w:szCs w:val="21"/>
      </w:rPr>
    </w:pPr>
  </w:p>
  <w:p w14:paraId="1083F5D9">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4726">
    <w:pPr>
      <w:pStyle w:val="10"/>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B0BC25">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14:paraId="5BB0BC25">
                    <w:pPr>
                      <w:pStyle w:val="10"/>
                    </w:pPr>
                    <w:r>
                      <w:fldChar w:fldCharType="begin"/>
                    </w:r>
                    <w:r>
                      <w:instrText xml:space="preserve"> PAGE  \* MERGEFORMAT </w:instrText>
                    </w:r>
                    <w:r>
                      <w:fldChar w:fldCharType="separate"/>
                    </w:r>
                    <w:r>
                      <w:t>12</w:t>
                    </w:r>
                    <w:r>
                      <w:fldChar w:fldCharType="end"/>
                    </w:r>
                  </w:p>
                </w:txbxContent>
              </v:textbox>
            </v:rect>
          </w:pict>
        </mc:Fallback>
      </mc:AlternateContent>
    </w:r>
    <w:r>
      <w:rPr>
        <w:rFonts w:hint="eastAsia" w:ascii="仿宋_GB2312" w:eastAsia="仿宋_GB2312"/>
        <w:bCs/>
        <w:u w:val="single"/>
      </w:rPr>
      <w:t xml:space="preserve">                                                                                                 </w:t>
    </w:r>
  </w:p>
  <w:p w14:paraId="37FBAFB2">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A63A">
    <w:pPr>
      <w:pStyle w:val="11"/>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24C3">
    <w:pPr>
      <w:pStyle w:val="11"/>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jk5M2E4Y2VmYmFkODY2ZjE0ZGIzM2MxODZjZjUifQ=="/>
  </w:docVars>
  <w:rsids>
    <w:rsidRoot w:val="00000000"/>
    <w:rsid w:val="075449B1"/>
    <w:rsid w:val="079665A1"/>
    <w:rsid w:val="07CA3B93"/>
    <w:rsid w:val="088E5CA1"/>
    <w:rsid w:val="0ADD79D4"/>
    <w:rsid w:val="0BBB78AD"/>
    <w:rsid w:val="0DED4090"/>
    <w:rsid w:val="0E121D8B"/>
    <w:rsid w:val="0E7064FD"/>
    <w:rsid w:val="0EA55DD4"/>
    <w:rsid w:val="0F8902B9"/>
    <w:rsid w:val="109C0484"/>
    <w:rsid w:val="10D778A7"/>
    <w:rsid w:val="10E454E4"/>
    <w:rsid w:val="126E7EAA"/>
    <w:rsid w:val="129B1D1F"/>
    <w:rsid w:val="13B10054"/>
    <w:rsid w:val="15270BBD"/>
    <w:rsid w:val="15D02570"/>
    <w:rsid w:val="17020E7D"/>
    <w:rsid w:val="19B66E68"/>
    <w:rsid w:val="1A65354E"/>
    <w:rsid w:val="1ADD493A"/>
    <w:rsid w:val="1B217891"/>
    <w:rsid w:val="1CE53C70"/>
    <w:rsid w:val="1D720C7B"/>
    <w:rsid w:val="211674CD"/>
    <w:rsid w:val="23371A15"/>
    <w:rsid w:val="26D641E9"/>
    <w:rsid w:val="27366B65"/>
    <w:rsid w:val="2983695B"/>
    <w:rsid w:val="2AE845D1"/>
    <w:rsid w:val="310B330B"/>
    <w:rsid w:val="321E2AC9"/>
    <w:rsid w:val="33680B02"/>
    <w:rsid w:val="34FA0B24"/>
    <w:rsid w:val="36053835"/>
    <w:rsid w:val="3FD90CBC"/>
    <w:rsid w:val="3FDF0E81"/>
    <w:rsid w:val="402762FB"/>
    <w:rsid w:val="40951F66"/>
    <w:rsid w:val="4355180E"/>
    <w:rsid w:val="43BD4B4A"/>
    <w:rsid w:val="497374A9"/>
    <w:rsid w:val="499E6DEB"/>
    <w:rsid w:val="4AC96CBA"/>
    <w:rsid w:val="4BE87E6C"/>
    <w:rsid w:val="4DAF2DB4"/>
    <w:rsid w:val="4EA336E6"/>
    <w:rsid w:val="571701DC"/>
    <w:rsid w:val="5773063E"/>
    <w:rsid w:val="59EA29D4"/>
    <w:rsid w:val="59FF51D0"/>
    <w:rsid w:val="5A8618AE"/>
    <w:rsid w:val="5B765E19"/>
    <w:rsid w:val="5BDD281D"/>
    <w:rsid w:val="5BF10C7F"/>
    <w:rsid w:val="62490590"/>
    <w:rsid w:val="63F41FD1"/>
    <w:rsid w:val="653D2958"/>
    <w:rsid w:val="6ADE7537"/>
    <w:rsid w:val="6F593630"/>
    <w:rsid w:val="719C3C04"/>
    <w:rsid w:val="72F80DDA"/>
    <w:rsid w:val="76663547"/>
    <w:rsid w:val="7829776C"/>
    <w:rsid w:val="7CB97EF8"/>
    <w:rsid w:val="7F77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6">
    <w:name w:val="Default Paragraph Font"/>
    <w:autoRedefine/>
    <w:qFormat/>
    <w:uiPriority w:val="0"/>
  </w:style>
  <w:style w:type="table" w:default="1" w:styleId="15">
    <w:name w:val="Normal Table"/>
    <w:autoRedefine/>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widowControl/>
      <w:ind w:firstLine="420"/>
      <w:jc w:val="left"/>
    </w:pPr>
    <w:rPr>
      <w:kern w:val="0"/>
      <w:sz w:val="20"/>
      <w:szCs w:val="20"/>
    </w:rPr>
  </w:style>
  <w:style w:type="paragraph" w:customStyle="1" w:styleId="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99"/>
    <w:pPr>
      <w:spacing w:after="120"/>
    </w:pPr>
  </w:style>
  <w:style w:type="paragraph" w:styleId="8">
    <w:name w:val="Body Text Indent"/>
    <w:basedOn w:val="1"/>
    <w:next w:val="1"/>
    <w:autoRedefine/>
    <w:qFormat/>
    <w:uiPriority w:val="99"/>
    <w:pPr>
      <w:spacing w:line="400" w:lineRule="exact"/>
      <w:ind w:left="630"/>
    </w:pPr>
    <w:rPr>
      <w:rFonts w:ascii="楷体_GB2312"/>
      <w:sz w:val="30"/>
      <w:szCs w:val="30"/>
    </w:r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kern w:val="0"/>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0"/>
    <w:rPr>
      <w:sz w:val="24"/>
    </w:rPr>
  </w:style>
  <w:style w:type="paragraph" w:styleId="14">
    <w:name w:val="Body Text First Indent 2"/>
    <w:basedOn w:val="8"/>
    <w:next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7">
    <w:name w:val="大标题"/>
    <w:basedOn w:val="1"/>
    <w:next w:val="14"/>
    <w:autoRedefine/>
    <w:qFormat/>
    <w:uiPriority w:val="0"/>
    <w:pPr>
      <w:jc w:val="center"/>
    </w:pPr>
    <w:rPr>
      <w:rFonts w:ascii="Arial" w:hAnsi="Arial" w:eastAsia="宋体"/>
      <w:b/>
      <w:sz w:val="28"/>
      <w:szCs w:val="24"/>
    </w:rPr>
  </w:style>
  <w:style w:type="paragraph" w:customStyle="1" w:styleId="18">
    <w:name w:val="列出段落1"/>
    <w:basedOn w:val="1"/>
    <w:autoRedefine/>
    <w:qFormat/>
    <w:uiPriority w:val="99"/>
    <w:pPr>
      <w:ind w:firstLine="420" w:firstLineChars="200"/>
    </w:p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4621</Words>
  <Characters>4857</Characters>
  <Paragraphs>368</Paragraphs>
  <TotalTime>13</TotalTime>
  <ScaleCrop>false</ScaleCrop>
  <LinksUpToDate>false</LinksUpToDate>
  <CharactersWithSpaces>5305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2023-12-04T16:42:00Z</dcterms:created>
  <dc:creator>ASUS</dc:creator>
  <cp:lastModifiedBy>Aaron</cp:lastModifiedBy>
  <cp:lastPrinted>2023-12-27T02:08:00Z</cp:lastPrinted>
  <dcterms:modified xsi:type="dcterms:W3CDTF">2025-05-14T07:47:10Z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D184827CA8D44BB5B55A71C060BE4FFE_13</vt:lpwstr>
  </property>
  <property fmtid="{D5CDD505-2E9C-101B-9397-08002B2CF9AE}" pid="4" name="KSOTemplateDocerSaveRecord">
    <vt:lpwstr>eyJoZGlkIjoiMjk3Zjk5M2E4Y2VmYmFkODY2ZjE0ZGIzM2MxODZjZjUiLCJ1c2VySWQiOiI0NDY5NDA0MjYifQ==</vt:lpwstr>
  </property>
</Properties>
</file>