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2"/>
        <w:snapToGrid w:val="0"/>
        <w:jc w:val="center"/>
        <w:rPr>
          <w:rFonts w:hint="eastAsia" w:ascii="Arial" w:hAnsi="Arial" w:eastAsia="方正小标宋简体" w:cs="Arial"/>
          <w:color w:val="auto"/>
          <w:sz w:val="72"/>
          <w:szCs w:val="72"/>
          <w:lang w:eastAsia="zh-CN"/>
        </w:rPr>
      </w:pPr>
      <w:bookmarkStart w:id="0" w:name="_Toc16523570"/>
    </w:p>
    <w:p w14:paraId="624C34B6">
      <w:pPr>
        <w:pStyle w:val="12"/>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2"/>
        <w:snapToGrid w:val="0"/>
        <w:jc w:val="center"/>
        <w:rPr>
          <w:rFonts w:hint="eastAsia" w:ascii="Arial" w:hAnsi="Arial" w:eastAsia="方正小标宋简体" w:cs="Arial"/>
          <w:sz w:val="72"/>
          <w:szCs w:val="72"/>
        </w:rPr>
      </w:pPr>
    </w:p>
    <w:p w14:paraId="16E58BC0">
      <w:pPr>
        <w:pStyle w:val="12"/>
        <w:snapToGrid w:val="0"/>
        <w:jc w:val="center"/>
        <w:rPr>
          <w:rFonts w:hint="eastAsia" w:ascii="Arial" w:hAnsi="Arial" w:eastAsia="方正小标宋简体" w:cs="Arial"/>
          <w:sz w:val="72"/>
          <w:szCs w:val="72"/>
        </w:rPr>
      </w:pPr>
    </w:p>
    <w:p w14:paraId="7D3C3256">
      <w:pPr>
        <w:pStyle w:val="12"/>
        <w:snapToGrid w:val="0"/>
        <w:jc w:val="center"/>
        <w:rPr>
          <w:rFonts w:hint="eastAsia" w:ascii="Arial" w:hAnsi="Arial" w:eastAsia="方正小标宋简体" w:cs="Arial"/>
          <w:sz w:val="72"/>
          <w:szCs w:val="72"/>
        </w:rPr>
      </w:pPr>
    </w:p>
    <w:p w14:paraId="11608FC0">
      <w:pPr>
        <w:pStyle w:val="12"/>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2"/>
        <w:snapToGrid w:val="0"/>
        <w:jc w:val="center"/>
        <w:rPr>
          <w:rFonts w:ascii="Arial" w:hAnsi="Arial" w:cs="Arial"/>
          <w:sz w:val="32"/>
          <w:szCs w:val="32"/>
        </w:rPr>
      </w:pPr>
    </w:p>
    <w:p w14:paraId="46311545">
      <w:pPr>
        <w:pStyle w:val="13"/>
        <w:rPr>
          <w:rFonts w:ascii="Arial" w:hAnsi="Arial" w:cs="Arial"/>
          <w:sz w:val="32"/>
          <w:szCs w:val="32"/>
        </w:rPr>
      </w:pPr>
    </w:p>
    <w:p w14:paraId="5F00027D">
      <w:pPr>
        <w:pStyle w:val="8"/>
        <w:rPr>
          <w:rFonts w:ascii="Arial" w:hAnsi="Arial" w:cs="Arial"/>
          <w:sz w:val="32"/>
          <w:szCs w:val="32"/>
        </w:rPr>
      </w:pPr>
    </w:p>
    <w:p w14:paraId="790E99FE">
      <w:pPr>
        <w:pStyle w:val="8"/>
        <w:rPr>
          <w:rFonts w:ascii="Arial" w:hAnsi="Arial" w:cs="Arial"/>
          <w:sz w:val="32"/>
          <w:szCs w:val="32"/>
        </w:rPr>
      </w:pPr>
    </w:p>
    <w:p w14:paraId="6D6CF557">
      <w:pPr>
        <w:pStyle w:val="8"/>
        <w:rPr>
          <w:rFonts w:ascii="Arial" w:hAnsi="Arial" w:cs="Arial"/>
          <w:sz w:val="32"/>
          <w:szCs w:val="32"/>
        </w:rPr>
      </w:pPr>
    </w:p>
    <w:p w14:paraId="77BABE1C">
      <w:pPr>
        <w:pStyle w:val="8"/>
        <w:rPr>
          <w:rFonts w:ascii="Arial" w:hAnsi="Arial" w:cs="Arial"/>
          <w:sz w:val="32"/>
          <w:szCs w:val="32"/>
        </w:rPr>
      </w:pPr>
    </w:p>
    <w:p w14:paraId="1C0FB295">
      <w:pPr>
        <w:pStyle w:val="8"/>
        <w:rPr>
          <w:rFonts w:ascii="Arial" w:hAnsi="Arial" w:cs="Arial"/>
          <w:sz w:val="32"/>
          <w:szCs w:val="32"/>
        </w:rPr>
      </w:pPr>
    </w:p>
    <w:p w14:paraId="4C96CB97">
      <w:pPr>
        <w:pStyle w:val="8"/>
        <w:rPr>
          <w:rFonts w:ascii="Arial" w:hAnsi="Arial" w:cs="Arial"/>
          <w:sz w:val="32"/>
          <w:szCs w:val="32"/>
        </w:rPr>
      </w:pPr>
    </w:p>
    <w:p w14:paraId="1825AAC5">
      <w:pPr>
        <w:pStyle w:val="8"/>
        <w:rPr>
          <w:rFonts w:ascii="Arial" w:hAnsi="Arial" w:cs="Arial"/>
          <w:sz w:val="32"/>
          <w:szCs w:val="32"/>
        </w:rPr>
      </w:pPr>
    </w:p>
    <w:p w14:paraId="1B92FFA5">
      <w:pPr>
        <w:pStyle w:val="12"/>
        <w:snapToGrid w:val="0"/>
        <w:jc w:val="center"/>
        <w:rPr>
          <w:rFonts w:ascii="Arial" w:hAnsi="Arial" w:cs="Arial"/>
          <w:sz w:val="32"/>
          <w:szCs w:val="32"/>
        </w:rPr>
      </w:pPr>
    </w:p>
    <w:p w14:paraId="3EB4A47A">
      <w:pPr>
        <w:pStyle w:val="12"/>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（腹部线圈医院公开挂网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腹部线圈</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腹部线圈</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3"/>
        <w:rPr>
          <w:rFonts w:hint="eastAsia"/>
          <w:lang w:val="en-US" w:eastAsia="zh-CN"/>
        </w:rPr>
      </w:pPr>
    </w:p>
    <w:p w14:paraId="687E9235">
      <w:pPr>
        <w:pStyle w:val="13"/>
        <w:jc w:val="both"/>
        <w:rPr>
          <w:rFonts w:hint="default"/>
          <w:lang w:val="en-US" w:eastAsia="zh-CN"/>
        </w:rPr>
      </w:pPr>
    </w:p>
    <w:p w14:paraId="7AECD5DA">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3"/>
        <w:rPr>
          <w:rFonts w:hint="eastAsia" w:ascii="宋体" w:hAnsi="宋体" w:cs="宋体"/>
          <w:b/>
          <w:bCs/>
          <w:color w:val="auto"/>
          <w:sz w:val="44"/>
          <w:szCs w:val="44"/>
          <w:lang w:val="en-US" w:eastAsia="zh-CN"/>
        </w:rPr>
      </w:pPr>
    </w:p>
    <w:p w14:paraId="69D61396">
      <w:pPr>
        <w:pStyle w:val="8"/>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1"/>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腹部线圈</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40</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tbl>
      <w:tblPr>
        <w:tblStyle w:val="9"/>
        <w:tblpPr w:leftFromText="180" w:rightFromText="180" w:vertAnchor="text" w:horzAnchor="page" w:tblpX="1803" w:tblpY="851"/>
        <w:tblOverlap w:val="never"/>
        <w:tblW w:w="853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1869"/>
        <w:gridCol w:w="5426"/>
      </w:tblGrid>
      <w:tr w14:paraId="545A7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2D661B1D">
            <w:pPr>
              <w:tabs>
                <w:tab w:val="left" w:pos="1556"/>
              </w:tabs>
              <w:rPr>
                <w:rFonts w:hint="eastAsia" w:asciiTheme="minorEastAsia" w:hAnsiTheme="minorEastAsia" w:eastAsiaTheme="minorEastAsia" w:cstheme="minorEastAsia"/>
                <w:b/>
                <w:caps/>
                <w:sz w:val="24"/>
                <w:szCs w:val="24"/>
              </w:rPr>
            </w:pPr>
            <w:r>
              <w:rPr>
                <w:rFonts w:hint="eastAsia" w:asciiTheme="minorEastAsia" w:hAnsiTheme="minorEastAsia" w:eastAsiaTheme="minorEastAsia" w:cstheme="minorEastAsia"/>
                <w:b/>
                <w:caps/>
                <w:sz w:val="24"/>
                <w:szCs w:val="24"/>
              </w:rPr>
              <w:t>序号</w:t>
            </w:r>
          </w:p>
        </w:tc>
        <w:tc>
          <w:tcPr>
            <w:tcW w:w="1869" w:type="dxa"/>
            <w:vAlign w:val="center"/>
          </w:tcPr>
          <w:p w14:paraId="3F81A396">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招标技术参数名称</w:t>
            </w:r>
          </w:p>
        </w:tc>
        <w:tc>
          <w:tcPr>
            <w:tcW w:w="5426" w:type="dxa"/>
            <w:vAlign w:val="center"/>
          </w:tcPr>
          <w:p w14:paraId="4E5F5894">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规格及参数要求</w:t>
            </w:r>
          </w:p>
        </w:tc>
      </w:tr>
      <w:tr w14:paraId="63C2B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284E32CA">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69" w:type="dxa"/>
            <w:vAlign w:val="center"/>
          </w:tcPr>
          <w:p w14:paraId="2701C2FB">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同步接收系统</w:t>
            </w:r>
          </w:p>
        </w:tc>
        <w:tc>
          <w:tcPr>
            <w:tcW w:w="5426" w:type="dxa"/>
            <w:vAlign w:val="center"/>
          </w:tcPr>
          <w:p w14:paraId="22AFAC5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w:t>
            </w:r>
          </w:p>
        </w:tc>
      </w:tr>
      <w:tr w14:paraId="3FC17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428C63A5">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69" w:type="dxa"/>
            <w:vAlign w:val="center"/>
          </w:tcPr>
          <w:p w14:paraId="28D9388A">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频率</w:t>
            </w:r>
          </w:p>
        </w:tc>
        <w:tc>
          <w:tcPr>
            <w:tcW w:w="5426" w:type="dxa"/>
            <w:vAlign w:val="center"/>
          </w:tcPr>
          <w:p w14:paraId="4808A5D9">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127.72 MHz</w:t>
            </w:r>
          </w:p>
        </w:tc>
      </w:tr>
      <w:tr w14:paraId="2D2A6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53D14823">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69" w:type="dxa"/>
            <w:vAlign w:val="center"/>
          </w:tcPr>
          <w:p w14:paraId="0FF2AC16">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可扫描部位</w:t>
            </w:r>
          </w:p>
        </w:tc>
        <w:tc>
          <w:tcPr>
            <w:tcW w:w="5426" w:type="dxa"/>
            <w:vAlign w:val="center"/>
          </w:tcPr>
          <w:p w14:paraId="722ED82A">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腹部、臀部</w:t>
            </w:r>
          </w:p>
        </w:tc>
      </w:tr>
      <w:tr w14:paraId="4B85D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6681B345">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1869" w:type="dxa"/>
            <w:vAlign w:val="center"/>
          </w:tcPr>
          <w:p w14:paraId="6D715407">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覆盖范围</w:t>
            </w:r>
          </w:p>
        </w:tc>
        <w:tc>
          <w:tcPr>
            <w:tcW w:w="5426" w:type="dxa"/>
            <w:vAlign w:val="center"/>
          </w:tcPr>
          <w:p w14:paraId="0EC36D29">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躯干和骨盆区域，包括腹部和髋部</w:t>
            </w:r>
          </w:p>
        </w:tc>
      </w:tr>
      <w:tr w14:paraId="17BF5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4D075B1C">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69" w:type="dxa"/>
            <w:vAlign w:val="center"/>
          </w:tcPr>
          <w:p w14:paraId="5D23E7F8">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发射接收设计</w:t>
            </w:r>
          </w:p>
        </w:tc>
        <w:tc>
          <w:tcPr>
            <w:tcW w:w="5426" w:type="dxa"/>
            <w:vAlign w:val="center"/>
          </w:tcPr>
          <w:p w14:paraId="22A67E83">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接收型</w:t>
            </w:r>
          </w:p>
        </w:tc>
      </w:tr>
      <w:tr w14:paraId="6C592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65AF7203">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w:t>
            </w:r>
          </w:p>
        </w:tc>
        <w:tc>
          <w:tcPr>
            <w:tcW w:w="1869" w:type="dxa"/>
            <w:vAlign w:val="center"/>
          </w:tcPr>
          <w:p w14:paraId="21B763DD">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通道和单元</w:t>
            </w:r>
          </w:p>
        </w:tc>
        <w:tc>
          <w:tcPr>
            <w:tcW w:w="5426" w:type="dxa"/>
            <w:vAlign w:val="center"/>
          </w:tcPr>
          <w:p w14:paraId="0EB436AD">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8通道</w:t>
            </w:r>
          </w:p>
        </w:tc>
      </w:tr>
      <w:tr w14:paraId="003A0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68372790">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69" w:type="dxa"/>
            <w:vAlign w:val="center"/>
          </w:tcPr>
          <w:p w14:paraId="44FCFF79">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成像范围FOV</w:t>
            </w:r>
          </w:p>
        </w:tc>
        <w:tc>
          <w:tcPr>
            <w:tcW w:w="5426" w:type="dxa"/>
            <w:vAlign w:val="center"/>
          </w:tcPr>
          <w:p w14:paraId="1A87E605">
            <w:pPr>
              <w:tabs>
                <w:tab w:val="left" w:pos="1556"/>
              </w:tabs>
              <w:rPr>
                <w:rFonts w:hint="eastAsia" w:asciiTheme="minorEastAsia" w:hAnsiTheme="minorEastAsia" w:eastAsiaTheme="minorEastAsia" w:cstheme="minorEastAsia"/>
                <w:sz w:val="24"/>
                <w:szCs w:val="24"/>
              </w:rPr>
            </w:pPr>
            <m:oMath>
              <m:r>
                <m:rPr>
                  <m:sty m:val="p"/>
                </m:rPr>
                <w:rPr>
                  <w:rFonts w:hint="eastAsia" w:ascii="Cambria Math" w:hAnsi="Cambria Math" w:eastAsiaTheme="minorEastAsia" w:cstheme="minorEastAsia"/>
                  <w:sz w:val="24"/>
                  <w:szCs w:val="24"/>
                </w:rPr>
                <m:t>≤</m:t>
              </m:r>
            </m:oMath>
            <w:r>
              <w:rPr>
                <w:rFonts w:hint="eastAsia" w:asciiTheme="minorEastAsia" w:hAnsiTheme="minorEastAsia" w:eastAsiaTheme="minorEastAsia" w:cstheme="minorEastAsia"/>
                <w:sz w:val="24"/>
                <w:szCs w:val="24"/>
              </w:rPr>
              <w:t>44cm</w:t>
            </w:r>
          </w:p>
        </w:tc>
      </w:tr>
      <w:tr w14:paraId="2F7C9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56730FE5">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69" w:type="dxa"/>
            <w:vAlign w:val="center"/>
          </w:tcPr>
          <w:p w14:paraId="11A0165F">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尺寸要求</w:t>
            </w:r>
          </w:p>
        </w:tc>
        <w:tc>
          <w:tcPr>
            <w:tcW w:w="5426" w:type="dxa"/>
            <w:vAlign w:val="center"/>
          </w:tcPr>
          <w:p w14:paraId="79719394">
            <w:pPr>
              <w:tabs>
                <w:tab w:val="left" w:pos="1556"/>
              </w:tabs>
              <w:spacing w:before="156" w:beforeLines="50"/>
              <w:rPr>
                <w:rFonts w:hint="eastAsia" w:asciiTheme="minorEastAsia" w:hAnsiTheme="minorEastAsia" w:eastAsiaTheme="minorEastAsia" w:cstheme="minorEastAsia"/>
                <w:sz w:val="24"/>
                <w:szCs w:val="24"/>
              </w:rPr>
            </w:pPr>
            <m:oMath>
              <m:r>
                <m:rPr>
                  <m:sty m:val="p"/>
                </m:rPr>
                <w:rPr>
                  <w:rFonts w:hint="eastAsia" w:ascii="Cambria Math" w:hAnsi="Cambria Math" w:eastAsiaTheme="minorEastAsia" w:cstheme="minorEastAsia"/>
                  <w:sz w:val="24"/>
                  <w:szCs w:val="24"/>
                </w:rPr>
                <m:t>≤</m:t>
              </m:r>
            </m:oMath>
            <w:r>
              <w:rPr>
                <w:rFonts w:hint="eastAsia" w:asciiTheme="minorEastAsia" w:hAnsiTheme="minorEastAsia" w:eastAsiaTheme="minorEastAsia" w:cstheme="minorEastAsia"/>
                <w:sz w:val="24"/>
                <w:szCs w:val="24"/>
              </w:rPr>
              <w:t>43cmx52cmx40cm</w:t>
            </w:r>
          </w:p>
        </w:tc>
      </w:tr>
      <w:tr w14:paraId="733E7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15ABBB2A">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69" w:type="dxa"/>
            <w:vAlign w:val="center"/>
          </w:tcPr>
          <w:p w14:paraId="2584C771">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舒适性设计</w:t>
            </w:r>
          </w:p>
        </w:tc>
        <w:tc>
          <w:tcPr>
            <w:tcW w:w="5426" w:type="dxa"/>
            <w:vAlign w:val="center"/>
          </w:tcPr>
          <w:p w14:paraId="28F4F482">
            <w:pPr>
              <w:tabs>
                <w:tab w:val="left" w:pos="1556"/>
              </w:tabs>
              <w:spacing w:before="156" w:beforeLine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病人接触舒适性设计</w:t>
            </w:r>
          </w:p>
        </w:tc>
      </w:tr>
      <w:tr w14:paraId="231DD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75CEA516">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69" w:type="dxa"/>
            <w:vAlign w:val="center"/>
          </w:tcPr>
          <w:p w14:paraId="003B1992">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支持技术</w:t>
            </w:r>
          </w:p>
        </w:tc>
        <w:tc>
          <w:tcPr>
            <w:tcW w:w="5426" w:type="dxa"/>
            <w:vAlign w:val="center"/>
          </w:tcPr>
          <w:p w14:paraId="10C63765">
            <w:pPr>
              <w:tabs>
                <w:tab w:val="left" w:pos="1556"/>
              </w:tabs>
              <w:spacing w:before="156" w:beforeLine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LAVA-FLEX等</w:t>
            </w:r>
          </w:p>
        </w:tc>
      </w:tr>
      <w:tr w14:paraId="0B254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50AD9B7B">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69" w:type="dxa"/>
            <w:vAlign w:val="center"/>
          </w:tcPr>
          <w:p w14:paraId="6454584A">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线圈保修</w:t>
            </w:r>
          </w:p>
        </w:tc>
        <w:tc>
          <w:tcPr>
            <w:tcW w:w="5426" w:type="dxa"/>
            <w:vAlign w:val="center"/>
          </w:tcPr>
          <w:p w14:paraId="09FF9436">
            <w:pPr>
              <w:tabs>
                <w:tab w:val="left" w:pos="1556"/>
              </w:tabs>
              <w:spacing w:before="156" w:beforeLine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12个月保修</w:t>
            </w:r>
          </w:p>
        </w:tc>
      </w:tr>
      <w:tr w14:paraId="6CD2E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75394A73">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69" w:type="dxa"/>
            <w:vAlign w:val="center"/>
          </w:tcPr>
          <w:p w14:paraId="2C8C32DF">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线圈用于临床诊断的整机匹配和临床合规性</w:t>
            </w:r>
          </w:p>
        </w:tc>
        <w:tc>
          <w:tcPr>
            <w:tcW w:w="5426" w:type="dxa"/>
            <w:vAlign w:val="center"/>
          </w:tcPr>
          <w:p w14:paraId="2536BC8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线圈须在3.0T Signa HDxT整机注册中包含，以满足匹配性要求，保障临床诊断的合法和可靠.</w:t>
            </w:r>
          </w:p>
        </w:tc>
      </w:tr>
      <w:tr w14:paraId="3306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068477B1">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w:t>
            </w:r>
          </w:p>
        </w:tc>
        <w:tc>
          <w:tcPr>
            <w:tcW w:w="1869" w:type="dxa"/>
            <w:vAlign w:val="center"/>
          </w:tcPr>
          <w:p w14:paraId="1D662D5E">
            <w:pPr>
              <w:spacing w:before="120"/>
              <w:rPr>
                <w:rFonts w:hint="eastAsia" w:asciiTheme="minorEastAsia" w:hAnsiTheme="minorEastAsia" w:eastAsiaTheme="minorEastAsia" w:cstheme="minorEastAsia"/>
                <w:sz w:val="24"/>
                <w:szCs w:val="24"/>
              </w:rPr>
            </w:pPr>
          </w:p>
        </w:tc>
        <w:tc>
          <w:tcPr>
            <w:tcW w:w="5426" w:type="dxa"/>
            <w:vAlign w:val="center"/>
          </w:tcPr>
          <w:p w14:paraId="04AEC71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线圈应用于3.0T Signa HDxT的临床诊断，需符合《医疗器械注册管理办法》、《医疗器械使用质量监督管理办法》、&lt;&lt;医用磁共振成像系统注册技术审查指导原则&gt;&gt;、《国家食品药品监督管理总局办公厅关于体外高频治疗机等47个产品分类界定的通知》等法规。</w:t>
            </w:r>
          </w:p>
        </w:tc>
      </w:tr>
      <w:tr w14:paraId="12171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43E14EA6">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p>
        </w:tc>
        <w:tc>
          <w:tcPr>
            <w:tcW w:w="1869" w:type="dxa"/>
            <w:vAlign w:val="center"/>
          </w:tcPr>
          <w:p w14:paraId="21ECEF54">
            <w:pPr>
              <w:spacing w:before="120"/>
              <w:rPr>
                <w:rFonts w:hint="eastAsia" w:asciiTheme="minorEastAsia" w:hAnsiTheme="minorEastAsia" w:eastAsiaTheme="minorEastAsia" w:cstheme="minorEastAsia"/>
                <w:sz w:val="24"/>
                <w:szCs w:val="24"/>
              </w:rPr>
            </w:pPr>
          </w:p>
        </w:tc>
        <w:tc>
          <w:tcPr>
            <w:tcW w:w="5426" w:type="dxa"/>
            <w:vAlign w:val="center"/>
          </w:tcPr>
          <w:p w14:paraId="4AE14FE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线圈须包含在3.0T Signa HDxT整机注册证附表及相关文件中。</w:t>
            </w:r>
          </w:p>
        </w:tc>
      </w:tr>
      <w:tr w14:paraId="1C1E8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25629615">
            <w:pPr>
              <w:tabs>
                <w:tab w:val="left" w:pos="1556"/>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869" w:type="dxa"/>
            <w:vAlign w:val="center"/>
          </w:tcPr>
          <w:p w14:paraId="6F2C8913">
            <w:pPr>
              <w:spacing w:before="120"/>
              <w:rPr>
                <w:rFonts w:hint="eastAsia" w:asciiTheme="minorEastAsia" w:hAnsiTheme="minorEastAsia" w:eastAsiaTheme="minorEastAsia" w:cstheme="minorEastAsia"/>
                <w:sz w:val="24"/>
                <w:szCs w:val="24"/>
                <w:lang w:val="en-US" w:eastAsia="zh-CN"/>
              </w:rPr>
            </w:pPr>
          </w:p>
        </w:tc>
        <w:tc>
          <w:tcPr>
            <w:tcW w:w="5426" w:type="dxa"/>
            <w:vAlign w:val="center"/>
          </w:tcPr>
          <w:p w14:paraId="0CAF5D8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线圈必须与我院现有机器相匹配，并且图像质量需达到科室满意程度。</w:t>
            </w:r>
          </w:p>
        </w:tc>
      </w:tr>
    </w:tbl>
    <w:p w14:paraId="013DF642">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61C2DD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E090A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6712FE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4483DB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%（按医院财务制度一般情况下4个月内支付、特殊情况下最多不超过6个月），甲方在设备验收合格满1年后支付</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%余款给乙方。</w:t>
      </w:r>
    </w:p>
    <w:p w14:paraId="3B052E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1年，终身维修。验收时出具原厂售后质保承诺书，质保期内每年巡检一次，并提交巡检记录。质保期内出现故障，1小时响应，响应后24小时上门服务。</w:t>
      </w:r>
    </w:p>
    <w:p w14:paraId="36CABD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0C31F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397ED8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医疗设备配件采购合同</w:t>
      </w:r>
    </w:p>
    <w:p w14:paraId="4FBA298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C12F7F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24FA651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06D9BE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28C1645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31A544B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5CD2458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33E36C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0B77D1A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455EF3A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46E6DB6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34DBB9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6609E70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AD24B9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w:t>
      </w:r>
      <w:r>
        <w:rPr>
          <w:rFonts w:hint="eastAsia" w:ascii="宋体" w:hAnsi="宋体" w:cs="宋体"/>
          <w:color w:val="000000" w:themeColor="text1"/>
          <w:sz w:val="24"/>
          <w:szCs w:val="24"/>
          <w:highlight w:val="none"/>
          <w:u w:val="single"/>
          <w:lang w:val="en-US" w:eastAsia="zh-CN"/>
          <w14:textFill>
            <w14:solidFill>
              <w14:schemeClr w14:val="tx1"/>
            </w14:solidFill>
          </w14:textFill>
        </w:rPr>
        <w:t>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kern w:val="2"/>
          <w:sz w:val="24"/>
          <w:szCs w:val="24"/>
          <w:u w:val="single"/>
          <w:lang w:val="en-US" w:eastAsia="zh-CN" w:bidi="ar-SA"/>
        </w:rPr>
        <w:t>3.0T磁共振</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（设备名称）配件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Theme="minorEastAsia" w:hAnsiTheme="minorEastAsia" w:eastAsiaTheme="minorEastAsia" w:cstheme="minorEastAsia"/>
          <w:kern w:val="2"/>
          <w:sz w:val="24"/>
          <w:szCs w:val="24"/>
          <w:u w:val="single"/>
          <w:lang w:val="en-US" w:eastAsia="zh-CN" w:bidi="ar-SA"/>
        </w:rPr>
        <w:t>3.0T磁共振</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（设备名称）配件相关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69F40A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65B133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配件名称、品牌、型号、价格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22D6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14:paraId="5C4A238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配件</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63F32FA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486E2F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125A392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1CF441B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6C25427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3E50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4A25582E">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kern w:val="2"/>
                <w:sz w:val="24"/>
                <w:szCs w:val="24"/>
                <w:u w:val="single"/>
                <w:lang w:val="en-US" w:eastAsia="zh-CN" w:bidi="ar-SA"/>
              </w:rPr>
              <w:t>腹部线圈</w:t>
            </w:r>
          </w:p>
        </w:tc>
        <w:tc>
          <w:tcPr>
            <w:tcW w:w="1220" w:type="dxa"/>
            <w:noWrap w:val="0"/>
            <w:vAlign w:val="center"/>
          </w:tcPr>
          <w:p w14:paraId="492388C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1137FC8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459095D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55B3381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14:paraId="3027E51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6442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0D44C06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4A581D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单价，不因物价、市场波动变更，约定价格包括且不限于设计费、材料费、配件费、人工费、安装费、包装费、运输费、装卸费、调试费、检测费、检验费、税费、保险费、售后服务费、附随服务费等在内所有费用。 </w:t>
      </w:r>
    </w:p>
    <w:p w14:paraId="0C8D384A">
      <w:pPr>
        <w:spacing w:line="48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eastAsia="宋体" w:cs="宋体"/>
          <w:color w:val="000000" w:themeColor="text1"/>
          <w:sz w:val="24"/>
          <w:lang w:val="en-US" w:eastAsia="zh-CN"/>
          <w14:textFill>
            <w14:solidFill>
              <w14:schemeClr w14:val="tx1"/>
            </w14:solidFill>
          </w14:textFill>
        </w:rPr>
        <w:t>乙方在维修、安装完成并经</w:t>
      </w:r>
      <w:r>
        <w:rPr>
          <w:rFonts w:hint="eastAsia" w:ascii="宋体" w:hAnsi="宋体" w:eastAsia="宋体" w:cs="宋体"/>
          <w:color w:val="000000" w:themeColor="text1"/>
          <w:sz w:val="24"/>
          <w14:textFill>
            <w14:solidFill>
              <w14:schemeClr w14:val="tx1"/>
            </w14:solidFill>
          </w14:textFill>
        </w:rPr>
        <w:t>甲方在总体验收报告单上签字确认合格</w:t>
      </w:r>
      <w:r>
        <w:rPr>
          <w:rFonts w:hint="eastAsia" w:ascii="宋体" w:hAnsi="宋体" w:eastAsia="宋体" w:cs="宋体"/>
          <w:color w:val="000000" w:themeColor="text1"/>
          <w:sz w:val="24"/>
          <w:lang w:val="en-US" w:eastAsia="zh-CN"/>
          <w14:textFill>
            <w14:solidFill>
              <w14:schemeClr w14:val="tx1"/>
            </w14:solidFill>
          </w14:textFill>
        </w:rPr>
        <w:t>之前（</w:t>
      </w:r>
      <w:r>
        <w:rPr>
          <w:rFonts w:hint="eastAsia" w:ascii="宋体" w:hAnsi="宋体" w:eastAsia="宋体" w:cs="宋体"/>
          <w:color w:val="000000" w:themeColor="text1"/>
          <w:sz w:val="24"/>
          <w:szCs w:val="24"/>
          <w:highlight w:val="none"/>
          <w:lang w:val="en-US" w:eastAsia="zh-CN"/>
          <w14:textFill>
            <w14:solidFill>
              <w14:schemeClr w14:val="tx1"/>
            </w14:solidFill>
          </w14:textFill>
        </w:rPr>
        <w:t>□必</w:t>
      </w:r>
      <w:r>
        <w:rPr>
          <w:rFonts w:hint="eastAsia" w:ascii="宋体" w:hAnsi="宋体" w:eastAsia="宋体" w:cs="宋体"/>
          <w:color w:val="000000" w:themeColor="text1"/>
          <w:sz w:val="24"/>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lang w:val="en-US" w:eastAsia="zh-CN"/>
          <w14:textFill>
            <w14:solidFill>
              <w14:schemeClr w14:val="tx1"/>
            </w14:solidFill>
          </w14:textFill>
        </w:rPr>
        <w:t>须）提供本合同约定配件的备用件给甲方免费使用。</w:t>
      </w:r>
    </w:p>
    <w:p w14:paraId="255E3E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711B8D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w:t>
      </w:r>
      <w:r>
        <w:rPr>
          <w:rFonts w:hint="eastAsia" w:ascii="宋体" w:hAnsi="宋体" w:eastAsia="宋体" w:cs="宋体"/>
          <w:color w:val="000000" w:themeColor="text1"/>
          <w:sz w:val="24"/>
          <w:szCs w:val="24"/>
          <w:highlight w:val="none"/>
          <w:lang w:val="en-US" w:eastAsia="zh-CN"/>
          <w14:textFill>
            <w14:solidFill>
              <w14:schemeClr w14:val="tx1"/>
            </w14:solidFill>
          </w14:textFill>
        </w:rPr>
        <w:t>配件</w:t>
      </w:r>
      <w:r>
        <w:rPr>
          <w:rFonts w:hint="default" w:ascii="宋体" w:hAnsi="宋体" w:eastAsia="宋体" w:cs="宋体"/>
          <w:color w:val="000000" w:themeColor="text1"/>
          <w:sz w:val="24"/>
          <w:szCs w:val="24"/>
          <w:highlight w:val="none"/>
          <w:lang w:val="en-US" w:eastAsia="zh-CN"/>
          <w14:textFill>
            <w14:solidFill>
              <w14:schemeClr w14:val="tx1"/>
            </w14:solidFill>
          </w14:textFill>
        </w:rPr>
        <w:t>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14BE75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医疗设备维修中心</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6A3D2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w:t>
      </w:r>
      <w:r>
        <w:rPr>
          <w:rFonts w:hint="eastAsia" w:ascii="宋体" w:hAnsi="宋体" w:eastAsia="宋体" w:cs="宋体"/>
          <w:color w:val="000000" w:themeColor="text1"/>
          <w:sz w:val="24"/>
          <w:szCs w:val="24"/>
          <w:highlight w:val="none"/>
          <w:lang w:val="en-US" w:eastAsia="zh-CN"/>
          <w14:textFill>
            <w14:solidFill>
              <w14:schemeClr w14:val="tx1"/>
            </w14:solidFill>
          </w14:textFill>
        </w:rPr>
        <w:t>配件</w:t>
      </w:r>
      <w:r>
        <w:rPr>
          <w:rFonts w:hint="default" w:ascii="宋体" w:hAnsi="宋体" w:eastAsia="宋体" w:cs="宋体"/>
          <w:color w:val="000000" w:themeColor="text1"/>
          <w:sz w:val="24"/>
          <w:szCs w:val="24"/>
          <w:highlight w:val="none"/>
          <w:lang w:val="en-US" w:eastAsia="zh-CN"/>
          <w14:textFill>
            <w14:solidFill>
              <w14:schemeClr w14:val="tx1"/>
            </w14:solidFill>
          </w14:textFill>
        </w:rPr>
        <w:t>运至合同约定地点，并负责</w:t>
      </w:r>
      <w:r>
        <w:rPr>
          <w:rFonts w:hint="eastAsia" w:ascii="宋体" w:hAnsi="宋体" w:eastAsia="宋体" w:cs="宋体"/>
          <w:color w:val="000000" w:themeColor="text1"/>
          <w:sz w:val="24"/>
          <w:szCs w:val="24"/>
          <w:highlight w:val="none"/>
          <w:lang w:val="en-US" w:eastAsia="zh-CN"/>
          <w14:textFill>
            <w14:solidFill>
              <w14:schemeClr w14:val="tx1"/>
            </w14:solidFill>
          </w14:textFill>
        </w:rPr>
        <w:t>配件</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167568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5374C9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质量标准：乙方提供配件的质量、安装应符合或优于国家标准；如投标文件/响应文件中的技术参数和质量标准高于国家标准，则配件的技术参数和质量标准以投标文件/响应文件为准。</w:t>
      </w:r>
    </w:p>
    <w:p w14:paraId="131BB8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3C406B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配件运至指定交货地点后，应通知甲方，并向甲方提供厂家标准资料文件（进口配件需提供真实有效的海关报关单，其他配件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日内组织人员对配件按合同约定及厂家出厂装箱单进行到货验收，经甲方验收合格后签署验收报告单，乙方方可进行现场拆包、安装、调试、培训。如经甲方验收不合格，乙方应在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736857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总体验收：乙方将配件全部拆包、安装、调试、培训后应及时通知甲方，甲方自接到乙方通知之日起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5D55DB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配件不符合本合同约定，甲方应做出详尽的现场记录，由甲乙双方签署备忘录，该现场记录和备忘录作为乙方补交缺少部件、更换不符标准部件的有效依据，由此产生的一切经济损失由乙方承担。</w:t>
      </w:r>
    </w:p>
    <w:p w14:paraId="79A320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包装要求：乙方提供的配件必须为原厂包装，外包装到货时应保证完好无损，否则甲方有权拒绝收货，由此造成的延期交货违约责任和一切经济损失全部由乙方承担。</w:t>
      </w:r>
    </w:p>
    <w:p w14:paraId="4B4841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4EDAE0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44AF25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邓时敏</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78F5C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60792D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6A18E1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37509CE0">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本合同配件质保期为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00AA4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如配件在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4B22021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7DC0F6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质保期内，乙方每年至少对配件进行一次巡检并向甲方提交巡检记录。</w:t>
      </w:r>
    </w:p>
    <w:p w14:paraId="54A15E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质保期届满后，如配件出现问题，乙方应在接到甲方通知（包括电话通知）后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00D857A1">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052CA4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73251F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%；余款</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%，甲方在质保期届满且不存在需被扣除情形之日起10个工作日内，免息支付给乙方。</w:t>
      </w:r>
    </w:p>
    <w:p w14:paraId="603D7F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798092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bookmarkStart w:id="4" w:name="_GoBack"/>
      <w:bookmarkEnd w:id="4"/>
    </w:p>
    <w:p w14:paraId="04E315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3422AB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6BBA88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本合同配件毁损、丢失的风险自甲方在总体验收报告单上签字确认合格后转移给甲方，此前配件的一切风险均由乙方承担。</w:t>
      </w:r>
    </w:p>
    <w:p w14:paraId="6DA989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如甲方因乙方配件、质保服务等原因涉及纠纷、诉讼或被处以行政处罚，由乙方承担甲方因纠纷、诉讼、罚款等造成的全部经济损失。</w:t>
      </w:r>
    </w:p>
    <w:p w14:paraId="26C01D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68B76F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4A9DB4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5A61BDBF">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645302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43954AD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662070F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500414D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06602C7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2D7011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26D48EA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6F6BE37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娄底市中心医院医疗设备维修中心</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5E2753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D065B3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4AA8CC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200C1AD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6198FE8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7AB41A0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如甲方因政策变化等非自身主观原因不需要购买本合同全部配件，经书面通知乙方后可以提前终止本合同；如甲方因运营需要等原因不需要购买本合同部分配件，不需要购买的部分自动从采购内容中剔除。</w:t>
      </w:r>
    </w:p>
    <w:p w14:paraId="5E221AE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2808F0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cs="宋体"/>
          <w:color w:val="000000" w:themeColor="text1"/>
          <w:sz w:val="24"/>
          <w:highlight w:val="none"/>
          <w:u w:val="single"/>
          <w:lang w:val="en-US" w:eastAsia="zh-CN"/>
          <w14:textFill>
            <w14:solidFill>
              <w14:schemeClr w14:val="tx1"/>
            </w14:solidFill>
          </w14:textFill>
        </w:rPr>
        <w:t>60</w:t>
      </w:r>
      <w:r>
        <w:rPr>
          <w:rFonts w:hint="eastAsia" w:ascii="宋体" w:hAnsi="宋体" w:eastAsia="宋体" w:cs="宋体"/>
          <w:color w:val="000000" w:themeColor="text1"/>
          <w:sz w:val="24"/>
          <w:highlight w:val="none"/>
          <w14:textFill>
            <w14:solidFill>
              <w14:schemeClr w14:val="tx1"/>
            </w14:solidFill>
          </w14:textFill>
        </w:rPr>
        <w:t>日仍不能供货；</w:t>
      </w:r>
    </w:p>
    <w:p w14:paraId="31681C3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w:t>
      </w:r>
      <w:r>
        <w:rPr>
          <w:rFonts w:hint="eastAsia" w:ascii="宋体" w:hAnsi="宋体" w:eastAsia="宋体" w:cs="宋体"/>
          <w:color w:val="000000" w:themeColor="text1"/>
          <w:sz w:val="24"/>
          <w:highlight w:val="none"/>
          <w:lang w:val="en-US" w:eastAsia="zh-CN"/>
          <w14:textFill>
            <w14:solidFill>
              <w14:schemeClr w14:val="tx1"/>
            </w14:solidFill>
          </w14:textFill>
        </w:rPr>
        <w:t>配件</w:t>
      </w:r>
      <w:r>
        <w:rPr>
          <w:rFonts w:hint="eastAsia" w:ascii="宋体" w:hAnsi="宋体" w:eastAsia="宋体" w:cs="宋体"/>
          <w:color w:val="000000" w:themeColor="text1"/>
          <w:sz w:val="24"/>
          <w:highlight w:val="none"/>
          <w14:textFill>
            <w14:solidFill>
              <w14:schemeClr w14:val="tx1"/>
            </w14:solidFill>
          </w14:textFill>
        </w:rPr>
        <w:t>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71730349">
      <w:pPr>
        <w:spacing w:line="480" w:lineRule="exact"/>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乙方在维修安装时未尽注意义务导致本合同维修安装配件的设备</w:t>
      </w:r>
      <w:r>
        <w:rPr>
          <w:rFonts w:hint="eastAsia" w:ascii="宋体" w:hAnsi="宋体" w:cs="宋体"/>
          <w:color w:val="000000" w:themeColor="text1"/>
          <w:sz w:val="24"/>
          <w:u w:val="none"/>
          <w:lang w:val="en-US" w:eastAsia="zh-CN"/>
          <w14:textFill>
            <w14:solidFill>
              <w14:schemeClr w14:val="tx1"/>
            </w14:solidFill>
          </w14:textFill>
        </w:rPr>
        <w:t>发生无法修复的故障；</w:t>
      </w:r>
    </w:p>
    <w:p w14:paraId="6FB933E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11.3.4 </w:t>
      </w:r>
      <w:r>
        <w:rPr>
          <w:rFonts w:hint="eastAsia" w:ascii="宋体" w:hAnsi="宋体" w:eastAsia="宋体" w:cs="宋体"/>
          <w:color w:val="000000" w:themeColor="text1"/>
          <w:sz w:val="24"/>
          <w:highlight w:val="none"/>
          <w14:textFill>
            <w14:solidFill>
              <w14:schemeClr w14:val="tx1"/>
            </w14:solidFill>
          </w14:textFill>
        </w:rPr>
        <w:t>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514692E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 xml:space="preserve"> 其他根本违约的情形。</w:t>
      </w:r>
    </w:p>
    <w:p w14:paraId="73285DC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72CB9F3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C513FD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配件</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2EAD47C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w:t>
      </w:r>
      <w:r>
        <w:rPr>
          <w:rFonts w:hint="eastAsia" w:ascii="宋体" w:hAnsi="宋体" w:eastAsia="宋体" w:cs="宋体"/>
          <w:color w:val="000000" w:themeColor="text1"/>
          <w:sz w:val="24"/>
          <w:highlight w:val="none"/>
          <w:lang w:val="en-US" w:eastAsia="zh-CN"/>
          <w14:textFill>
            <w14:solidFill>
              <w14:schemeClr w14:val="tx1"/>
            </w14:solidFill>
          </w14:textFill>
        </w:rPr>
        <w:t>，乙方除赔偿甲方由此造成的全部损失（包括但不限于实际经济损失，因纠纷产生的律师费、诉讼费、差旅费、保全保险费等）外，还须按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272FB3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40000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元。如乙方除需承担违反廉洁条款及供应商考核管理制度的违约责任外，同时存在其他违约行为，乙方仍须就其他违约行为承担相应违约责任。</w:t>
      </w:r>
    </w:p>
    <w:p w14:paraId="16C1473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4579029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05603B7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6092692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2DF4A13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4B0DA9A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B050D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0FF45A1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33B7CA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250C210">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78ADFB9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F709F7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Theme="minorEastAsia"/>
          <w:color w:val="000000" w:themeColor="text1"/>
          <w:highlight w:val="none"/>
          <w:lang w:eastAsia="zh-CN"/>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53BDA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58987A0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C2A233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5"/>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4"/>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4"/>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5"/>
        <w:rPr>
          <w:color w:val="auto"/>
        </w:rPr>
      </w:pPr>
    </w:p>
    <w:p w14:paraId="43E00E01">
      <w:pPr>
        <w:pStyle w:val="14"/>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93E7D91"/>
    <w:rsid w:val="19E91315"/>
    <w:rsid w:val="1AF56B46"/>
    <w:rsid w:val="1DD7486D"/>
    <w:rsid w:val="1E79119D"/>
    <w:rsid w:val="1F334F58"/>
    <w:rsid w:val="1F796B24"/>
    <w:rsid w:val="1FC602A8"/>
    <w:rsid w:val="1FE73549"/>
    <w:rsid w:val="2038045E"/>
    <w:rsid w:val="20AF0900"/>
    <w:rsid w:val="20B41DA7"/>
    <w:rsid w:val="21C61C7A"/>
    <w:rsid w:val="24881A32"/>
    <w:rsid w:val="25266F96"/>
    <w:rsid w:val="272B6E6C"/>
    <w:rsid w:val="27CF2BB7"/>
    <w:rsid w:val="28E81B29"/>
    <w:rsid w:val="28FD390A"/>
    <w:rsid w:val="29B45A41"/>
    <w:rsid w:val="2A174DA9"/>
    <w:rsid w:val="2AB010A8"/>
    <w:rsid w:val="2AC66F99"/>
    <w:rsid w:val="2C0A2E19"/>
    <w:rsid w:val="2C7642D0"/>
    <w:rsid w:val="2DD77C64"/>
    <w:rsid w:val="2DDA1E78"/>
    <w:rsid w:val="2DE00B8C"/>
    <w:rsid w:val="2EAC037F"/>
    <w:rsid w:val="2EB67A5C"/>
    <w:rsid w:val="302741D2"/>
    <w:rsid w:val="308B184D"/>
    <w:rsid w:val="309C1E01"/>
    <w:rsid w:val="30BB11DD"/>
    <w:rsid w:val="31F17CD1"/>
    <w:rsid w:val="33384C93"/>
    <w:rsid w:val="340F06E9"/>
    <w:rsid w:val="366241E2"/>
    <w:rsid w:val="36E47928"/>
    <w:rsid w:val="372F7378"/>
    <w:rsid w:val="37BA0809"/>
    <w:rsid w:val="397348CD"/>
    <w:rsid w:val="3A8E0AB7"/>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A354E62"/>
    <w:rsid w:val="4AEE1A11"/>
    <w:rsid w:val="4B7F39F4"/>
    <w:rsid w:val="4BAE646F"/>
    <w:rsid w:val="4CAC1559"/>
    <w:rsid w:val="4D754257"/>
    <w:rsid w:val="4DCD6AB3"/>
    <w:rsid w:val="50216DCD"/>
    <w:rsid w:val="50540C20"/>
    <w:rsid w:val="506258C6"/>
    <w:rsid w:val="51AC28BD"/>
    <w:rsid w:val="52183ACC"/>
    <w:rsid w:val="53B55872"/>
    <w:rsid w:val="54AD4386"/>
    <w:rsid w:val="581A7C72"/>
    <w:rsid w:val="583A4BD7"/>
    <w:rsid w:val="59C74B1F"/>
    <w:rsid w:val="611B6B1B"/>
    <w:rsid w:val="62C222C2"/>
    <w:rsid w:val="632D7C40"/>
    <w:rsid w:val="64133D6A"/>
    <w:rsid w:val="678E4F5D"/>
    <w:rsid w:val="67F3562A"/>
    <w:rsid w:val="680E122C"/>
    <w:rsid w:val="6A4E1D63"/>
    <w:rsid w:val="6CA409DF"/>
    <w:rsid w:val="6DE375E4"/>
    <w:rsid w:val="6E8E5287"/>
    <w:rsid w:val="6FAD463B"/>
    <w:rsid w:val="6FBE332C"/>
    <w:rsid w:val="71554367"/>
    <w:rsid w:val="71584067"/>
    <w:rsid w:val="71F26E91"/>
    <w:rsid w:val="735201FF"/>
    <w:rsid w:val="737B50A4"/>
    <w:rsid w:val="73F40E72"/>
    <w:rsid w:val="74566F5C"/>
    <w:rsid w:val="750117A8"/>
    <w:rsid w:val="755B2270"/>
    <w:rsid w:val="75E27514"/>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1955</Words>
  <Characters>2105</Characters>
  <Lines>0</Lines>
  <Paragraphs>0</Paragraphs>
  <TotalTime>0</TotalTime>
  <ScaleCrop>false</ScaleCrop>
  <LinksUpToDate>false</LinksUpToDate>
  <CharactersWithSpaces>2115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2025-05-07T09:00:14Z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