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3"/>
        <w:snapToGrid w:val="0"/>
        <w:jc w:val="center"/>
        <w:rPr>
          <w:rFonts w:hint="eastAsia" w:ascii="Arial" w:hAnsi="Arial" w:eastAsia="方正小标宋简体" w:cs="Arial"/>
          <w:color w:val="auto"/>
          <w:sz w:val="72"/>
          <w:szCs w:val="72"/>
          <w:lang w:eastAsia="zh-CN"/>
        </w:rPr>
      </w:pPr>
      <w:bookmarkStart w:id="0" w:name="_Toc16523570"/>
    </w:p>
    <w:p w14:paraId="624C34B6">
      <w:pPr>
        <w:pStyle w:val="13"/>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3"/>
        <w:snapToGrid w:val="0"/>
        <w:jc w:val="center"/>
        <w:rPr>
          <w:rFonts w:hint="eastAsia" w:ascii="Arial" w:hAnsi="Arial" w:eastAsia="方正小标宋简体" w:cs="Arial"/>
          <w:sz w:val="72"/>
          <w:szCs w:val="72"/>
        </w:rPr>
      </w:pPr>
    </w:p>
    <w:p w14:paraId="16E58BC0">
      <w:pPr>
        <w:pStyle w:val="13"/>
        <w:snapToGrid w:val="0"/>
        <w:jc w:val="center"/>
        <w:rPr>
          <w:rFonts w:hint="eastAsia" w:ascii="Arial" w:hAnsi="Arial" w:eastAsia="方正小标宋简体" w:cs="Arial"/>
          <w:sz w:val="72"/>
          <w:szCs w:val="72"/>
        </w:rPr>
      </w:pPr>
    </w:p>
    <w:p w14:paraId="7D3C3256">
      <w:pPr>
        <w:pStyle w:val="13"/>
        <w:snapToGrid w:val="0"/>
        <w:jc w:val="center"/>
        <w:rPr>
          <w:rFonts w:hint="eastAsia" w:ascii="Arial" w:hAnsi="Arial" w:eastAsia="方正小标宋简体" w:cs="Arial"/>
          <w:sz w:val="72"/>
          <w:szCs w:val="72"/>
        </w:rPr>
      </w:pPr>
    </w:p>
    <w:p w14:paraId="11608FC0">
      <w:pPr>
        <w:pStyle w:val="13"/>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3"/>
        <w:snapToGrid w:val="0"/>
        <w:jc w:val="center"/>
        <w:rPr>
          <w:rFonts w:ascii="Arial" w:hAnsi="Arial" w:cs="Arial"/>
          <w:sz w:val="32"/>
          <w:szCs w:val="32"/>
        </w:rPr>
      </w:pPr>
    </w:p>
    <w:p w14:paraId="46311545">
      <w:pPr>
        <w:pStyle w:val="14"/>
        <w:rPr>
          <w:rFonts w:ascii="Arial" w:hAnsi="Arial" w:cs="Arial"/>
          <w:sz w:val="32"/>
          <w:szCs w:val="32"/>
        </w:rPr>
      </w:pPr>
    </w:p>
    <w:p w14:paraId="5F00027D">
      <w:pPr>
        <w:pStyle w:val="8"/>
        <w:rPr>
          <w:rFonts w:ascii="Arial" w:hAnsi="Arial" w:cs="Arial"/>
          <w:sz w:val="32"/>
          <w:szCs w:val="32"/>
        </w:rPr>
      </w:pPr>
    </w:p>
    <w:p w14:paraId="790E99FE">
      <w:pPr>
        <w:pStyle w:val="8"/>
        <w:rPr>
          <w:rFonts w:ascii="Arial" w:hAnsi="Arial" w:cs="Arial"/>
          <w:sz w:val="32"/>
          <w:szCs w:val="32"/>
        </w:rPr>
      </w:pPr>
    </w:p>
    <w:p w14:paraId="6D6CF557">
      <w:pPr>
        <w:pStyle w:val="8"/>
        <w:rPr>
          <w:rFonts w:ascii="Arial" w:hAnsi="Arial" w:cs="Arial"/>
          <w:sz w:val="32"/>
          <w:szCs w:val="32"/>
        </w:rPr>
      </w:pPr>
    </w:p>
    <w:p w14:paraId="77BABE1C">
      <w:pPr>
        <w:pStyle w:val="8"/>
        <w:rPr>
          <w:rFonts w:ascii="Arial" w:hAnsi="Arial" w:cs="Arial"/>
          <w:sz w:val="32"/>
          <w:szCs w:val="32"/>
        </w:rPr>
      </w:pPr>
    </w:p>
    <w:p w14:paraId="1C0FB295">
      <w:pPr>
        <w:pStyle w:val="8"/>
        <w:rPr>
          <w:rFonts w:ascii="Arial" w:hAnsi="Arial" w:cs="Arial"/>
          <w:sz w:val="32"/>
          <w:szCs w:val="32"/>
        </w:rPr>
      </w:pPr>
    </w:p>
    <w:p w14:paraId="4C96CB97">
      <w:pPr>
        <w:pStyle w:val="8"/>
        <w:rPr>
          <w:rFonts w:ascii="Arial" w:hAnsi="Arial" w:cs="Arial"/>
          <w:sz w:val="32"/>
          <w:szCs w:val="32"/>
        </w:rPr>
      </w:pPr>
    </w:p>
    <w:p w14:paraId="1825AAC5">
      <w:pPr>
        <w:pStyle w:val="8"/>
        <w:rPr>
          <w:rFonts w:ascii="Arial" w:hAnsi="Arial" w:cs="Arial"/>
          <w:sz w:val="32"/>
          <w:szCs w:val="32"/>
        </w:rPr>
      </w:pPr>
    </w:p>
    <w:p w14:paraId="1B92FFA5">
      <w:pPr>
        <w:pStyle w:val="13"/>
        <w:snapToGrid w:val="0"/>
        <w:jc w:val="center"/>
        <w:rPr>
          <w:rFonts w:ascii="Arial" w:hAnsi="Arial" w:cs="Arial"/>
          <w:sz w:val="32"/>
          <w:szCs w:val="32"/>
        </w:rPr>
      </w:pPr>
    </w:p>
    <w:p w14:paraId="3EB4A47A">
      <w:pPr>
        <w:pStyle w:val="13"/>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（脑电图仪+便携式医用事件相关电位仪医院公开挂网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五</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脑电图仪+便携式医用事件相关电位仪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脑电图仪+便携式医用事件相关电位仪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4"/>
        <w:rPr>
          <w:rFonts w:hint="eastAsia"/>
          <w:lang w:val="en-US" w:eastAsia="zh-CN"/>
        </w:rPr>
      </w:pPr>
    </w:p>
    <w:p w14:paraId="687E9235">
      <w:pPr>
        <w:pStyle w:val="14"/>
        <w:jc w:val="both"/>
        <w:rPr>
          <w:rFonts w:hint="default"/>
          <w:lang w:val="en-US" w:eastAsia="zh-CN"/>
        </w:rPr>
      </w:pPr>
    </w:p>
    <w:p w14:paraId="7AECD5DA">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4"/>
        <w:rPr>
          <w:rFonts w:hint="eastAsia" w:ascii="宋体" w:hAnsi="宋体" w:cs="宋体"/>
          <w:b/>
          <w:bCs/>
          <w:color w:val="auto"/>
          <w:sz w:val="44"/>
          <w:szCs w:val="44"/>
          <w:lang w:val="en-US" w:eastAsia="zh-CN"/>
        </w:rPr>
      </w:pPr>
    </w:p>
    <w:p w14:paraId="69D61396">
      <w:pPr>
        <w:pStyle w:val="8"/>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2"/>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脑电图仪+便携式医用事件相关电位仪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49</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200383E8">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一、数字脑电图仪</w:t>
      </w:r>
    </w:p>
    <w:p w14:paraId="68A54C1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（一）技术性能</w:t>
      </w:r>
    </w:p>
    <w:p w14:paraId="5DEFB26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1采集工作站：配置不低于：处理器i5、内存16GB、硬盘256GB + 4TB、24寸2K高清显示器，Windows 10 64位及以上操作系统</w:t>
      </w:r>
    </w:p>
    <w:p w14:paraId="344A723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2设备主机</w:t>
      </w:r>
    </w:p>
    <w:p w14:paraId="2819FCB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2.1主机数据接口：放大器接口≥1个；网络接口≥1个；事件按键接口≥1个；Trigger-In接口≥1个；USB接口≥2个</w:t>
      </w:r>
    </w:p>
    <w:p w14:paraId="3DBD1B4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2.2设备连接方式：可通过网线、USB连接采集电脑</w:t>
      </w:r>
    </w:p>
    <w:p w14:paraId="224721B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2.3多参数同步采集：通过专用Trigger-In接口，实现通过外部设备进行多参数信号的同步采集。如：TMS同步脑电（TMS-EEG）、fNIRS同步脑电（fNIRS-EEG）等</w:t>
      </w:r>
    </w:p>
    <w:p w14:paraId="3E9847F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2.4闪光刺激器一体化接口：同时实现闪光刺激器的供电和刺激信号打标</w:t>
      </w:r>
    </w:p>
    <w:p w14:paraId="5FC1DD3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2.5音视频端口：音频输出≥1个；音频输入≥1个；HDMI高清视频输出≥1个</w:t>
      </w:r>
    </w:p>
    <w:p w14:paraId="6AC4B01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3头盒（放大器）</w:t>
      </w:r>
    </w:p>
    <w:p w14:paraId="4508B09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3.1放大器通道：脑电（EEG）输入端≥42个、双极输入端≥9对（可作为18个脑电输入端），接地端口（GND）≥2个、参考电极（REF）端口≥2个、主动屏蔽电极（SHD）端口≥1个</w:t>
      </w:r>
    </w:p>
    <w:p w14:paraId="39D1CB9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3.2其它专用功能接口：血氧脉率≥1个；脑氧≥1个；CO2≥1个；事件按键接口：≥1个</w:t>
      </w:r>
    </w:p>
    <w:p w14:paraId="1384CA1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3.3定标电压：标称值为100μVp-p，最大允许误差±2%</w:t>
      </w:r>
    </w:p>
    <w:p w14:paraId="0DEAC11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3.4电压测量：最大允许误差±5%</w:t>
      </w:r>
    </w:p>
    <w:p w14:paraId="000126C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3.5时间间隔：最大允许误差±5%</w:t>
      </w:r>
    </w:p>
    <w:p w14:paraId="75D3B28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3.6幅频特性：(1～120)Hz，最大允许误差+5%～-30%</w:t>
      </w:r>
    </w:p>
    <w:p w14:paraId="5D9F442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3.7噪声电平：不大于1μVp-p（峰峰值）</w:t>
      </w:r>
    </w:p>
    <w:p w14:paraId="4F7AEE1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3.8共模抑制比：输入频率10Hz时，各道不小于125dB</w:t>
      </w:r>
    </w:p>
    <w:p w14:paraId="64D3B72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3.9输入阻抗：对于10Hz正弦波信号，各道不小于130MΩ</w:t>
      </w:r>
    </w:p>
    <w:p w14:paraId="042C3B4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3.10数模转换分辨率：24bit</w:t>
      </w:r>
    </w:p>
    <w:p w14:paraId="4BADEC5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3.11采样频率：采样率最高16,000Hz，全通道可同时以4000Hz采样记录信号</w:t>
      </w:r>
    </w:p>
    <w:p w14:paraId="55E6CA7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3.12耐极化电压：加±300mV的直流极化电压，偏差不超过±5%</w:t>
      </w:r>
    </w:p>
    <w:p w14:paraId="2575CBE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3.13功率谱幅度:误差不超过+10%</w:t>
      </w:r>
    </w:p>
    <w:p w14:paraId="593135B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3.14功率谱频率:误差不超过+5%</w:t>
      </w:r>
    </w:p>
    <w:p w14:paraId="22C8A82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3.15灵敏度调节误差范围：最大允许误差±5%，检测条件：1µV/mm、10µV/mm、和50µVµV/mm</w:t>
      </w:r>
    </w:p>
    <w:p w14:paraId="290F015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3.16灵敏度调节可选档位：0.1μV/mm、0.5μV/mm、1μV/mm、2μV/mm、5μV/mm、7μV/mm、10μV/mm、15μV/mm、20μV/mm、30μV/mm、50μV/mm、70μV/mm、100μV/mm、150μV/mm、200μV/mm、300μV/mm、500μV/mm、700μV/mm、1000μV/mm、2000μV/mm、5000μV/mm</w:t>
      </w:r>
    </w:p>
    <w:p w14:paraId="372D827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3.17走纸速度可选档位：15 mm/sec、20 mm/sec、30mm/sec、40mm/sed、50mm/sec、60 mm/sec、120 mm/sec、1sec/page、2sec/page、5sec/page、8sec/page、10sec/page、15sec/page、20sec/page、30sec/page</w:t>
      </w:r>
    </w:p>
    <w:p w14:paraId="0D118BD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3.18低频滤波：0.01Hz、0.016Hz、0.02Hz、0.031Hz、0.08Hz、0.16Hz、0.27Hz、0.3Hz、0.5Hz、0.53Hz、1Hz、1.6Hz、2Hz、2.5Hz、3Hz、5Hz、5.3Hz、15Hz、30Hz、35Hz、50Hz、53Hz、60Hz、70Hz、80Hz、100Hz、120Hz、159Hz、250Hz、300Hz、500Hz可选</w:t>
      </w:r>
    </w:p>
    <w:p w14:paraId="12B6202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3.19高频滤波：2Hz、3Hz、4Hz、5Hz、7Hz、9Hz、10Hz、15Hz、20Hz、25Hz、30Hz、35Hz、40Hz、50Hz、60Hz、70Hz、100Hz、120Hz、150Hz、200Hz、250Hz、300Hz、500Hz内可选</w:t>
      </w:r>
    </w:p>
    <w:p w14:paraId="3DF6449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3.20头盒电极插孔具备防水设计，保护内部电路板</w:t>
      </w:r>
    </w:p>
    <w:p w14:paraId="4F6FDA3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3.21头盒具备防撞硅胶外套，提高设备耐用性</w:t>
      </w:r>
    </w:p>
    <w:p w14:paraId="5FFCECC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4事件按键</w:t>
      </w:r>
    </w:p>
    <w:p w14:paraId="7AAE074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4.1微光设计：按键装置头端具备微光LED，可在夜晚帮助医护人员快速找到按键，发作事件标记：患者癫痫发作时，可通过按键进行事件打标，便于读图医生阅图时快速定位发作事件</w:t>
      </w:r>
    </w:p>
    <w:p w14:paraId="34A941B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4.2认知功能执行能力检测：也能用于事件相关电位检测的执行能力检测</w:t>
      </w:r>
    </w:p>
    <w:p w14:paraId="2917434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5网络摄像头</w:t>
      </w:r>
    </w:p>
    <w:p w14:paraId="5062990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5.1可同时连接两个摄像头，提供双视角的同步视频录制，不接受单摄像头局部抠图显示双画面的设计</w:t>
      </w:r>
    </w:p>
    <w:p w14:paraId="34E1F1B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5.2支持4倍光学变倍，16倍数字变倍</w:t>
      </w:r>
    </w:p>
    <w:p w14:paraId="76A3A07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5.3支持超低照度，0.05Lux @ (F2.0,AGC ON) (彩色),0.005Lux @ (F2.0,AGC ON) 0 Lux with IR (黑白)</w:t>
      </w:r>
    </w:p>
    <w:p w14:paraId="55832AB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5.4支持350°水平旋转，垂直方向0°- 90°</w:t>
      </w:r>
    </w:p>
    <w:p w14:paraId="701AFA7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5.5采用高效红外阵列，低功耗，照射距离最远可达30m</w:t>
      </w:r>
    </w:p>
    <w:p w14:paraId="1DE4531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5.6内置高清麦克风</w:t>
      </w:r>
    </w:p>
    <w:p w14:paraId="1045972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6可扩展外置高清麦克风系统，安装于床头附近，采集更清晰的发作声音</w:t>
      </w:r>
    </w:p>
    <w:p w14:paraId="7613EB7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7医用台车，配备4轮轴承轮组，保证台车移动的平稳性、顺滑性</w:t>
      </w:r>
    </w:p>
    <w:p w14:paraId="4CF39CB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8软件功能</w:t>
      </w:r>
    </w:p>
    <w:p w14:paraId="177C2D0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8.1脑电数据采集、存储、实时显示、历史回放：软件接收存储原始数据，并可实时显示信号波形；并可对显示参数进行实时调整；可对已记录的数据进行离线回放</w:t>
      </w:r>
    </w:p>
    <w:p w14:paraId="56359B8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8.2数据在线回放：可在数据录制过程中，回看已录制的部分</w:t>
      </w:r>
    </w:p>
    <w:p w14:paraId="685300A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8.3数据独立回放：可将采集完成的数据导出为独立数据包，可在任何未安装本设备软件系统的电脑上回看数据，方便学术交流、教学等使用目的</w:t>
      </w:r>
    </w:p>
    <w:p w14:paraId="3C1DDBD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8.4棘波密度统计：通过人工智能算法，自动识别、统计棘波发放情况，帮助医生快速定位发作片段</w:t>
      </w:r>
    </w:p>
    <w:p w14:paraId="67E59CB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8.5HFO实时提示：可将指定的高频振荡频带能量以背景颜色的形式，叠加在原始波形后面，通过颜色有误、深浅实时提示高频能量发放的时序、空间信息。数据采集、回放过程同时具备</w:t>
      </w:r>
    </w:p>
    <w:p w14:paraId="617AEAD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8.6阻抗检测：可进行在线阻抗监测和离线阻抗检测</w:t>
      </w:r>
    </w:p>
    <w:p w14:paraId="308ECB6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8.7信号质量监测：从原始信号的频域上多维度（包括但不限于信号质量指标、高频肌电水平）分析信号质量，医护人员可以直观的从各导联信号质量的颜色标记了解实时的信号质量情况（非传统阻抗检测，提供软件界面截图，采集界面各通道需要有信号质量的颜色标记）</w:t>
      </w:r>
    </w:p>
    <w:p w14:paraId="62C19E0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8.8头盒热插拔功能：患者可在临时离开病床时可临时拔掉头盒数据线，而无需摘掉电极，重新插好数据线，软件系统可自动重新开始采集数据，无需其它人为操作。</w:t>
      </w:r>
    </w:p>
    <w:p w14:paraId="796797B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8.9断电数据保护：系统断电重启后，断电前数据不丢失</w:t>
      </w:r>
    </w:p>
    <w:p w14:paraId="3B24AB6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8.10事件标记：具有软硬件两种事件标记方式，并可对标记进行编辑调整；实时记录事件列表，可回放查看</w:t>
      </w:r>
    </w:p>
    <w:p w14:paraId="645778F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8.11脑电测量：具有标尺测量和框选测量两种方式，测量幅值、时间和频率信息</w:t>
      </w:r>
    </w:p>
    <w:p w14:paraId="739CE5F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8.12视频控制、记录和回放：可对摄像头角度等参数进行调整，进行视频数据的记录和回放；视频数据与脑电数据同步，可进行联动定位</w:t>
      </w:r>
    </w:p>
    <w:p w14:paraId="76B25AC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8.13脑电系统录制的视频分辨率支持1920×1080@30fps分辨率/帧率</w:t>
      </w:r>
    </w:p>
    <w:p w14:paraId="53545CE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8.14脑电系统支持双路1920×1080@30fps视频、脑电、以及其他同步录制的生理参数同步回放，回放稳定不卡顿</w:t>
      </w:r>
    </w:p>
    <w:p w14:paraId="7EB503D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8.15动作识别：可自动识别视频中的运动，以红色阴影进行标注，辅助医生查看</w:t>
      </w:r>
    </w:p>
    <w:p w14:paraId="0224DC8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8.16具备脑电地形图功能：可设置重参考、可选择计算的脑电通道、自动或手动设定计算的时间范围、提供功率谱密度和峰值频率信息</w:t>
      </w:r>
    </w:p>
    <w:p w14:paraId="22ECAF1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8.17具备患者信息管理系统，中文报告生成系统：具有多种简洁实用的报告模板，可任意编辑相关内容</w:t>
      </w:r>
    </w:p>
    <w:p w14:paraId="553C058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8.18工作站可进行多院区、多科室远程病例会诊，远程阅图。</w:t>
      </w:r>
    </w:p>
    <w:p w14:paraId="1E15B9E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8.19  符合欧洲、中国临床脑电图应用指南的推荐的圆形弥散性LED闪光 刺激器。刺激频率：1 Hz～60 Hz可调，最大允许误差±5%或±1 Hz（两者取最大值），调节步长：0.5 Hz。持续时间：1 s～300 s可调，最大允许误差±5%，调节步长：0.5 s。</w:t>
      </w:r>
    </w:p>
    <w:p w14:paraId="6BB18E2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8.20阅图工作站具备远程会诊、阅图系统，可实现多科室、多院区进行会诊、阅图、报告等功能</w:t>
      </w:r>
    </w:p>
    <w:p w14:paraId="51A1BED1">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9、设备连接HIS系统</w:t>
      </w:r>
    </w:p>
    <w:p w14:paraId="3FA23C59">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1411"/>
        <w:gridCol w:w="6856"/>
        <w:gridCol w:w="1212"/>
      </w:tblGrid>
      <w:tr w14:paraId="40FF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3A3BF1E5">
            <w:pPr>
              <w:widowControl/>
              <w:jc w:val="left"/>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0" w:type="auto"/>
            <w:noWrap/>
            <w:vAlign w:val="center"/>
          </w:tcPr>
          <w:p w14:paraId="5DAE2D70">
            <w:pPr>
              <w:widowControl/>
              <w:jc w:val="left"/>
              <w:rPr>
                <w:rFonts w:ascii="宋体" w:hAnsi="宋体" w:eastAsia="宋体" w:cs="宋体"/>
                <w:b/>
                <w:bCs/>
                <w:color w:val="000000"/>
                <w:kern w:val="0"/>
                <w:sz w:val="24"/>
              </w:rPr>
            </w:pPr>
            <w:r>
              <w:rPr>
                <w:rFonts w:hint="eastAsia" w:ascii="宋体" w:hAnsi="宋体" w:eastAsia="宋体" w:cs="宋体"/>
                <w:b/>
                <w:bCs/>
                <w:color w:val="000000"/>
                <w:kern w:val="0"/>
                <w:sz w:val="24"/>
              </w:rPr>
              <w:t>配置</w:t>
            </w:r>
          </w:p>
        </w:tc>
        <w:tc>
          <w:tcPr>
            <w:tcW w:w="0" w:type="auto"/>
            <w:noWrap/>
            <w:vAlign w:val="center"/>
          </w:tcPr>
          <w:p w14:paraId="3BAB9950">
            <w:pPr>
              <w:widowControl/>
              <w:jc w:val="left"/>
              <w:rPr>
                <w:rFonts w:ascii="宋体" w:hAnsi="宋体" w:eastAsia="宋体" w:cs="宋体"/>
                <w:b/>
                <w:bCs/>
                <w:color w:val="000000"/>
                <w:kern w:val="0"/>
                <w:sz w:val="24"/>
              </w:rPr>
            </w:pPr>
            <w:r>
              <w:rPr>
                <w:rFonts w:hint="eastAsia" w:ascii="宋体" w:hAnsi="宋体" w:eastAsia="宋体" w:cs="宋体"/>
                <w:b/>
                <w:bCs/>
                <w:color w:val="000000"/>
                <w:kern w:val="0"/>
                <w:sz w:val="24"/>
              </w:rPr>
              <w:t>描述</w:t>
            </w:r>
          </w:p>
        </w:tc>
        <w:tc>
          <w:tcPr>
            <w:tcW w:w="0" w:type="auto"/>
            <w:noWrap/>
            <w:vAlign w:val="center"/>
          </w:tcPr>
          <w:p w14:paraId="208A32BB">
            <w:pPr>
              <w:widowControl/>
              <w:jc w:val="left"/>
              <w:rPr>
                <w:rFonts w:ascii="宋体" w:hAnsi="宋体" w:eastAsia="宋体" w:cs="宋体"/>
                <w:b/>
                <w:bCs/>
                <w:color w:val="000000"/>
                <w:kern w:val="0"/>
                <w:sz w:val="24"/>
              </w:rPr>
            </w:pPr>
            <w:r>
              <w:rPr>
                <w:rFonts w:hint="eastAsia" w:ascii="宋体" w:hAnsi="宋体" w:eastAsia="宋体" w:cs="宋体"/>
                <w:b/>
                <w:bCs/>
                <w:color w:val="000000"/>
                <w:kern w:val="0"/>
                <w:sz w:val="24"/>
              </w:rPr>
              <w:t>数量</w:t>
            </w:r>
          </w:p>
        </w:tc>
      </w:tr>
      <w:tr w14:paraId="5F6A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19AB8CBC">
            <w:pPr>
              <w:pStyle w:val="17"/>
              <w:widowControl/>
              <w:numPr>
                <w:ilvl w:val="0"/>
                <w:numId w:val="2"/>
              </w:numPr>
              <w:ind w:firstLineChars="0"/>
              <w:jc w:val="left"/>
              <w:rPr>
                <w:rFonts w:ascii="宋体" w:hAnsi="宋体" w:eastAsia="宋体" w:cs="宋体"/>
                <w:color w:val="000000"/>
                <w:kern w:val="0"/>
                <w:sz w:val="24"/>
              </w:rPr>
            </w:pPr>
          </w:p>
        </w:tc>
        <w:tc>
          <w:tcPr>
            <w:tcW w:w="0" w:type="auto"/>
            <w:noWrap/>
            <w:vAlign w:val="center"/>
          </w:tcPr>
          <w:p w14:paraId="6BDA950F">
            <w:pPr>
              <w:widowControl/>
              <w:jc w:val="left"/>
              <w:rPr>
                <w:rFonts w:ascii="宋体" w:hAnsi="宋体" w:eastAsia="宋体" w:cs="宋体"/>
                <w:color w:val="000000"/>
                <w:kern w:val="0"/>
                <w:sz w:val="24"/>
              </w:rPr>
            </w:pPr>
            <w:r>
              <w:rPr>
                <w:rFonts w:hint="eastAsia" w:ascii="宋体" w:hAnsi="宋体" w:eastAsia="宋体" w:cs="宋体"/>
                <w:color w:val="000000"/>
                <w:sz w:val="24"/>
              </w:rPr>
              <w:t>脑电采集工作站</w:t>
            </w:r>
          </w:p>
        </w:tc>
        <w:tc>
          <w:tcPr>
            <w:tcW w:w="0" w:type="auto"/>
            <w:noWrap/>
            <w:vAlign w:val="center"/>
          </w:tcPr>
          <w:p w14:paraId="3F0AB0B4">
            <w:pPr>
              <w:rPr>
                <w:rFonts w:ascii="宋体" w:hAnsi="宋体" w:eastAsia="宋体" w:cs="宋体"/>
                <w:sz w:val="24"/>
              </w:rPr>
            </w:pPr>
            <w:r>
              <w:rPr>
                <w:rFonts w:hint="eastAsia" w:ascii="宋体" w:hAnsi="宋体" w:eastAsia="宋体" w:cs="宋体"/>
                <w:color w:val="FF0000"/>
                <w:sz w:val="24"/>
                <w:lang w:val="en-US" w:eastAsia="zh-CN"/>
              </w:rPr>
              <w:t>配置不亚于：</w:t>
            </w:r>
            <w:r>
              <w:rPr>
                <w:rFonts w:hint="eastAsia" w:ascii="宋体" w:hAnsi="宋体" w:eastAsia="宋体" w:cs="宋体"/>
                <w:color w:val="FF0000"/>
                <w:sz w:val="24"/>
              </w:rPr>
              <w:t>Intel i5 3G CPU、16G内存，256G+4T硬盘，24英寸液晶显示器，Windows 10 64位及以上操作系统</w:t>
            </w:r>
          </w:p>
        </w:tc>
        <w:tc>
          <w:tcPr>
            <w:tcW w:w="0" w:type="auto"/>
            <w:noWrap/>
            <w:vAlign w:val="center"/>
          </w:tcPr>
          <w:p w14:paraId="0FC3B9FF">
            <w:pPr>
              <w:widowControl/>
              <w:jc w:val="left"/>
              <w:rPr>
                <w:rFonts w:ascii="宋体" w:hAnsi="宋体" w:eastAsia="宋体" w:cs="宋体"/>
                <w:color w:val="000000"/>
                <w:kern w:val="0"/>
                <w:sz w:val="24"/>
              </w:rPr>
            </w:pPr>
            <w:r>
              <w:rPr>
                <w:rFonts w:hint="eastAsia" w:ascii="宋体" w:hAnsi="宋体" w:eastAsia="宋体" w:cs="宋体"/>
                <w:color w:val="000000"/>
                <w:sz w:val="24"/>
              </w:rPr>
              <w:t>1套</w:t>
            </w:r>
          </w:p>
        </w:tc>
      </w:tr>
      <w:tr w14:paraId="3F84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2D3137A5">
            <w:pPr>
              <w:pStyle w:val="17"/>
              <w:widowControl/>
              <w:numPr>
                <w:ilvl w:val="0"/>
                <w:numId w:val="2"/>
              </w:numPr>
              <w:ind w:firstLineChars="0"/>
              <w:jc w:val="left"/>
              <w:rPr>
                <w:rFonts w:ascii="宋体" w:hAnsi="宋体" w:eastAsia="宋体" w:cs="宋体"/>
                <w:color w:val="000000"/>
                <w:kern w:val="0"/>
                <w:sz w:val="24"/>
              </w:rPr>
            </w:pPr>
          </w:p>
        </w:tc>
        <w:tc>
          <w:tcPr>
            <w:tcW w:w="0" w:type="auto"/>
            <w:noWrap/>
            <w:vAlign w:val="center"/>
          </w:tcPr>
          <w:p w14:paraId="3803907C">
            <w:pPr>
              <w:widowControl/>
              <w:jc w:val="left"/>
              <w:rPr>
                <w:rFonts w:ascii="宋体" w:hAnsi="宋体" w:eastAsia="宋体" w:cs="宋体"/>
                <w:color w:val="000000"/>
                <w:kern w:val="0"/>
                <w:sz w:val="24"/>
              </w:rPr>
            </w:pPr>
            <w:r>
              <w:rPr>
                <w:rFonts w:hint="eastAsia" w:ascii="宋体" w:hAnsi="宋体" w:eastAsia="宋体" w:cs="宋体"/>
                <w:color w:val="000000"/>
                <w:sz w:val="24"/>
              </w:rPr>
              <w:t>台车</w:t>
            </w:r>
          </w:p>
        </w:tc>
        <w:tc>
          <w:tcPr>
            <w:tcW w:w="0" w:type="auto"/>
            <w:noWrap/>
            <w:vAlign w:val="center"/>
          </w:tcPr>
          <w:p w14:paraId="78609C56">
            <w:pPr>
              <w:widowControl/>
              <w:jc w:val="left"/>
              <w:rPr>
                <w:rFonts w:ascii="宋体" w:hAnsi="宋体" w:eastAsia="宋体" w:cs="宋体"/>
                <w:color w:val="000000"/>
                <w:kern w:val="0"/>
                <w:sz w:val="24"/>
              </w:rPr>
            </w:pPr>
            <w:r>
              <w:rPr>
                <w:rFonts w:hint="eastAsia" w:ascii="宋体" w:hAnsi="宋体" w:eastAsia="宋体" w:cs="宋体"/>
                <w:color w:val="000000"/>
                <w:sz w:val="24"/>
              </w:rPr>
              <w:t>医用台车</w:t>
            </w:r>
          </w:p>
        </w:tc>
        <w:tc>
          <w:tcPr>
            <w:tcW w:w="0" w:type="auto"/>
            <w:noWrap/>
            <w:vAlign w:val="center"/>
          </w:tcPr>
          <w:p w14:paraId="7B8D46BA">
            <w:pPr>
              <w:widowControl/>
              <w:jc w:val="left"/>
              <w:rPr>
                <w:rFonts w:ascii="宋体" w:hAnsi="宋体" w:eastAsia="宋体" w:cs="宋体"/>
                <w:color w:val="000000"/>
                <w:kern w:val="0"/>
                <w:sz w:val="24"/>
              </w:rPr>
            </w:pPr>
            <w:r>
              <w:rPr>
                <w:rFonts w:hint="eastAsia" w:ascii="宋体" w:hAnsi="宋体" w:eastAsia="宋体" w:cs="宋体"/>
                <w:color w:val="000000"/>
                <w:sz w:val="24"/>
              </w:rPr>
              <w:t>1台</w:t>
            </w:r>
          </w:p>
        </w:tc>
      </w:tr>
      <w:tr w14:paraId="0FEC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4863D12C">
            <w:pPr>
              <w:pStyle w:val="17"/>
              <w:widowControl/>
              <w:numPr>
                <w:ilvl w:val="0"/>
                <w:numId w:val="2"/>
              </w:numPr>
              <w:ind w:firstLineChars="0"/>
              <w:jc w:val="left"/>
              <w:rPr>
                <w:rFonts w:ascii="宋体" w:hAnsi="宋体" w:eastAsia="宋体" w:cs="宋体"/>
                <w:color w:val="000000"/>
                <w:kern w:val="0"/>
                <w:sz w:val="24"/>
              </w:rPr>
            </w:pPr>
          </w:p>
        </w:tc>
        <w:tc>
          <w:tcPr>
            <w:tcW w:w="0" w:type="auto"/>
            <w:noWrap/>
            <w:vAlign w:val="center"/>
          </w:tcPr>
          <w:p w14:paraId="048FD1B2">
            <w:pPr>
              <w:widowControl/>
              <w:jc w:val="left"/>
              <w:rPr>
                <w:rFonts w:ascii="宋体" w:hAnsi="宋体" w:eastAsia="宋体" w:cs="宋体"/>
                <w:color w:val="000000"/>
                <w:kern w:val="0"/>
                <w:sz w:val="24"/>
              </w:rPr>
            </w:pPr>
            <w:r>
              <w:rPr>
                <w:rFonts w:hint="eastAsia" w:ascii="宋体" w:hAnsi="宋体" w:eastAsia="宋体" w:cs="宋体"/>
                <w:color w:val="000000"/>
                <w:sz w:val="24"/>
              </w:rPr>
              <w:t>主机</w:t>
            </w:r>
          </w:p>
        </w:tc>
        <w:tc>
          <w:tcPr>
            <w:tcW w:w="0" w:type="auto"/>
            <w:noWrap/>
            <w:vAlign w:val="center"/>
          </w:tcPr>
          <w:p w14:paraId="18F99426">
            <w:pPr>
              <w:widowControl/>
              <w:jc w:val="left"/>
              <w:rPr>
                <w:rFonts w:ascii="宋体" w:hAnsi="宋体" w:eastAsia="宋体" w:cs="宋体"/>
                <w:color w:val="000000"/>
                <w:kern w:val="0"/>
                <w:sz w:val="24"/>
              </w:rPr>
            </w:pPr>
            <w:r>
              <w:rPr>
                <w:rFonts w:hint="eastAsia" w:ascii="宋体" w:hAnsi="宋体" w:eastAsia="宋体" w:cs="宋体"/>
                <w:color w:val="000000"/>
                <w:sz w:val="24"/>
              </w:rPr>
              <w:t>系统控制和数据处理中心，对从头盒接收到的数据进行处理，并传输至电脑，对头盒进行控制和供电</w:t>
            </w:r>
          </w:p>
        </w:tc>
        <w:tc>
          <w:tcPr>
            <w:tcW w:w="0" w:type="auto"/>
            <w:noWrap/>
            <w:vAlign w:val="center"/>
          </w:tcPr>
          <w:p w14:paraId="7EA1A14E">
            <w:pPr>
              <w:widowControl/>
              <w:jc w:val="left"/>
              <w:rPr>
                <w:rFonts w:ascii="宋体" w:hAnsi="宋体" w:eastAsia="宋体" w:cs="宋体"/>
                <w:color w:val="000000"/>
                <w:kern w:val="0"/>
                <w:sz w:val="24"/>
              </w:rPr>
            </w:pPr>
            <w:r>
              <w:rPr>
                <w:rFonts w:hint="eastAsia" w:ascii="宋体" w:hAnsi="宋体" w:eastAsia="宋体" w:cs="宋体"/>
                <w:color w:val="000000"/>
                <w:sz w:val="24"/>
              </w:rPr>
              <w:t>1套</w:t>
            </w:r>
          </w:p>
        </w:tc>
      </w:tr>
      <w:tr w14:paraId="3E91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4570B674">
            <w:pPr>
              <w:pStyle w:val="17"/>
              <w:widowControl/>
              <w:numPr>
                <w:ilvl w:val="0"/>
                <w:numId w:val="2"/>
              </w:numPr>
              <w:ind w:firstLineChars="0"/>
              <w:jc w:val="left"/>
              <w:rPr>
                <w:rFonts w:ascii="宋体" w:hAnsi="宋体" w:eastAsia="宋体" w:cs="宋体"/>
                <w:color w:val="000000"/>
                <w:kern w:val="0"/>
                <w:sz w:val="24"/>
              </w:rPr>
            </w:pPr>
          </w:p>
        </w:tc>
        <w:tc>
          <w:tcPr>
            <w:tcW w:w="0" w:type="auto"/>
            <w:noWrap/>
            <w:vAlign w:val="center"/>
          </w:tcPr>
          <w:p w14:paraId="74D2A0DA">
            <w:pPr>
              <w:widowControl/>
              <w:jc w:val="left"/>
              <w:rPr>
                <w:rFonts w:ascii="宋体" w:hAnsi="宋体" w:eastAsia="宋体" w:cs="宋体"/>
                <w:color w:val="000000"/>
                <w:kern w:val="0"/>
                <w:sz w:val="24"/>
              </w:rPr>
            </w:pPr>
            <w:r>
              <w:rPr>
                <w:rFonts w:hint="eastAsia" w:ascii="宋体" w:hAnsi="宋体" w:eastAsia="宋体" w:cs="宋体"/>
                <w:color w:val="000000"/>
                <w:sz w:val="24"/>
              </w:rPr>
              <w:t>头盒</w:t>
            </w:r>
          </w:p>
        </w:tc>
        <w:tc>
          <w:tcPr>
            <w:tcW w:w="0" w:type="auto"/>
            <w:noWrap/>
            <w:vAlign w:val="center"/>
          </w:tcPr>
          <w:p w14:paraId="5A3FEB5B">
            <w:pPr>
              <w:widowControl/>
              <w:jc w:val="left"/>
              <w:rPr>
                <w:rFonts w:ascii="宋体" w:hAnsi="宋体" w:eastAsia="宋体" w:cs="宋体"/>
                <w:color w:val="000000"/>
                <w:sz w:val="24"/>
              </w:rPr>
            </w:pPr>
            <w:r>
              <w:rPr>
                <w:rFonts w:hint="eastAsia" w:ascii="宋体" w:hAnsi="宋体" w:eastAsia="宋体" w:cs="宋体"/>
                <w:b/>
                <w:bCs/>
                <w:color w:val="FF0000"/>
                <w:sz w:val="24"/>
                <w:lang w:val="en-US" w:eastAsia="zh-CN"/>
              </w:rPr>
              <w:t>≥</w:t>
            </w:r>
            <w:r>
              <w:rPr>
                <w:rFonts w:hint="eastAsia" w:ascii="宋体" w:hAnsi="宋体" w:eastAsia="宋体" w:cs="宋体"/>
                <w:b/>
                <w:bCs/>
                <w:color w:val="FF0000"/>
                <w:sz w:val="24"/>
              </w:rPr>
              <w:t>42通道</w:t>
            </w:r>
            <w:r>
              <w:rPr>
                <w:rFonts w:hint="eastAsia" w:ascii="宋体" w:hAnsi="宋体" w:eastAsia="宋体" w:cs="宋体"/>
                <w:color w:val="FF0000"/>
                <w:sz w:val="24"/>
              </w:rPr>
              <w:t>通道放大器</w:t>
            </w:r>
          </w:p>
        </w:tc>
        <w:tc>
          <w:tcPr>
            <w:tcW w:w="0" w:type="auto"/>
            <w:noWrap/>
            <w:vAlign w:val="center"/>
          </w:tcPr>
          <w:p w14:paraId="1A647BA2">
            <w:pPr>
              <w:widowControl/>
              <w:jc w:val="left"/>
              <w:rPr>
                <w:rFonts w:ascii="宋体" w:hAnsi="宋体" w:eastAsia="宋体" w:cs="宋体"/>
                <w:color w:val="000000"/>
                <w:kern w:val="0"/>
                <w:sz w:val="24"/>
              </w:rPr>
            </w:pPr>
            <w:r>
              <w:rPr>
                <w:rFonts w:hint="eastAsia" w:ascii="宋体" w:hAnsi="宋体" w:eastAsia="宋体" w:cs="宋体"/>
                <w:color w:val="000000"/>
                <w:sz w:val="24"/>
              </w:rPr>
              <w:t>1套</w:t>
            </w:r>
          </w:p>
        </w:tc>
      </w:tr>
      <w:tr w14:paraId="1AC8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35D19E2B">
            <w:pPr>
              <w:pStyle w:val="17"/>
              <w:widowControl/>
              <w:numPr>
                <w:ilvl w:val="0"/>
                <w:numId w:val="2"/>
              </w:numPr>
              <w:ind w:firstLineChars="0"/>
              <w:jc w:val="left"/>
              <w:rPr>
                <w:rFonts w:ascii="宋体" w:hAnsi="宋体" w:eastAsia="宋体" w:cs="宋体"/>
                <w:color w:val="000000"/>
                <w:kern w:val="0"/>
                <w:sz w:val="24"/>
              </w:rPr>
            </w:pPr>
          </w:p>
        </w:tc>
        <w:tc>
          <w:tcPr>
            <w:tcW w:w="0" w:type="auto"/>
            <w:noWrap/>
            <w:vAlign w:val="center"/>
          </w:tcPr>
          <w:p w14:paraId="551EAE2A">
            <w:pPr>
              <w:widowControl/>
              <w:jc w:val="left"/>
              <w:rPr>
                <w:rFonts w:ascii="宋体" w:hAnsi="宋体" w:eastAsia="宋体" w:cs="宋体"/>
                <w:color w:val="000000"/>
                <w:kern w:val="0"/>
                <w:sz w:val="24"/>
              </w:rPr>
            </w:pPr>
            <w:r>
              <w:rPr>
                <w:rFonts w:hint="eastAsia" w:ascii="宋体" w:hAnsi="宋体" w:eastAsia="宋体" w:cs="宋体"/>
                <w:color w:val="000000"/>
                <w:sz w:val="24"/>
              </w:rPr>
              <w:t>头盒连接线缆</w:t>
            </w:r>
          </w:p>
        </w:tc>
        <w:tc>
          <w:tcPr>
            <w:tcW w:w="0" w:type="auto"/>
            <w:noWrap/>
            <w:vAlign w:val="center"/>
          </w:tcPr>
          <w:p w14:paraId="2DDF5026">
            <w:pPr>
              <w:widowControl/>
              <w:jc w:val="left"/>
              <w:rPr>
                <w:rFonts w:ascii="宋体" w:hAnsi="宋体" w:eastAsia="宋体" w:cs="宋体"/>
                <w:color w:val="000000"/>
                <w:kern w:val="0"/>
                <w:sz w:val="24"/>
              </w:rPr>
            </w:pPr>
            <w:r>
              <w:rPr>
                <w:rFonts w:hint="eastAsia" w:ascii="宋体" w:hAnsi="宋体" w:eastAsia="宋体" w:cs="宋体"/>
                <w:color w:val="000000"/>
                <w:sz w:val="24"/>
              </w:rPr>
              <w:t>连接头盒和主机</w:t>
            </w:r>
          </w:p>
        </w:tc>
        <w:tc>
          <w:tcPr>
            <w:tcW w:w="0" w:type="auto"/>
            <w:noWrap/>
            <w:vAlign w:val="center"/>
          </w:tcPr>
          <w:p w14:paraId="35EC4F7B">
            <w:pPr>
              <w:widowControl/>
              <w:jc w:val="left"/>
              <w:rPr>
                <w:rFonts w:ascii="宋体" w:hAnsi="宋体" w:eastAsia="宋体" w:cs="宋体"/>
                <w:color w:val="000000"/>
                <w:kern w:val="0"/>
                <w:sz w:val="24"/>
              </w:rPr>
            </w:pPr>
            <w:r>
              <w:rPr>
                <w:rFonts w:hint="eastAsia" w:ascii="宋体" w:hAnsi="宋体" w:eastAsia="宋体" w:cs="宋体"/>
                <w:color w:val="000000"/>
                <w:sz w:val="24"/>
              </w:rPr>
              <w:t>1根</w:t>
            </w:r>
          </w:p>
        </w:tc>
      </w:tr>
      <w:tr w14:paraId="515F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3C4F9FD0">
            <w:pPr>
              <w:pStyle w:val="17"/>
              <w:widowControl/>
              <w:numPr>
                <w:ilvl w:val="0"/>
                <w:numId w:val="2"/>
              </w:numPr>
              <w:ind w:firstLineChars="0"/>
              <w:jc w:val="left"/>
              <w:rPr>
                <w:rFonts w:ascii="宋体" w:hAnsi="宋体" w:eastAsia="宋体" w:cs="宋体"/>
                <w:color w:val="000000"/>
                <w:kern w:val="0"/>
                <w:sz w:val="24"/>
              </w:rPr>
            </w:pPr>
          </w:p>
        </w:tc>
        <w:tc>
          <w:tcPr>
            <w:tcW w:w="0" w:type="auto"/>
            <w:noWrap/>
            <w:vAlign w:val="center"/>
          </w:tcPr>
          <w:p w14:paraId="647F6692">
            <w:pPr>
              <w:widowControl/>
              <w:jc w:val="left"/>
              <w:rPr>
                <w:rFonts w:ascii="宋体" w:hAnsi="宋体" w:eastAsia="宋体" w:cs="宋体"/>
                <w:color w:val="000000"/>
                <w:kern w:val="0"/>
                <w:sz w:val="24"/>
              </w:rPr>
            </w:pPr>
            <w:r>
              <w:rPr>
                <w:rFonts w:hint="eastAsia" w:ascii="宋体" w:hAnsi="宋体" w:eastAsia="宋体" w:cs="宋体"/>
                <w:color w:val="000000"/>
                <w:sz w:val="24"/>
              </w:rPr>
              <w:t>红外高清摄像头</w:t>
            </w:r>
          </w:p>
        </w:tc>
        <w:tc>
          <w:tcPr>
            <w:tcW w:w="0" w:type="auto"/>
            <w:noWrap/>
            <w:vAlign w:val="center"/>
          </w:tcPr>
          <w:p w14:paraId="43152850">
            <w:pPr>
              <w:widowControl/>
              <w:jc w:val="left"/>
              <w:rPr>
                <w:rFonts w:ascii="宋体" w:hAnsi="宋体" w:eastAsia="宋体" w:cs="宋体"/>
                <w:color w:val="000000"/>
                <w:kern w:val="0"/>
                <w:sz w:val="24"/>
              </w:rPr>
            </w:pPr>
            <w:r>
              <w:rPr>
                <w:rFonts w:hint="eastAsia" w:ascii="宋体" w:hAnsi="宋体" w:eastAsia="宋体" w:cs="宋体"/>
                <w:color w:val="000000"/>
                <w:sz w:val="24"/>
              </w:rPr>
              <w:t>红外高清网络摄像头</w:t>
            </w:r>
          </w:p>
        </w:tc>
        <w:tc>
          <w:tcPr>
            <w:tcW w:w="0" w:type="auto"/>
            <w:noWrap/>
            <w:vAlign w:val="center"/>
          </w:tcPr>
          <w:p w14:paraId="2DBA1ACD">
            <w:pPr>
              <w:widowControl/>
              <w:jc w:val="left"/>
              <w:rPr>
                <w:rFonts w:ascii="宋体" w:hAnsi="宋体" w:eastAsia="宋体" w:cs="宋体"/>
                <w:color w:val="000000"/>
                <w:kern w:val="0"/>
                <w:sz w:val="24"/>
              </w:rPr>
            </w:pPr>
            <w:r>
              <w:rPr>
                <w:rFonts w:hint="eastAsia" w:ascii="宋体" w:hAnsi="宋体" w:eastAsia="宋体" w:cs="宋体"/>
                <w:color w:val="000000"/>
                <w:sz w:val="24"/>
              </w:rPr>
              <w:t>1套</w:t>
            </w:r>
          </w:p>
        </w:tc>
      </w:tr>
      <w:tr w14:paraId="251C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6E761E25">
            <w:pPr>
              <w:pStyle w:val="17"/>
              <w:widowControl/>
              <w:numPr>
                <w:ilvl w:val="0"/>
                <w:numId w:val="2"/>
              </w:numPr>
              <w:ind w:firstLineChars="0"/>
              <w:jc w:val="left"/>
              <w:rPr>
                <w:rFonts w:ascii="宋体" w:hAnsi="宋体" w:eastAsia="宋体" w:cs="宋体"/>
                <w:color w:val="000000"/>
                <w:kern w:val="0"/>
                <w:sz w:val="24"/>
              </w:rPr>
            </w:pPr>
          </w:p>
        </w:tc>
        <w:tc>
          <w:tcPr>
            <w:tcW w:w="0" w:type="auto"/>
            <w:noWrap/>
            <w:vAlign w:val="center"/>
          </w:tcPr>
          <w:p w14:paraId="45230988">
            <w:pPr>
              <w:widowControl/>
              <w:jc w:val="left"/>
              <w:rPr>
                <w:rFonts w:ascii="宋体" w:hAnsi="宋体" w:eastAsia="宋体" w:cs="宋体"/>
                <w:color w:val="000000"/>
                <w:kern w:val="0"/>
                <w:sz w:val="24"/>
              </w:rPr>
            </w:pPr>
            <w:r>
              <w:rPr>
                <w:rFonts w:hint="eastAsia" w:ascii="宋体" w:hAnsi="宋体" w:eastAsia="宋体" w:cs="宋体"/>
                <w:color w:val="000000"/>
                <w:sz w:val="24"/>
              </w:rPr>
              <w:t>数字脑电采集软件</w:t>
            </w:r>
          </w:p>
        </w:tc>
        <w:tc>
          <w:tcPr>
            <w:tcW w:w="0" w:type="auto"/>
            <w:noWrap/>
            <w:vAlign w:val="center"/>
          </w:tcPr>
          <w:p w14:paraId="03AB4891">
            <w:pPr>
              <w:widowControl/>
              <w:jc w:val="left"/>
              <w:rPr>
                <w:rFonts w:ascii="宋体" w:hAnsi="宋体" w:eastAsia="宋体" w:cs="宋体"/>
                <w:color w:val="000000"/>
                <w:kern w:val="0"/>
                <w:sz w:val="24"/>
              </w:rPr>
            </w:pPr>
            <w:r>
              <w:rPr>
                <w:rFonts w:hint="eastAsia" w:ascii="宋体" w:hAnsi="宋体" w:eastAsia="宋体" w:cs="宋体"/>
                <w:color w:val="000000"/>
                <w:sz w:val="24"/>
              </w:rPr>
              <w:t>数字脑电采集记录软件</w:t>
            </w:r>
          </w:p>
        </w:tc>
        <w:tc>
          <w:tcPr>
            <w:tcW w:w="0" w:type="auto"/>
            <w:noWrap/>
            <w:vAlign w:val="center"/>
          </w:tcPr>
          <w:p w14:paraId="50C0DF50">
            <w:pPr>
              <w:widowControl/>
              <w:jc w:val="left"/>
              <w:rPr>
                <w:rFonts w:ascii="宋体" w:hAnsi="宋体" w:eastAsia="宋体" w:cs="宋体"/>
                <w:color w:val="000000"/>
                <w:kern w:val="0"/>
                <w:sz w:val="24"/>
              </w:rPr>
            </w:pPr>
            <w:r>
              <w:rPr>
                <w:rFonts w:hint="eastAsia" w:ascii="宋体" w:hAnsi="宋体" w:eastAsia="宋体" w:cs="宋体"/>
                <w:color w:val="000000"/>
                <w:sz w:val="24"/>
              </w:rPr>
              <w:t>1套</w:t>
            </w:r>
          </w:p>
        </w:tc>
      </w:tr>
      <w:tr w14:paraId="6F53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56E8BA88">
            <w:pPr>
              <w:pStyle w:val="17"/>
              <w:widowControl/>
              <w:numPr>
                <w:ilvl w:val="0"/>
                <w:numId w:val="2"/>
              </w:numPr>
              <w:ind w:firstLineChars="0"/>
              <w:jc w:val="left"/>
              <w:rPr>
                <w:rFonts w:ascii="宋体" w:hAnsi="宋体" w:eastAsia="宋体" w:cs="宋体"/>
                <w:color w:val="000000"/>
                <w:sz w:val="24"/>
              </w:rPr>
            </w:pPr>
          </w:p>
        </w:tc>
        <w:tc>
          <w:tcPr>
            <w:tcW w:w="0" w:type="auto"/>
            <w:noWrap/>
            <w:vAlign w:val="center"/>
          </w:tcPr>
          <w:p w14:paraId="25FC9EFF">
            <w:pPr>
              <w:widowControl/>
              <w:jc w:val="left"/>
              <w:rPr>
                <w:rFonts w:ascii="宋体" w:hAnsi="宋体" w:eastAsia="宋体" w:cs="宋体"/>
                <w:color w:val="000000"/>
                <w:sz w:val="24"/>
              </w:rPr>
            </w:pPr>
            <w:r>
              <w:rPr>
                <w:rFonts w:hint="eastAsia" w:ascii="宋体" w:hAnsi="宋体" w:eastAsia="宋体" w:cs="宋体"/>
                <w:color w:val="000000"/>
                <w:sz w:val="24"/>
              </w:rPr>
              <w:t>闪光刺激器</w:t>
            </w:r>
          </w:p>
        </w:tc>
        <w:tc>
          <w:tcPr>
            <w:tcW w:w="0" w:type="auto"/>
            <w:noWrap/>
            <w:vAlign w:val="center"/>
          </w:tcPr>
          <w:p w14:paraId="2D55A51E">
            <w:pPr>
              <w:widowControl/>
              <w:jc w:val="left"/>
              <w:rPr>
                <w:rFonts w:ascii="宋体" w:hAnsi="宋体" w:eastAsia="宋体" w:cs="宋体"/>
                <w:color w:val="000000"/>
                <w:sz w:val="24"/>
              </w:rPr>
            </w:pPr>
            <w:r>
              <w:rPr>
                <w:rFonts w:hint="eastAsia" w:ascii="宋体" w:hAnsi="宋体" w:eastAsia="宋体" w:cs="宋体"/>
                <w:color w:val="000000"/>
                <w:sz w:val="24"/>
              </w:rPr>
              <w:t>对患者进行闪光刺激诱发试验</w:t>
            </w:r>
          </w:p>
        </w:tc>
        <w:tc>
          <w:tcPr>
            <w:tcW w:w="0" w:type="auto"/>
            <w:noWrap/>
            <w:vAlign w:val="center"/>
          </w:tcPr>
          <w:p w14:paraId="613F27EE">
            <w:pPr>
              <w:widowControl/>
              <w:jc w:val="left"/>
              <w:rPr>
                <w:rFonts w:ascii="宋体" w:hAnsi="宋体" w:eastAsia="宋体" w:cs="宋体"/>
                <w:color w:val="000000"/>
                <w:sz w:val="24"/>
              </w:rPr>
            </w:pPr>
            <w:r>
              <w:rPr>
                <w:rFonts w:hint="eastAsia" w:ascii="宋体" w:hAnsi="宋体" w:eastAsia="宋体" w:cs="宋体"/>
                <w:color w:val="000000"/>
                <w:sz w:val="24"/>
              </w:rPr>
              <w:t>1套</w:t>
            </w:r>
          </w:p>
        </w:tc>
      </w:tr>
      <w:tr w14:paraId="4514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45A463B9">
            <w:pPr>
              <w:pStyle w:val="17"/>
              <w:widowControl/>
              <w:numPr>
                <w:ilvl w:val="0"/>
                <w:numId w:val="2"/>
              </w:numPr>
              <w:ind w:firstLineChars="0"/>
              <w:jc w:val="left"/>
              <w:rPr>
                <w:rFonts w:ascii="宋体" w:hAnsi="宋体" w:eastAsia="宋体" w:cs="宋体"/>
                <w:color w:val="000000"/>
                <w:kern w:val="0"/>
                <w:sz w:val="24"/>
              </w:rPr>
            </w:pPr>
          </w:p>
        </w:tc>
        <w:tc>
          <w:tcPr>
            <w:tcW w:w="0" w:type="auto"/>
            <w:noWrap/>
            <w:vAlign w:val="center"/>
          </w:tcPr>
          <w:p w14:paraId="716A3B1F">
            <w:pPr>
              <w:widowControl/>
              <w:jc w:val="left"/>
              <w:rPr>
                <w:rFonts w:ascii="宋体" w:hAnsi="宋体" w:eastAsia="宋体" w:cs="宋体"/>
                <w:color w:val="000000"/>
                <w:kern w:val="0"/>
                <w:sz w:val="24"/>
              </w:rPr>
            </w:pPr>
            <w:r>
              <w:rPr>
                <w:rFonts w:hint="eastAsia" w:ascii="宋体" w:hAnsi="宋体" w:eastAsia="宋体" w:cs="宋体"/>
                <w:color w:val="000000"/>
                <w:sz w:val="24"/>
              </w:rPr>
              <w:t>医用安全电源适配器</w:t>
            </w:r>
          </w:p>
        </w:tc>
        <w:tc>
          <w:tcPr>
            <w:tcW w:w="0" w:type="auto"/>
            <w:noWrap/>
            <w:vAlign w:val="center"/>
          </w:tcPr>
          <w:p w14:paraId="16C951AC">
            <w:pPr>
              <w:widowControl/>
              <w:jc w:val="left"/>
              <w:rPr>
                <w:rFonts w:ascii="宋体" w:hAnsi="宋体" w:eastAsia="宋体" w:cs="宋体"/>
                <w:color w:val="000000"/>
                <w:kern w:val="0"/>
                <w:sz w:val="24"/>
              </w:rPr>
            </w:pPr>
            <w:r>
              <w:rPr>
                <w:rFonts w:hint="eastAsia" w:ascii="宋体" w:hAnsi="宋体" w:eastAsia="宋体" w:cs="宋体"/>
                <w:color w:val="000000"/>
                <w:sz w:val="24"/>
              </w:rPr>
              <w:t>医用安全电源适配器</w:t>
            </w:r>
          </w:p>
        </w:tc>
        <w:tc>
          <w:tcPr>
            <w:tcW w:w="0" w:type="auto"/>
            <w:noWrap/>
            <w:vAlign w:val="center"/>
          </w:tcPr>
          <w:p w14:paraId="2F1F5BE2">
            <w:pPr>
              <w:widowControl/>
              <w:jc w:val="left"/>
              <w:rPr>
                <w:rFonts w:ascii="宋体" w:hAnsi="宋体" w:eastAsia="宋体" w:cs="宋体"/>
                <w:color w:val="000000"/>
                <w:kern w:val="0"/>
                <w:sz w:val="24"/>
              </w:rPr>
            </w:pPr>
            <w:r>
              <w:rPr>
                <w:rFonts w:hint="eastAsia" w:ascii="宋体" w:hAnsi="宋体" w:eastAsia="宋体" w:cs="宋体"/>
                <w:color w:val="000000"/>
                <w:sz w:val="24"/>
              </w:rPr>
              <w:t>1套</w:t>
            </w:r>
          </w:p>
        </w:tc>
      </w:tr>
      <w:tr w14:paraId="30EE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51D86A5C">
            <w:pPr>
              <w:pStyle w:val="17"/>
              <w:widowControl/>
              <w:numPr>
                <w:ilvl w:val="0"/>
                <w:numId w:val="2"/>
              </w:numPr>
              <w:ind w:firstLineChars="0"/>
              <w:jc w:val="left"/>
              <w:rPr>
                <w:rFonts w:ascii="宋体" w:hAnsi="宋体" w:eastAsia="宋体" w:cs="宋体"/>
                <w:color w:val="000000"/>
                <w:kern w:val="0"/>
                <w:sz w:val="24"/>
              </w:rPr>
            </w:pPr>
          </w:p>
        </w:tc>
        <w:tc>
          <w:tcPr>
            <w:tcW w:w="0" w:type="auto"/>
            <w:noWrap/>
            <w:vAlign w:val="center"/>
          </w:tcPr>
          <w:p w14:paraId="37A97E83">
            <w:pPr>
              <w:widowControl/>
              <w:jc w:val="left"/>
              <w:rPr>
                <w:rFonts w:ascii="宋体" w:hAnsi="宋体" w:eastAsia="宋体" w:cs="宋体"/>
                <w:color w:val="000000"/>
                <w:kern w:val="0"/>
                <w:sz w:val="24"/>
              </w:rPr>
            </w:pPr>
            <w:r>
              <w:rPr>
                <w:rFonts w:hint="eastAsia" w:ascii="宋体" w:hAnsi="宋体" w:eastAsia="宋体" w:cs="宋体"/>
                <w:color w:val="000000"/>
                <w:sz w:val="24"/>
              </w:rPr>
              <w:t>事件按键</w:t>
            </w:r>
          </w:p>
        </w:tc>
        <w:tc>
          <w:tcPr>
            <w:tcW w:w="0" w:type="auto"/>
            <w:noWrap/>
            <w:vAlign w:val="center"/>
          </w:tcPr>
          <w:p w14:paraId="34AAE9F6">
            <w:pPr>
              <w:widowControl/>
              <w:jc w:val="left"/>
              <w:rPr>
                <w:rFonts w:ascii="宋体" w:hAnsi="宋体" w:eastAsia="宋体" w:cs="宋体"/>
                <w:color w:val="000000"/>
                <w:kern w:val="0"/>
                <w:sz w:val="24"/>
              </w:rPr>
            </w:pPr>
            <w:r>
              <w:rPr>
                <w:rFonts w:hint="eastAsia" w:ascii="宋体" w:hAnsi="宋体" w:eastAsia="宋体" w:cs="宋体"/>
                <w:color w:val="000000"/>
                <w:sz w:val="24"/>
              </w:rPr>
              <w:t>对发作事件进行标记</w:t>
            </w:r>
          </w:p>
        </w:tc>
        <w:tc>
          <w:tcPr>
            <w:tcW w:w="0" w:type="auto"/>
            <w:noWrap/>
            <w:vAlign w:val="center"/>
          </w:tcPr>
          <w:p w14:paraId="395C5642">
            <w:pPr>
              <w:widowControl/>
              <w:jc w:val="left"/>
              <w:rPr>
                <w:rFonts w:ascii="宋体" w:hAnsi="宋体" w:eastAsia="宋体" w:cs="宋体"/>
                <w:color w:val="000000"/>
                <w:kern w:val="0"/>
                <w:sz w:val="24"/>
              </w:rPr>
            </w:pPr>
            <w:r>
              <w:rPr>
                <w:rFonts w:hint="eastAsia" w:ascii="宋体" w:hAnsi="宋体" w:eastAsia="宋体" w:cs="宋体"/>
                <w:color w:val="000000"/>
                <w:sz w:val="24"/>
              </w:rPr>
              <w:t>1个</w:t>
            </w:r>
          </w:p>
        </w:tc>
      </w:tr>
      <w:tr w14:paraId="475A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2F8A5D08">
            <w:pPr>
              <w:pStyle w:val="17"/>
              <w:widowControl/>
              <w:numPr>
                <w:ilvl w:val="0"/>
                <w:numId w:val="2"/>
              </w:numPr>
              <w:ind w:firstLineChars="0"/>
              <w:jc w:val="left"/>
              <w:rPr>
                <w:rFonts w:ascii="宋体" w:hAnsi="宋体" w:eastAsia="宋体" w:cs="宋体"/>
                <w:color w:val="000000"/>
                <w:kern w:val="0"/>
                <w:sz w:val="24"/>
              </w:rPr>
            </w:pPr>
          </w:p>
        </w:tc>
        <w:tc>
          <w:tcPr>
            <w:tcW w:w="0" w:type="auto"/>
            <w:noWrap/>
            <w:vAlign w:val="center"/>
          </w:tcPr>
          <w:p w14:paraId="1D4D7932">
            <w:pPr>
              <w:widowControl/>
              <w:jc w:val="left"/>
              <w:rPr>
                <w:rFonts w:ascii="宋体" w:hAnsi="宋体" w:eastAsia="宋体" w:cs="宋体"/>
                <w:color w:val="000000"/>
                <w:kern w:val="0"/>
                <w:sz w:val="24"/>
              </w:rPr>
            </w:pPr>
            <w:r>
              <w:rPr>
                <w:rFonts w:hint="eastAsia" w:ascii="宋体" w:hAnsi="宋体" w:eastAsia="宋体" w:cs="宋体"/>
                <w:color w:val="000000"/>
                <w:sz w:val="24"/>
              </w:rPr>
              <w:t>网线</w:t>
            </w:r>
          </w:p>
        </w:tc>
        <w:tc>
          <w:tcPr>
            <w:tcW w:w="0" w:type="auto"/>
            <w:noWrap/>
            <w:vAlign w:val="center"/>
          </w:tcPr>
          <w:p w14:paraId="7C6337C0">
            <w:pPr>
              <w:widowControl/>
              <w:jc w:val="left"/>
              <w:rPr>
                <w:rFonts w:ascii="宋体" w:hAnsi="宋体" w:eastAsia="宋体" w:cs="宋体"/>
                <w:color w:val="000000"/>
                <w:kern w:val="0"/>
                <w:sz w:val="24"/>
              </w:rPr>
            </w:pPr>
            <w:r>
              <w:rPr>
                <w:rFonts w:hint="eastAsia" w:ascii="宋体" w:hAnsi="宋体" w:eastAsia="宋体" w:cs="宋体"/>
                <w:color w:val="000000"/>
                <w:sz w:val="24"/>
              </w:rPr>
              <w:t>连接主机和采集工作站</w:t>
            </w:r>
          </w:p>
        </w:tc>
        <w:tc>
          <w:tcPr>
            <w:tcW w:w="0" w:type="auto"/>
            <w:noWrap/>
            <w:vAlign w:val="center"/>
          </w:tcPr>
          <w:p w14:paraId="1CCD442A">
            <w:pPr>
              <w:widowControl/>
              <w:jc w:val="left"/>
              <w:rPr>
                <w:rFonts w:ascii="宋体" w:hAnsi="宋体" w:eastAsia="宋体" w:cs="宋体"/>
                <w:color w:val="000000"/>
                <w:kern w:val="0"/>
                <w:sz w:val="24"/>
              </w:rPr>
            </w:pPr>
            <w:r>
              <w:rPr>
                <w:rFonts w:hint="eastAsia" w:ascii="宋体" w:hAnsi="宋体" w:eastAsia="宋体" w:cs="宋体"/>
                <w:color w:val="000000"/>
                <w:sz w:val="24"/>
              </w:rPr>
              <w:t>1根</w:t>
            </w:r>
          </w:p>
        </w:tc>
      </w:tr>
      <w:tr w14:paraId="4F9B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0AD893D4">
            <w:pPr>
              <w:pStyle w:val="17"/>
              <w:widowControl/>
              <w:numPr>
                <w:ilvl w:val="0"/>
                <w:numId w:val="2"/>
              </w:numPr>
              <w:ind w:firstLineChars="0"/>
              <w:jc w:val="left"/>
              <w:rPr>
                <w:rFonts w:ascii="宋体" w:hAnsi="宋体" w:eastAsia="宋体" w:cs="宋体"/>
                <w:color w:val="000000"/>
                <w:sz w:val="24"/>
              </w:rPr>
            </w:pPr>
          </w:p>
        </w:tc>
        <w:tc>
          <w:tcPr>
            <w:tcW w:w="0" w:type="auto"/>
            <w:noWrap/>
            <w:vAlign w:val="center"/>
          </w:tcPr>
          <w:p w14:paraId="64E9BA33">
            <w:pPr>
              <w:widowControl/>
              <w:jc w:val="left"/>
              <w:rPr>
                <w:rFonts w:ascii="宋体" w:hAnsi="宋体" w:eastAsia="宋体" w:cs="宋体"/>
                <w:color w:val="000000"/>
                <w:sz w:val="24"/>
              </w:rPr>
            </w:pPr>
            <w:r>
              <w:rPr>
                <w:rFonts w:hint="eastAsia" w:ascii="宋体" w:hAnsi="宋体" w:eastAsia="宋体" w:cs="宋体"/>
                <w:sz w:val="24"/>
              </w:rPr>
              <w:t>盘状电极</w:t>
            </w:r>
          </w:p>
        </w:tc>
        <w:tc>
          <w:tcPr>
            <w:tcW w:w="0" w:type="auto"/>
            <w:noWrap/>
            <w:vAlign w:val="center"/>
          </w:tcPr>
          <w:p w14:paraId="77DD59B4">
            <w:pPr>
              <w:widowControl/>
              <w:jc w:val="left"/>
              <w:rPr>
                <w:rFonts w:ascii="宋体" w:hAnsi="宋体" w:eastAsia="宋体" w:cs="宋体"/>
                <w:color w:val="000000"/>
                <w:sz w:val="24"/>
              </w:rPr>
            </w:pPr>
            <w:r>
              <w:rPr>
                <w:rFonts w:hint="eastAsia" w:ascii="宋体" w:hAnsi="宋体" w:eastAsia="宋体" w:cs="宋体"/>
                <w:sz w:val="24"/>
              </w:rPr>
              <w:t>Ag/AgCl盘状电极线</w:t>
            </w:r>
          </w:p>
        </w:tc>
        <w:tc>
          <w:tcPr>
            <w:tcW w:w="0" w:type="auto"/>
            <w:noWrap/>
            <w:vAlign w:val="center"/>
          </w:tcPr>
          <w:p w14:paraId="6971149D">
            <w:pPr>
              <w:widowControl/>
              <w:jc w:val="left"/>
              <w:rPr>
                <w:rFonts w:ascii="宋体" w:hAnsi="宋体" w:eastAsia="宋体" w:cs="宋体"/>
                <w:color w:val="000000"/>
                <w:sz w:val="24"/>
              </w:rPr>
            </w:pPr>
            <w:r>
              <w:rPr>
                <w:rFonts w:hint="eastAsia" w:ascii="宋体" w:hAnsi="宋体" w:eastAsia="宋体" w:cs="宋体"/>
                <w:sz w:val="24"/>
              </w:rPr>
              <w:t>4包（12根/包）</w:t>
            </w:r>
          </w:p>
        </w:tc>
      </w:tr>
      <w:tr w14:paraId="7C0A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310E36BD">
            <w:pPr>
              <w:pStyle w:val="17"/>
              <w:widowControl/>
              <w:numPr>
                <w:ilvl w:val="0"/>
                <w:numId w:val="2"/>
              </w:numPr>
              <w:ind w:firstLineChars="0"/>
              <w:jc w:val="left"/>
              <w:rPr>
                <w:rFonts w:ascii="宋体" w:hAnsi="宋体" w:eastAsia="宋体" w:cs="宋体"/>
                <w:color w:val="000000"/>
                <w:sz w:val="24"/>
              </w:rPr>
            </w:pPr>
          </w:p>
        </w:tc>
        <w:tc>
          <w:tcPr>
            <w:tcW w:w="0" w:type="auto"/>
            <w:noWrap/>
            <w:vAlign w:val="center"/>
          </w:tcPr>
          <w:p w14:paraId="063BB2F4">
            <w:pPr>
              <w:widowControl/>
              <w:jc w:val="left"/>
              <w:rPr>
                <w:rFonts w:ascii="宋体" w:hAnsi="宋体" w:eastAsia="宋体" w:cs="宋体"/>
                <w:color w:val="000000"/>
                <w:sz w:val="24"/>
              </w:rPr>
            </w:pPr>
            <w:r>
              <w:rPr>
                <w:rFonts w:hint="eastAsia" w:ascii="宋体" w:hAnsi="宋体" w:eastAsia="宋体" w:cs="宋体"/>
                <w:sz w:val="24"/>
              </w:rPr>
              <w:t>导电膏</w:t>
            </w:r>
          </w:p>
        </w:tc>
        <w:tc>
          <w:tcPr>
            <w:tcW w:w="0" w:type="auto"/>
            <w:noWrap/>
            <w:vAlign w:val="center"/>
          </w:tcPr>
          <w:p w14:paraId="2883C148">
            <w:pPr>
              <w:widowControl/>
              <w:jc w:val="left"/>
              <w:rPr>
                <w:rFonts w:ascii="宋体" w:hAnsi="宋体" w:eastAsia="宋体" w:cs="宋体"/>
                <w:color w:val="000000"/>
                <w:sz w:val="24"/>
              </w:rPr>
            </w:pPr>
            <w:r>
              <w:rPr>
                <w:rFonts w:hint="eastAsia" w:ascii="宋体" w:hAnsi="宋体" w:eastAsia="宋体" w:cs="宋体"/>
                <w:sz w:val="24"/>
              </w:rPr>
              <w:t>医用导电膏</w:t>
            </w:r>
          </w:p>
        </w:tc>
        <w:tc>
          <w:tcPr>
            <w:tcW w:w="0" w:type="auto"/>
            <w:noWrap/>
            <w:vAlign w:val="center"/>
          </w:tcPr>
          <w:p w14:paraId="03ECD97E">
            <w:pPr>
              <w:widowControl/>
              <w:jc w:val="left"/>
              <w:rPr>
                <w:rFonts w:ascii="宋体" w:hAnsi="宋体" w:eastAsia="宋体" w:cs="宋体"/>
                <w:color w:val="000000"/>
                <w:sz w:val="24"/>
              </w:rPr>
            </w:pPr>
            <w:r>
              <w:rPr>
                <w:rFonts w:hint="eastAsia" w:ascii="宋体" w:hAnsi="宋体" w:eastAsia="宋体" w:cs="宋体"/>
                <w:sz w:val="24"/>
              </w:rPr>
              <w:t>1瓶</w:t>
            </w:r>
          </w:p>
        </w:tc>
      </w:tr>
      <w:tr w14:paraId="0AD5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6E9B262E">
            <w:pPr>
              <w:pStyle w:val="17"/>
              <w:widowControl/>
              <w:numPr>
                <w:ilvl w:val="0"/>
                <w:numId w:val="2"/>
              </w:numPr>
              <w:ind w:firstLineChars="0"/>
              <w:jc w:val="left"/>
              <w:rPr>
                <w:rFonts w:ascii="宋体" w:hAnsi="宋体" w:eastAsia="宋体" w:cs="宋体"/>
                <w:color w:val="000000"/>
                <w:sz w:val="24"/>
              </w:rPr>
            </w:pPr>
          </w:p>
        </w:tc>
        <w:tc>
          <w:tcPr>
            <w:tcW w:w="0" w:type="auto"/>
            <w:noWrap/>
            <w:vAlign w:val="center"/>
          </w:tcPr>
          <w:p w14:paraId="3535A214">
            <w:pPr>
              <w:widowControl/>
              <w:jc w:val="left"/>
              <w:rPr>
                <w:rFonts w:ascii="宋体" w:hAnsi="宋体" w:eastAsia="宋体" w:cs="宋体"/>
                <w:color w:val="000000"/>
                <w:sz w:val="24"/>
              </w:rPr>
            </w:pPr>
            <w:r>
              <w:rPr>
                <w:rFonts w:hint="eastAsia" w:ascii="宋体" w:hAnsi="宋体" w:eastAsia="宋体" w:cs="宋体"/>
                <w:sz w:val="24"/>
              </w:rPr>
              <w:t>导电（磨砂）膏</w:t>
            </w:r>
          </w:p>
        </w:tc>
        <w:tc>
          <w:tcPr>
            <w:tcW w:w="0" w:type="auto"/>
            <w:noWrap/>
            <w:vAlign w:val="center"/>
          </w:tcPr>
          <w:p w14:paraId="2369A022">
            <w:pPr>
              <w:widowControl/>
              <w:jc w:val="left"/>
              <w:rPr>
                <w:rFonts w:ascii="宋体" w:hAnsi="宋体" w:eastAsia="宋体" w:cs="宋体"/>
                <w:color w:val="000000"/>
                <w:sz w:val="24"/>
              </w:rPr>
            </w:pPr>
            <w:r>
              <w:rPr>
                <w:rFonts w:hint="eastAsia" w:ascii="宋体" w:hAnsi="宋体" w:eastAsia="宋体" w:cs="宋体"/>
                <w:sz w:val="24"/>
              </w:rPr>
              <w:t>医用磨砂导电膏</w:t>
            </w:r>
          </w:p>
        </w:tc>
        <w:tc>
          <w:tcPr>
            <w:tcW w:w="0" w:type="auto"/>
            <w:noWrap/>
            <w:vAlign w:val="center"/>
          </w:tcPr>
          <w:p w14:paraId="32093D77">
            <w:pPr>
              <w:widowControl/>
              <w:jc w:val="left"/>
              <w:rPr>
                <w:rFonts w:ascii="宋体" w:hAnsi="宋体" w:eastAsia="宋体" w:cs="宋体"/>
                <w:color w:val="000000"/>
                <w:sz w:val="24"/>
              </w:rPr>
            </w:pPr>
            <w:r>
              <w:rPr>
                <w:rFonts w:hint="eastAsia" w:ascii="宋体" w:hAnsi="宋体" w:eastAsia="宋体" w:cs="宋体"/>
                <w:sz w:val="24"/>
              </w:rPr>
              <w:t>1瓶</w:t>
            </w:r>
          </w:p>
        </w:tc>
      </w:tr>
      <w:tr w14:paraId="51F4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7394AE89">
            <w:pPr>
              <w:pStyle w:val="17"/>
              <w:widowControl/>
              <w:numPr>
                <w:ilvl w:val="0"/>
                <w:numId w:val="2"/>
              </w:numPr>
              <w:ind w:firstLineChars="0"/>
              <w:jc w:val="left"/>
              <w:rPr>
                <w:rFonts w:ascii="宋体" w:hAnsi="宋体" w:eastAsia="宋体" w:cs="宋体"/>
                <w:color w:val="000000"/>
                <w:kern w:val="0"/>
                <w:sz w:val="24"/>
              </w:rPr>
            </w:pPr>
          </w:p>
        </w:tc>
        <w:tc>
          <w:tcPr>
            <w:tcW w:w="0" w:type="auto"/>
            <w:noWrap/>
            <w:vAlign w:val="center"/>
          </w:tcPr>
          <w:p w14:paraId="3BF00359">
            <w:pPr>
              <w:widowControl/>
              <w:jc w:val="left"/>
              <w:rPr>
                <w:rFonts w:ascii="宋体" w:hAnsi="宋体" w:eastAsia="宋体" w:cs="宋体"/>
                <w:color w:val="000000"/>
                <w:kern w:val="0"/>
                <w:sz w:val="24"/>
              </w:rPr>
            </w:pPr>
            <w:r>
              <w:rPr>
                <w:rFonts w:hint="eastAsia" w:ascii="宋体" w:hAnsi="宋体" w:eastAsia="宋体" w:cs="宋体"/>
                <w:color w:val="000000"/>
                <w:sz w:val="24"/>
              </w:rPr>
              <w:t>产品说明书</w:t>
            </w:r>
          </w:p>
        </w:tc>
        <w:tc>
          <w:tcPr>
            <w:tcW w:w="0" w:type="auto"/>
            <w:noWrap/>
            <w:vAlign w:val="center"/>
          </w:tcPr>
          <w:p w14:paraId="687A79E7">
            <w:pPr>
              <w:widowControl/>
              <w:jc w:val="left"/>
              <w:rPr>
                <w:rFonts w:ascii="宋体" w:hAnsi="宋体" w:eastAsia="宋体" w:cs="宋体"/>
                <w:color w:val="000000"/>
                <w:kern w:val="0"/>
                <w:sz w:val="24"/>
              </w:rPr>
            </w:pPr>
            <w:r>
              <w:rPr>
                <w:rFonts w:hint="eastAsia" w:ascii="宋体" w:hAnsi="宋体" w:eastAsia="宋体" w:cs="宋体"/>
                <w:color w:val="000000"/>
                <w:sz w:val="24"/>
              </w:rPr>
              <w:t>用户手册</w:t>
            </w:r>
          </w:p>
        </w:tc>
        <w:tc>
          <w:tcPr>
            <w:tcW w:w="0" w:type="auto"/>
            <w:noWrap/>
            <w:vAlign w:val="center"/>
          </w:tcPr>
          <w:p w14:paraId="0F8BA612">
            <w:pPr>
              <w:widowControl/>
              <w:jc w:val="left"/>
              <w:rPr>
                <w:rFonts w:ascii="宋体" w:hAnsi="宋体" w:eastAsia="宋体" w:cs="宋体"/>
                <w:color w:val="000000"/>
                <w:kern w:val="0"/>
                <w:sz w:val="24"/>
              </w:rPr>
            </w:pPr>
            <w:r>
              <w:rPr>
                <w:rFonts w:hint="eastAsia" w:ascii="宋体" w:hAnsi="宋体" w:eastAsia="宋体" w:cs="宋体"/>
                <w:color w:val="000000"/>
                <w:sz w:val="24"/>
              </w:rPr>
              <w:t>1本</w:t>
            </w:r>
          </w:p>
        </w:tc>
      </w:tr>
      <w:tr w14:paraId="2F96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55437F30">
            <w:pPr>
              <w:pStyle w:val="17"/>
              <w:widowControl/>
              <w:numPr>
                <w:ilvl w:val="0"/>
                <w:numId w:val="2"/>
              </w:numPr>
              <w:ind w:firstLineChars="0"/>
              <w:jc w:val="left"/>
              <w:rPr>
                <w:rFonts w:ascii="宋体" w:hAnsi="宋体" w:eastAsia="宋体" w:cs="宋体"/>
                <w:color w:val="000000"/>
                <w:kern w:val="0"/>
                <w:sz w:val="24"/>
              </w:rPr>
            </w:pPr>
          </w:p>
        </w:tc>
        <w:tc>
          <w:tcPr>
            <w:tcW w:w="0" w:type="auto"/>
            <w:noWrap/>
            <w:vAlign w:val="center"/>
          </w:tcPr>
          <w:p w14:paraId="68A8D1F6">
            <w:pPr>
              <w:widowControl/>
              <w:jc w:val="left"/>
              <w:rPr>
                <w:rFonts w:ascii="宋体" w:hAnsi="宋体" w:eastAsia="宋体" w:cs="宋体"/>
                <w:color w:val="000000"/>
                <w:kern w:val="0"/>
                <w:sz w:val="24"/>
              </w:rPr>
            </w:pPr>
            <w:r>
              <w:rPr>
                <w:rFonts w:hint="eastAsia" w:ascii="宋体" w:hAnsi="宋体" w:eastAsia="宋体" w:cs="宋体"/>
                <w:color w:val="000000"/>
                <w:sz w:val="24"/>
              </w:rPr>
              <w:t>保修卡</w:t>
            </w:r>
          </w:p>
        </w:tc>
        <w:tc>
          <w:tcPr>
            <w:tcW w:w="0" w:type="auto"/>
            <w:noWrap/>
            <w:vAlign w:val="center"/>
          </w:tcPr>
          <w:p w14:paraId="00D74683">
            <w:pPr>
              <w:widowControl/>
              <w:jc w:val="left"/>
              <w:rPr>
                <w:rFonts w:ascii="宋体" w:hAnsi="宋体" w:eastAsia="宋体" w:cs="宋体"/>
                <w:color w:val="000000"/>
                <w:kern w:val="0"/>
                <w:sz w:val="24"/>
              </w:rPr>
            </w:pPr>
            <w:r>
              <w:rPr>
                <w:rFonts w:hint="eastAsia" w:ascii="宋体" w:hAnsi="宋体" w:eastAsia="宋体" w:cs="宋体"/>
                <w:color w:val="000000"/>
                <w:sz w:val="24"/>
              </w:rPr>
              <w:t>保修卡</w:t>
            </w:r>
          </w:p>
        </w:tc>
        <w:tc>
          <w:tcPr>
            <w:tcW w:w="0" w:type="auto"/>
            <w:noWrap/>
            <w:vAlign w:val="center"/>
          </w:tcPr>
          <w:p w14:paraId="67CD7BAD">
            <w:pPr>
              <w:widowControl/>
              <w:jc w:val="left"/>
              <w:rPr>
                <w:rFonts w:ascii="宋体" w:hAnsi="宋体" w:eastAsia="宋体" w:cs="宋体"/>
                <w:color w:val="000000"/>
                <w:kern w:val="0"/>
                <w:sz w:val="24"/>
              </w:rPr>
            </w:pPr>
            <w:r>
              <w:rPr>
                <w:rFonts w:hint="eastAsia" w:ascii="宋体" w:hAnsi="宋体" w:eastAsia="宋体" w:cs="宋体"/>
                <w:color w:val="000000"/>
                <w:sz w:val="24"/>
              </w:rPr>
              <w:t>1张</w:t>
            </w:r>
          </w:p>
        </w:tc>
      </w:tr>
      <w:tr w14:paraId="4CE6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302AD902">
            <w:pPr>
              <w:pStyle w:val="17"/>
              <w:widowControl/>
              <w:numPr>
                <w:ilvl w:val="0"/>
                <w:numId w:val="2"/>
              </w:numPr>
              <w:ind w:firstLineChars="0"/>
              <w:jc w:val="left"/>
              <w:rPr>
                <w:rFonts w:ascii="宋体" w:hAnsi="宋体" w:eastAsia="宋体" w:cs="宋体"/>
                <w:color w:val="000000"/>
                <w:kern w:val="0"/>
                <w:sz w:val="24"/>
              </w:rPr>
            </w:pPr>
          </w:p>
        </w:tc>
        <w:tc>
          <w:tcPr>
            <w:tcW w:w="0" w:type="auto"/>
            <w:noWrap/>
            <w:vAlign w:val="center"/>
          </w:tcPr>
          <w:p w14:paraId="13F179F5">
            <w:pPr>
              <w:widowControl/>
              <w:jc w:val="left"/>
              <w:rPr>
                <w:rFonts w:ascii="宋体" w:hAnsi="宋体" w:eastAsia="宋体" w:cs="宋体"/>
                <w:color w:val="000000"/>
                <w:kern w:val="0"/>
                <w:sz w:val="24"/>
              </w:rPr>
            </w:pPr>
            <w:r>
              <w:rPr>
                <w:rFonts w:hint="eastAsia" w:ascii="宋体" w:hAnsi="宋体" w:eastAsia="宋体" w:cs="宋体"/>
                <w:color w:val="000000"/>
                <w:sz w:val="24"/>
              </w:rPr>
              <w:t>合格证</w:t>
            </w:r>
          </w:p>
        </w:tc>
        <w:tc>
          <w:tcPr>
            <w:tcW w:w="0" w:type="auto"/>
            <w:noWrap/>
            <w:vAlign w:val="center"/>
          </w:tcPr>
          <w:p w14:paraId="55B0D667">
            <w:pPr>
              <w:widowControl/>
              <w:jc w:val="left"/>
              <w:rPr>
                <w:rFonts w:ascii="宋体" w:hAnsi="宋体" w:eastAsia="宋体" w:cs="宋体"/>
                <w:color w:val="000000"/>
                <w:kern w:val="0"/>
                <w:sz w:val="24"/>
              </w:rPr>
            </w:pPr>
            <w:r>
              <w:rPr>
                <w:rFonts w:hint="eastAsia" w:ascii="宋体" w:hAnsi="宋体" w:eastAsia="宋体" w:cs="宋体"/>
                <w:color w:val="000000"/>
                <w:sz w:val="24"/>
              </w:rPr>
              <w:t>合格证</w:t>
            </w:r>
          </w:p>
        </w:tc>
        <w:tc>
          <w:tcPr>
            <w:tcW w:w="0" w:type="auto"/>
            <w:noWrap/>
            <w:vAlign w:val="center"/>
          </w:tcPr>
          <w:p w14:paraId="1E223CE5">
            <w:pPr>
              <w:widowControl/>
              <w:jc w:val="left"/>
              <w:rPr>
                <w:rFonts w:ascii="宋体" w:hAnsi="宋体" w:eastAsia="宋体" w:cs="宋体"/>
                <w:color w:val="000000"/>
                <w:kern w:val="0"/>
                <w:sz w:val="24"/>
              </w:rPr>
            </w:pPr>
            <w:r>
              <w:rPr>
                <w:rFonts w:hint="eastAsia" w:ascii="宋体" w:hAnsi="宋体" w:eastAsia="宋体" w:cs="宋体"/>
                <w:color w:val="000000"/>
                <w:sz w:val="24"/>
              </w:rPr>
              <w:t>1张</w:t>
            </w:r>
          </w:p>
        </w:tc>
      </w:tr>
      <w:tr w14:paraId="0670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ign w:val="center"/>
          </w:tcPr>
          <w:p w14:paraId="250112E5">
            <w:pPr>
              <w:pStyle w:val="17"/>
              <w:widowControl/>
              <w:numPr>
                <w:ilvl w:val="0"/>
                <w:numId w:val="2"/>
              </w:numPr>
              <w:ind w:firstLineChars="0"/>
              <w:jc w:val="left"/>
              <w:rPr>
                <w:rFonts w:ascii="宋体" w:hAnsi="宋体" w:eastAsia="宋体" w:cs="宋体"/>
                <w:color w:val="000000"/>
                <w:kern w:val="0"/>
                <w:sz w:val="24"/>
              </w:rPr>
            </w:pPr>
          </w:p>
        </w:tc>
        <w:tc>
          <w:tcPr>
            <w:tcW w:w="0" w:type="auto"/>
            <w:noWrap/>
            <w:vAlign w:val="center"/>
          </w:tcPr>
          <w:p w14:paraId="3E73AE27">
            <w:pPr>
              <w:widowControl/>
              <w:jc w:val="left"/>
              <w:rPr>
                <w:rFonts w:ascii="宋体" w:hAnsi="宋体" w:eastAsia="宋体" w:cs="宋体"/>
                <w:color w:val="000000"/>
                <w:sz w:val="24"/>
              </w:rPr>
            </w:pPr>
            <w:r>
              <w:rPr>
                <w:rFonts w:hint="eastAsia" w:ascii="宋体" w:hAnsi="宋体" w:eastAsia="宋体" w:cs="宋体"/>
                <w:color w:val="000000"/>
                <w:sz w:val="24"/>
              </w:rPr>
              <w:t>远程会诊工作站</w:t>
            </w:r>
          </w:p>
        </w:tc>
        <w:tc>
          <w:tcPr>
            <w:tcW w:w="0" w:type="auto"/>
            <w:noWrap/>
            <w:vAlign w:val="center"/>
          </w:tcPr>
          <w:p w14:paraId="687E283F">
            <w:pPr>
              <w:widowControl/>
              <w:jc w:val="left"/>
              <w:rPr>
                <w:rFonts w:ascii="宋体" w:hAnsi="宋体" w:eastAsia="宋体" w:cs="宋体"/>
                <w:color w:val="000000"/>
                <w:sz w:val="24"/>
              </w:rPr>
            </w:pPr>
            <w:r>
              <w:rPr>
                <w:rFonts w:hint="eastAsia" w:ascii="宋体" w:hAnsi="宋体" w:eastAsia="宋体" w:cs="宋体"/>
                <w:color w:val="000000"/>
                <w:sz w:val="24"/>
              </w:rPr>
              <w:t>远程会诊、阅图、报告</w:t>
            </w:r>
          </w:p>
        </w:tc>
        <w:tc>
          <w:tcPr>
            <w:tcW w:w="0" w:type="auto"/>
            <w:noWrap/>
            <w:vAlign w:val="center"/>
          </w:tcPr>
          <w:p w14:paraId="54F06B33">
            <w:pPr>
              <w:widowControl/>
              <w:jc w:val="left"/>
              <w:rPr>
                <w:rFonts w:ascii="宋体" w:hAnsi="宋体" w:eastAsia="宋体" w:cs="宋体"/>
                <w:color w:val="000000"/>
                <w:sz w:val="24"/>
              </w:rPr>
            </w:pPr>
            <w:r>
              <w:rPr>
                <w:rFonts w:hint="eastAsia" w:ascii="宋体" w:hAnsi="宋体" w:eastAsia="宋体" w:cs="宋体"/>
                <w:color w:val="000000"/>
                <w:sz w:val="24"/>
              </w:rPr>
              <w:t>1套</w:t>
            </w:r>
          </w:p>
        </w:tc>
      </w:tr>
    </w:tbl>
    <w:p w14:paraId="1258C84E">
      <w:pPr>
        <w:rPr>
          <w:rFonts w:hint="default"/>
          <w:lang w:val="en-US" w:eastAsia="zh-CN"/>
        </w:rPr>
      </w:pPr>
    </w:p>
    <w:p w14:paraId="10440B7B">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二、便携式医用事件相关电位仪</w:t>
      </w:r>
    </w:p>
    <w:p w14:paraId="5B70F885">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（一）技术性能</w:t>
      </w:r>
    </w:p>
    <w:p w14:paraId="67E06C1F">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1电脑配置不低于：（Intel-i5 3G CPU、最少8G内存，1T硬盘，Windows 10 64位及以上操作系统） </w:t>
      </w:r>
    </w:p>
    <w:p w14:paraId="5ABDB08F">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2设备主机：控制和数据处理中心，含放大器接口*1，网络接口*1，事件按键接口*1</w:t>
      </w:r>
    </w:p>
    <w:p w14:paraId="7A722532">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3头盒放大器</w:t>
      </w:r>
    </w:p>
    <w:p w14:paraId="5DCA25B2">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3.1通道放大器：输入端≥32个，具备参考电极（REF）端口及接地(GND端口，具备屏蔽电极（SHD）端口</w:t>
      </w:r>
    </w:p>
    <w:p w14:paraId="7CF13D75">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3.2定标电压：标称值为100μVp-p，最大允许误差±4%</w:t>
      </w:r>
    </w:p>
    <w:p w14:paraId="567148FD">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3.3电压测量：最大允许误差±5%</w:t>
      </w:r>
    </w:p>
    <w:p w14:paraId="6312F37B">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3.4时间间隔：最大允许误差±5% </w:t>
      </w:r>
    </w:p>
    <w:p w14:paraId="6B0B4027">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3.5幅频特性：(1～120)Hz（不包括50Hz），最大允许误差+5%～-30%</w:t>
      </w:r>
    </w:p>
    <w:p w14:paraId="39645943">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3.6噪声电平：不大于1μV（峰峰值）</w:t>
      </w:r>
    </w:p>
    <w:p w14:paraId="45A95459">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3.7共模抑制比：输入频率10Hz时，各道不小于120dB；</w:t>
      </w:r>
    </w:p>
    <w:p w14:paraId="477C6633">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3.8耐极化电压：加±300mV的直流极化电压，偏差不超过±5%</w:t>
      </w:r>
    </w:p>
    <w:p w14:paraId="5A3682CB">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3.9灵敏度调节误差范围：最大允许误差±5%，检测条件：1µV/mm、10µV/mm、和50µVµV/mm</w:t>
      </w:r>
    </w:p>
    <w:p w14:paraId="0720B8CB">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3.10低通滤波：截止频率在10Hz、15Hz、20Hz、25Hz、30Hz、35Hz、40Hz、50Hz、60Hz、70Hz、100Hz、120Hz内可调，应符合A0.9Fc≥0.7A10≥A1.1Fc的要求</w:t>
      </w:r>
    </w:p>
    <w:p w14:paraId="62164A59">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3.11高通滤波：0.01Hz、0.016Hz、0.02Hz、0.031Hz、0.08Hz、0.16Hz、0.27Hz、0.3Hz、0.5Hz、0.53Hz、1Hz、1.6Hz、2Hz、2.5Hz、3Hz、5Hz、5.3Hz、53Hz、159Hz、250Hz可选</w:t>
      </w:r>
    </w:p>
    <w:p w14:paraId="549DDF67">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3.12输入阻抗：对于10Hz正弦波信号，各道不小于120MΩ</w:t>
      </w:r>
    </w:p>
    <w:p w14:paraId="6CCD6BF6">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3.13按键响应时间：小于1s</w:t>
      </w:r>
    </w:p>
    <w:p w14:paraId="627EDE09">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3.14数模转换：≥24bit</w:t>
      </w:r>
    </w:p>
    <w:p w14:paraId="777F8325">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3.15采样精度：≤0.02μV</w:t>
      </w:r>
    </w:p>
    <w:p w14:paraId="51857328">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3.16采样频率：每通道可同时≥2kHz</w:t>
      </w:r>
    </w:p>
    <w:p w14:paraId="52E78BEC">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  耳机，音频刺激用专用入耳式空气振动耳机</w:t>
      </w:r>
    </w:p>
    <w:p w14:paraId="5607E732">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  事件按键：事件标记用按键</w:t>
      </w:r>
    </w:p>
    <w:p w14:paraId="728FAB48">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  网络摄像头：支持超低照度，0.05Lux @ (F2.0,AGC ON) (彩色),0.005Lux @ (F2.0,AGC ON) 0 Lux with IR (黑白)，支持4倍光学变倍，16倍数字变倍，水平350°可控制摄像机调节各种常用参数</w:t>
      </w:r>
    </w:p>
    <w:p w14:paraId="276DBC61">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 设备配套专用三方手提箱</w:t>
      </w:r>
    </w:p>
    <w:p w14:paraId="74E1902D">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8支持多院区、多科室远程病例会诊，远程阅图</w:t>
      </w:r>
    </w:p>
    <w:p w14:paraId="70BB9958">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9软件功能</w:t>
      </w:r>
    </w:p>
    <w:p w14:paraId="2D921A78">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9.1具有常规脑电/视频脑电/视频脑功能/事件相关电位等多种检测模式，可自由切换</w:t>
      </w:r>
    </w:p>
    <w:p w14:paraId="0AC4F85D">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9.2数据采集、存储与实时显示：软件接收存储原始数据，并可实时显示信号波形；并可对显示参数进行实时调整</w:t>
      </w:r>
    </w:p>
    <w:p w14:paraId="40DE15B3">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9.3  数据回放：可进行数据的离线回放</w:t>
      </w:r>
    </w:p>
    <w:p w14:paraId="140209CA">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9.4  阻抗检测：可进行在线阻抗监测和离线阻抗检测</w:t>
      </w:r>
    </w:p>
    <w:p w14:paraId="292E8F9A">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9.5断电数据保护：系统断电重启后，断电前数据不丢失</w:t>
      </w:r>
    </w:p>
    <w:p w14:paraId="16B396BC">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9.6事件标记：具有软硬件两种事件标记方式，并可对标记进行编辑调整；实时记录事件列表，可回放查看</w:t>
      </w:r>
    </w:p>
    <w:p w14:paraId="0C1FC365">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9.7脑电测量：具有标尺测量和框选测量两种方式，测量幅值、时间和频率信息</w:t>
      </w:r>
    </w:p>
    <w:p w14:paraId="39E01D63">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9.8视频控制、记录和回放：可对摄像头角度等参数进行调整，进行视频数据的记录和回放；视频数据与脑电数据同步，可进行联动定位</w:t>
      </w:r>
    </w:p>
    <w:p w14:paraId="6F9491E6">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9.9动作识别：可自动识别视频中的运动，以红色阴影进行标注，辅助医生查看</w:t>
      </w:r>
    </w:p>
    <w:p w14:paraId="40A470E2">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9.10趋势图计算与显示：可在采集与回放过程中，同步查看进行振幅整合脑电、频谱、爆发抑制、神经包络、绝对和相对频带功率、频谱熵、α变异等趋势图；并通过趋势图进行时域脑电的定位</w:t>
      </w:r>
    </w:p>
    <w:p w14:paraId="58D53E69">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9.11电位脑地形图：具有电位地形图的计算与显示功能</w:t>
      </w:r>
    </w:p>
    <w:p w14:paraId="3EF49A63">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9.12功率脑地形图：具有功率地形图的计算与显示功能</w:t>
      </w:r>
    </w:p>
    <w:p w14:paraId="666E6EAA">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9.13具备患者信息管理系统，中文报告生成系统：具有多种简洁实用的报告模板，可任意编辑相关内容</w:t>
      </w:r>
    </w:p>
    <w:p w14:paraId="52AFCA1A">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9.14事件相关电位检测：软件可进行事件相关电位的刺激设置、实时刺激记录、数据计算和结果显示，可进行N100、MMN、P300、N170、N400等多种范式的检测</w:t>
      </w:r>
    </w:p>
    <w:p w14:paraId="6287B011">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9.15刺激记录模块和分析模块集成于一个软件系统，实现同步触发。</w:t>
      </w:r>
    </w:p>
    <w:p w14:paraId="3FEEA51B">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9.16可对视觉、听觉刺激进行自行编辑、编排、预览，可进行反馈按键的设置，以记录反馈信息</w:t>
      </w:r>
    </w:p>
    <w:p w14:paraId="4FABD5E7">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9.17可进行包括患者姓名等特殊听觉刺激的录制、处理和刺激编排</w:t>
      </w:r>
    </w:p>
    <w:p w14:paraId="6E6E883D">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9.18可在刺激记录的同时，实时进行各信号波形的叠加和同屏显示</w:t>
      </w:r>
    </w:p>
    <w:p w14:paraId="6ECB66A6">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9.19事件相关电位叠加：可在叠加波形时进行通道剔除、重参考、滤波范围选择、片段（epoch）时长设置、片段（epoch）剔除和恢复（自动和手动）等参数调整</w:t>
      </w:r>
    </w:p>
    <w:p w14:paraId="0DF9ABD3">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9.20事件相关电位地形图，可显示各个同步信号的脑地形图，并可在片段（epoch）时程内以1毫秒为间隔自由滑动显示分布变化</w:t>
      </w:r>
    </w:p>
    <w:p w14:paraId="1F449D1F">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9.21事件相关电位分布图，可显示全部通道波形图的缩略分布图，便于辅助进行通道定位</w:t>
      </w:r>
    </w:p>
    <w:p w14:paraId="15D836A5">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9.22信号质量监测：从原始信号的频域上多维度（包括但不限于信号质量指标、高频肌电水平）分析信号质量，医护人员可以直观的从各导联信号质量的颜色标记了解实时的信号质量情况（非传统阻抗检测，提供软件界面截图，采集界面各通道需要有信号质量的颜色标记）</w:t>
      </w:r>
    </w:p>
    <w:p w14:paraId="43D6A6B4">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9.23HFO实时提示：可将指定的高频振荡频带能量以背景颜色的形式，叠加在原始波形后面，通过颜色有误、深浅实时提示高频能量发放的时序、空间信息。数据采集、回放过程同时具备</w:t>
      </w:r>
    </w:p>
    <w:p w14:paraId="22444CB4">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10其他配件：Ag/AgCl盘状电极线，医用磨砂膏，医用导电膏</w:t>
      </w:r>
    </w:p>
    <w:p w14:paraId="45426F7C">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 设备连接HIS系统</w:t>
      </w:r>
    </w:p>
    <w:p w14:paraId="7B7C4B26">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9"/>
        <w:tblpPr w:leftFromText="180" w:rightFromText="180" w:vertAnchor="text" w:horzAnchor="page" w:tblpX="1909" w:tblpY="6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064"/>
        <w:gridCol w:w="3893"/>
        <w:gridCol w:w="1742"/>
      </w:tblGrid>
      <w:tr w14:paraId="2936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14:paraId="0BC9AF2D">
            <w:pPr>
              <w:jc w:val="left"/>
              <w:rPr>
                <w:rFonts w:ascii="宋体" w:hAnsi="宋体" w:eastAsia="宋体" w:cs="宋体"/>
                <w:b/>
                <w:bCs/>
                <w:color w:val="000000"/>
                <w:sz w:val="24"/>
              </w:rPr>
            </w:pPr>
            <w:r>
              <w:rPr>
                <w:rFonts w:hint="eastAsia" w:ascii="宋体" w:hAnsi="宋体" w:eastAsia="宋体" w:cs="宋体"/>
                <w:b/>
                <w:bCs/>
                <w:color w:val="000000"/>
                <w:kern w:val="0"/>
                <w:sz w:val="24"/>
              </w:rPr>
              <w:t>序号</w:t>
            </w:r>
          </w:p>
        </w:tc>
        <w:tc>
          <w:tcPr>
            <w:tcW w:w="2064" w:type="dxa"/>
            <w:vAlign w:val="center"/>
          </w:tcPr>
          <w:p w14:paraId="03E938E7">
            <w:pPr>
              <w:jc w:val="left"/>
              <w:rPr>
                <w:rFonts w:ascii="宋体" w:hAnsi="宋体" w:eastAsia="宋体" w:cs="宋体"/>
                <w:b/>
                <w:bCs/>
                <w:color w:val="000000"/>
                <w:sz w:val="24"/>
              </w:rPr>
            </w:pPr>
            <w:r>
              <w:rPr>
                <w:rFonts w:hint="eastAsia" w:ascii="宋体" w:hAnsi="宋体" w:eastAsia="宋体" w:cs="宋体"/>
                <w:b/>
                <w:bCs/>
                <w:color w:val="000000"/>
                <w:kern w:val="0"/>
                <w:sz w:val="24"/>
              </w:rPr>
              <w:t>配置</w:t>
            </w:r>
          </w:p>
        </w:tc>
        <w:tc>
          <w:tcPr>
            <w:tcW w:w="3893" w:type="dxa"/>
            <w:vAlign w:val="center"/>
          </w:tcPr>
          <w:p w14:paraId="4C2CD18F">
            <w:pPr>
              <w:jc w:val="left"/>
              <w:rPr>
                <w:rFonts w:ascii="宋体" w:hAnsi="宋体" w:eastAsia="宋体" w:cs="宋体"/>
                <w:b/>
                <w:bCs/>
                <w:color w:val="000000"/>
                <w:sz w:val="24"/>
              </w:rPr>
            </w:pPr>
            <w:r>
              <w:rPr>
                <w:rFonts w:hint="eastAsia" w:ascii="宋体" w:hAnsi="宋体" w:eastAsia="宋体" w:cs="宋体"/>
                <w:b/>
                <w:bCs/>
                <w:color w:val="000000"/>
                <w:kern w:val="0"/>
                <w:sz w:val="24"/>
              </w:rPr>
              <w:t>描述</w:t>
            </w:r>
          </w:p>
        </w:tc>
        <w:tc>
          <w:tcPr>
            <w:tcW w:w="1742" w:type="dxa"/>
            <w:vAlign w:val="center"/>
          </w:tcPr>
          <w:p w14:paraId="1B01C7E9">
            <w:pPr>
              <w:jc w:val="left"/>
              <w:rPr>
                <w:rFonts w:ascii="宋体" w:hAnsi="宋体" w:eastAsia="宋体" w:cs="宋体"/>
                <w:b/>
                <w:bCs/>
                <w:sz w:val="24"/>
              </w:rPr>
            </w:pPr>
            <w:r>
              <w:rPr>
                <w:rFonts w:hint="eastAsia" w:ascii="宋体" w:hAnsi="宋体" w:eastAsia="宋体" w:cs="宋体"/>
                <w:b/>
                <w:bCs/>
                <w:color w:val="000000"/>
                <w:kern w:val="0"/>
                <w:sz w:val="24"/>
              </w:rPr>
              <w:t>数量</w:t>
            </w:r>
          </w:p>
        </w:tc>
      </w:tr>
      <w:tr w14:paraId="0723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710" w:type="dxa"/>
            <w:vAlign w:val="center"/>
          </w:tcPr>
          <w:p w14:paraId="33F67921">
            <w:pPr>
              <w:jc w:val="left"/>
              <w:rPr>
                <w:rFonts w:ascii="宋体" w:hAnsi="宋体" w:eastAsia="宋体" w:cs="宋体"/>
                <w:color w:val="000000"/>
                <w:sz w:val="24"/>
              </w:rPr>
            </w:pPr>
            <w:r>
              <w:rPr>
                <w:rFonts w:hint="eastAsia" w:ascii="宋体" w:hAnsi="宋体" w:eastAsia="宋体" w:cs="宋体"/>
                <w:color w:val="000000"/>
                <w:sz w:val="24"/>
              </w:rPr>
              <w:t>1</w:t>
            </w:r>
          </w:p>
        </w:tc>
        <w:tc>
          <w:tcPr>
            <w:tcW w:w="2064" w:type="dxa"/>
            <w:vAlign w:val="center"/>
          </w:tcPr>
          <w:p w14:paraId="2AEC90BD">
            <w:pPr>
              <w:jc w:val="left"/>
              <w:rPr>
                <w:rFonts w:ascii="宋体" w:hAnsi="宋体" w:eastAsia="宋体" w:cs="宋体"/>
                <w:color w:val="000000"/>
                <w:sz w:val="24"/>
              </w:rPr>
            </w:pPr>
            <w:r>
              <w:rPr>
                <w:rFonts w:hint="eastAsia" w:ascii="宋体" w:hAnsi="宋体" w:eastAsia="宋体" w:cs="宋体"/>
                <w:color w:val="000000"/>
                <w:sz w:val="24"/>
              </w:rPr>
              <w:t>采集工作站</w:t>
            </w:r>
          </w:p>
        </w:tc>
        <w:tc>
          <w:tcPr>
            <w:tcW w:w="3893" w:type="dxa"/>
            <w:vAlign w:val="center"/>
          </w:tcPr>
          <w:p w14:paraId="1C05B1F7">
            <w:pPr>
              <w:jc w:val="left"/>
              <w:rPr>
                <w:rFonts w:ascii="宋体" w:hAnsi="宋体" w:eastAsia="宋体" w:cs="宋体"/>
                <w:color w:val="FF0000"/>
                <w:sz w:val="24"/>
              </w:rPr>
            </w:pPr>
            <w:r>
              <w:rPr>
                <w:rFonts w:hint="eastAsia" w:ascii="宋体" w:hAnsi="宋体" w:eastAsia="宋体" w:cs="宋体"/>
                <w:color w:val="FF0000"/>
                <w:sz w:val="24"/>
                <w:lang w:val="en-US" w:eastAsia="zh-CN"/>
              </w:rPr>
              <w:t>配置不亚于：</w:t>
            </w:r>
            <w:r>
              <w:rPr>
                <w:rFonts w:hint="eastAsia" w:ascii="宋体" w:hAnsi="宋体" w:eastAsia="宋体" w:cs="宋体"/>
                <w:color w:val="FF0000"/>
                <w:sz w:val="24"/>
              </w:rPr>
              <w:t xml:space="preserve">15.6英寸笔记本电脑, </w:t>
            </w:r>
          </w:p>
          <w:p w14:paraId="2310CCC3">
            <w:pPr>
              <w:jc w:val="left"/>
              <w:rPr>
                <w:rFonts w:ascii="宋体" w:hAnsi="宋体" w:eastAsia="宋体" w:cs="宋体"/>
                <w:color w:val="000000"/>
                <w:sz w:val="24"/>
              </w:rPr>
            </w:pPr>
            <w:r>
              <w:rPr>
                <w:rFonts w:hint="eastAsia" w:ascii="宋体" w:hAnsi="宋体" w:eastAsia="宋体" w:cs="宋体"/>
                <w:color w:val="FF0000"/>
                <w:sz w:val="24"/>
              </w:rPr>
              <w:t>(CPU:i5; 内存：16GB； 硬盘：1T）</w:t>
            </w:r>
          </w:p>
        </w:tc>
        <w:tc>
          <w:tcPr>
            <w:tcW w:w="1742" w:type="dxa"/>
            <w:vAlign w:val="center"/>
          </w:tcPr>
          <w:p w14:paraId="35F1AF88">
            <w:pPr>
              <w:jc w:val="left"/>
              <w:rPr>
                <w:rFonts w:ascii="宋体" w:hAnsi="宋体" w:eastAsia="宋体" w:cs="宋体"/>
                <w:sz w:val="24"/>
              </w:rPr>
            </w:pPr>
            <w:r>
              <w:rPr>
                <w:rFonts w:hint="eastAsia" w:ascii="宋体" w:hAnsi="宋体" w:eastAsia="宋体" w:cs="宋体"/>
                <w:sz w:val="24"/>
              </w:rPr>
              <w:t>1套</w:t>
            </w:r>
          </w:p>
        </w:tc>
      </w:tr>
      <w:tr w14:paraId="1222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0" w:type="dxa"/>
            <w:vAlign w:val="center"/>
          </w:tcPr>
          <w:p w14:paraId="3048397E">
            <w:pPr>
              <w:jc w:val="left"/>
              <w:rPr>
                <w:rFonts w:ascii="宋体" w:hAnsi="宋体" w:eastAsia="宋体" w:cs="宋体"/>
                <w:color w:val="000000"/>
                <w:sz w:val="24"/>
              </w:rPr>
            </w:pPr>
            <w:r>
              <w:rPr>
                <w:rFonts w:hint="eastAsia" w:ascii="宋体" w:hAnsi="宋体" w:eastAsia="宋体" w:cs="宋体"/>
                <w:color w:val="000000"/>
                <w:sz w:val="24"/>
              </w:rPr>
              <w:t>2</w:t>
            </w:r>
          </w:p>
        </w:tc>
        <w:tc>
          <w:tcPr>
            <w:tcW w:w="2064" w:type="dxa"/>
            <w:vAlign w:val="center"/>
          </w:tcPr>
          <w:p w14:paraId="0E9975DE">
            <w:pPr>
              <w:jc w:val="left"/>
              <w:rPr>
                <w:rFonts w:ascii="宋体" w:hAnsi="宋体" w:eastAsia="宋体" w:cs="宋体"/>
                <w:color w:val="000000"/>
                <w:sz w:val="24"/>
              </w:rPr>
            </w:pPr>
            <w:r>
              <w:rPr>
                <w:rFonts w:hint="eastAsia" w:ascii="宋体" w:hAnsi="宋体" w:eastAsia="宋体" w:cs="宋体"/>
                <w:color w:val="000000"/>
                <w:sz w:val="24"/>
              </w:rPr>
              <w:t>主机</w:t>
            </w:r>
          </w:p>
        </w:tc>
        <w:tc>
          <w:tcPr>
            <w:tcW w:w="3893" w:type="dxa"/>
            <w:vAlign w:val="center"/>
          </w:tcPr>
          <w:p w14:paraId="16B5B43A">
            <w:pPr>
              <w:jc w:val="left"/>
              <w:rPr>
                <w:rFonts w:ascii="宋体" w:hAnsi="宋体" w:eastAsia="宋体" w:cs="宋体"/>
                <w:color w:val="000000"/>
                <w:sz w:val="24"/>
              </w:rPr>
            </w:pPr>
            <w:r>
              <w:rPr>
                <w:rFonts w:hint="eastAsia" w:ascii="宋体" w:hAnsi="宋体" w:eastAsia="宋体" w:cs="宋体"/>
                <w:color w:val="000000"/>
                <w:sz w:val="24"/>
              </w:rPr>
              <w:t>控制和数据处理中心</w:t>
            </w:r>
          </w:p>
        </w:tc>
        <w:tc>
          <w:tcPr>
            <w:tcW w:w="1742" w:type="dxa"/>
            <w:vAlign w:val="center"/>
          </w:tcPr>
          <w:p w14:paraId="579E4A17">
            <w:pPr>
              <w:jc w:val="left"/>
              <w:rPr>
                <w:rFonts w:ascii="宋体" w:hAnsi="宋体" w:eastAsia="宋体" w:cs="宋体"/>
                <w:sz w:val="24"/>
              </w:rPr>
            </w:pPr>
            <w:r>
              <w:rPr>
                <w:rFonts w:hint="eastAsia" w:ascii="宋体" w:hAnsi="宋体" w:eastAsia="宋体" w:cs="宋体"/>
                <w:sz w:val="24"/>
              </w:rPr>
              <w:t>1个</w:t>
            </w:r>
          </w:p>
        </w:tc>
      </w:tr>
      <w:tr w14:paraId="472B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0" w:type="dxa"/>
            <w:vAlign w:val="center"/>
          </w:tcPr>
          <w:p w14:paraId="20C0FFF4">
            <w:pPr>
              <w:jc w:val="left"/>
              <w:rPr>
                <w:rFonts w:ascii="宋体" w:hAnsi="宋体" w:eastAsia="宋体" w:cs="宋体"/>
                <w:sz w:val="24"/>
              </w:rPr>
            </w:pPr>
            <w:r>
              <w:rPr>
                <w:rFonts w:hint="eastAsia" w:ascii="宋体" w:hAnsi="宋体" w:eastAsia="宋体" w:cs="宋体"/>
                <w:sz w:val="24"/>
              </w:rPr>
              <w:t>3</w:t>
            </w:r>
          </w:p>
        </w:tc>
        <w:tc>
          <w:tcPr>
            <w:tcW w:w="2064" w:type="dxa"/>
            <w:vAlign w:val="center"/>
          </w:tcPr>
          <w:p w14:paraId="50EE56AF">
            <w:pPr>
              <w:jc w:val="left"/>
              <w:rPr>
                <w:rFonts w:ascii="宋体" w:hAnsi="宋体" w:eastAsia="宋体" w:cs="宋体"/>
                <w:sz w:val="24"/>
              </w:rPr>
            </w:pPr>
            <w:r>
              <w:rPr>
                <w:rFonts w:hint="eastAsia" w:ascii="宋体" w:hAnsi="宋体" w:eastAsia="宋体" w:cs="宋体"/>
                <w:sz w:val="24"/>
              </w:rPr>
              <w:t>头盒</w:t>
            </w:r>
          </w:p>
        </w:tc>
        <w:tc>
          <w:tcPr>
            <w:tcW w:w="3893" w:type="dxa"/>
            <w:vAlign w:val="center"/>
          </w:tcPr>
          <w:p w14:paraId="239C4D3E">
            <w:pPr>
              <w:jc w:val="left"/>
              <w:rPr>
                <w:rFonts w:ascii="宋体" w:hAnsi="宋体" w:eastAsia="宋体" w:cs="宋体"/>
                <w:sz w:val="24"/>
              </w:rPr>
            </w:pPr>
            <w:r>
              <w:rPr>
                <w:rFonts w:hint="eastAsia" w:ascii="宋体" w:hAnsi="宋体" w:eastAsia="宋体" w:cs="宋体"/>
                <w:sz w:val="24"/>
              </w:rPr>
              <w:t>放大器</w:t>
            </w:r>
          </w:p>
        </w:tc>
        <w:tc>
          <w:tcPr>
            <w:tcW w:w="1742" w:type="dxa"/>
            <w:vAlign w:val="center"/>
          </w:tcPr>
          <w:p w14:paraId="593EA8BA">
            <w:pPr>
              <w:jc w:val="left"/>
              <w:rPr>
                <w:rFonts w:ascii="宋体" w:hAnsi="宋体" w:eastAsia="宋体" w:cs="宋体"/>
                <w:sz w:val="24"/>
              </w:rPr>
            </w:pPr>
            <w:r>
              <w:rPr>
                <w:rFonts w:hint="eastAsia" w:ascii="宋体" w:hAnsi="宋体" w:eastAsia="宋体" w:cs="宋体"/>
                <w:sz w:val="24"/>
              </w:rPr>
              <w:t>1个</w:t>
            </w:r>
          </w:p>
        </w:tc>
      </w:tr>
      <w:tr w14:paraId="27C9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0" w:type="dxa"/>
            <w:vAlign w:val="center"/>
          </w:tcPr>
          <w:p w14:paraId="4ABFF417">
            <w:pPr>
              <w:jc w:val="left"/>
              <w:rPr>
                <w:rFonts w:ascii="宋体" w:hAnsi="宋体" w:eastAsia="宋体" w:cs="宋体"/>
                <w:sz w:val="24"/>
              </w:rPr>
            </w:pPr>
            <w:r>
              <w:rPr>
                <w:rFonts w:hint="eastAsia" w:ascii="宋体" w:hAnsi="宋体" w:eastAsia="宋体" w:cs="宋体"/>
                <w:sz w:val="24"/>
              </w:rPr>
              <w:t>4</w:t>
            </w:r>
          </w:p>
        </w:tc>
        <w:tc>
          <w:tcPr>
            <w:tcW w:w="2064" w:type="dxa"/>
            <w:vAlign w:val="center"/>
          </w:tcPr>
          <w:p w14:paraId="3539B88F">
            <w:pPr>
              <w:jc w:val="left"/>
              <w:rPr>
                <w:rFonts w:ascii="宋体" w:hAnsi="宋体" w:eastAsia="宋体" w:cs="宋体"/>
                <w:sz w:val="24"/>
              </w:rPr>
            </w:pPr>
            <w:r>
              <w:rPr>
                <w:rFonts w:hint="eastAsia" w:ascii="宋体" w:hAnsi="宋体" w:eastAsia="宋体" w:cs="宋体"/>
                <w:sz w:val="24"/>
              </w:rPr>
              <w:t>医用电源适配器</w:t>
            </w:r>
          </w:p>
        </w:tc>
        <w:tc>
          <w:tcPr>
            <w:tcW w:w="3893" w:type="dxa"/>
            <w:vAlign w:val="center"/>
          </w:tcPr>
          <w:p w14:paraId="0AAB65CF">
            <w:pPr>
              <w:jc w:val="left"/>
              <w:rPr>
                <w:rFonts w:ascii="宋体" w:hAnsi="宋体" w:eastAsia="宋体" w:cs="宋体"/>
                <w:sz w:val="24"/>
              </w:rPr>
            </w:pPr>
            <w:r>
              <w:rPr>
                <w:rFonts w:hint="eastAsia" w:ascii="宋体" w:hAnsi="宋体" w:eastAsia="宋体" w:cs="宋体"/>
                <w:sz w:val="24"/>
              </w:rPr>
              <w:t>医用电源适配器</w:t>
            </w:r>
          </w:p>
        </w:tc>
        <w:tc>
          <w:tcPr>
            <w:tcW w:w="1742" w:type="dxa"/>
            <w:vAlign w:val="center"/>
          </w:tcPr>
          <w:p w14:paraId="4BE83711">
            <w:pPr>
              <w:jc w:val="left"/>
              <w:rPr>
                <w:rFonts w:ascii="宋体" w:hAnsi="宋体" w:eastAsia="宋体" w:cs="宋体"/>
                <w:sz w:val="24"/>
              </w:rPr>
            </w:pPr>
            <w:r>
              <w:rPr>
                <w:rFonts w:hint="eastAsia" w:ascii="宋体" w:hAnsi="宋体" w:eastAsia="宋体" w:cs="宋体"/>
                <w:sz w:val="24"/>
              </w:rPr>
              <w:t>1根</w:t>
            </w:r>
          </w:p>
        </w:tc>
      </w:tr>
      <w:tr w14:paraId="5340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0" w:type="dxa"/>
            <w:vAlign w:val="center"/>
          </w:tcPr>
          <w:p w14:paraId="069F9CC0">
            <w:pPr>
              <w:jc w:val="left"/>
              <w:rPr>
                <w:rFonts w:ascii="宋体" w:hAnsi="宋体" w:eastAsia="宋体" w:cs="宋体"/>
                <w:sz w:val="24"/>
              </w:rPr>
            </w:pPr>
            <w:r>
              <w:rPr>
                <w:rFonts w:hint="eastAsia" w:ascii="宋体" w:hAnsi="宋体" w:eastAsia="宋体" w:cs="宋体"/>
                <w:sz w:val="24"/>
              </w:rPr>
              <w:t>5</w:t>
            </w:r>
          </w:p>
        </w:tc>
        <w:tc>
          <w:tcPr>
            <w:tcW w:w="2064" w:type="dxa"/>
            <w:vAlign w:val="center"/>
          </w:tcPr>
          <w:p w14:paraId="5B4CA646">
            <w:pPr>
              <w:jc w:val="left"/>
              <w:rPr>
                <w:rFonts w:ascii="宋体" w:hAnsi="宋体" w:eastAsia="宋体" w:cs="宋体"/>
                <w:sz w:val="24"/>
              </w:rPr>
            </w:pPr>
            <w:r>
              <w:rPr>
                <w:rFonts w:hint="eastAsia" w:ascii="宋体" w:hAnsi="宋体" w:eastAsia="宋体" w:cs="宋体"/>
                <w:sz w:val="24"/>
              </w:rPr>
              <w:t>头盒连接电缆</w:t>
            </w:r>
          </w:p>
        </w:tc>
        <w:tc>
          <w:tcPr>
            <w:tcW w:w="3893" w:type="dxa"/>
            <w:vAlign w:val="center"/>
          </w:tcPr>
          <w:p w14:paraId="70002D51">
            <w:pPr>
              <w:jc w:val="left"/>
              <w:rPr>
                <w:rFonts w:ascii="宋体" w:hAnsi="宋体" w:eastAsia="宋体" w:cs="宋体"/>
                <w:sz w:val="24"/>
              </w:rPr>
            </w:pPr>
            <w:r>
              <w:rPr>
                <w:rFonts w:hint="eastAsia" w:ascii="宋体" w:hAnsi="宋体" w:eastAsia="宋体" w:cs="宋体"/>
                <w:sz w:val="24"/>
              </w:rPr>
              <w:t>连接头盒与主机</w:t>
            </w:r>
          </w:p>
        </w:tc>
        <w:tc>
          <w:tcPr>
            <w:tcW w:w="1742" w:type="dxa"/>
            <w:vAlign w:val="center"/>
          </w:tcPr>
          <w:p w14:paraId="4049F010">
            <w:pPr>
              <w:jc w:val="left"/>
              <w:rPr>
                <w:rFonts w:ascii="宋体" w:hAnsi="宋体" w:eastAsia="宋体" w:cs="宋体"/>
                <w:sz w:val="24"/>
              </w:rPr>
            </w:pPr>
            <w:r>
              <w:rPr>
                <w:rFonts w:hint="eastAsia" w:ascii="宋体" w:hAnsi="宋体" w:eastAsia="宋体" w:cs="宋体"/>
                <w:sz w:val="24"/>
              </w:rPr>
              <w:t>1根</w:t>
            </w:r>
          </w:p>
        </w:tc>
      </w:tr>
      <w:tr w14:paraId="0E33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0" w:type="dxa"/>
            <w:vAlign w:val="center"/>
          </w:tcPr>
          <w:p w14:paraId="1DC65928">
            <w:pPr>
              <w:jc w:val="left"/>
              <w:rPr>
                <w:rFonts w:ascii="宋体" w:hAnsi="宋体" w:eastAsia="宋体" w:cs="宋体"/>
                <w:sz w:val="24"/>
              </w:rPr>
            </w:pPr>
            <w:r>
              <w:rPr>
                <w:rFonts w:hint="eastAsia" w:ascii="宋体" w:hAnsi="宋体" w:eastAsia="宋体" w:cs="宋体"/>
                <w:sz w:val="24"/>
              </w:rPr>
              <w:t>6</w:t>
            </w:r>
          </w:p>
        </w:tc>
        <w:tc>
          <w:tcPr>
            <w:tcW w:w="2064" w:type="dxa"/>
            <w:vAlign w:val="center"/>
          </w:tcPr>
          <w:p w14:paraId="4E09C8EE">
            <w:pPr>
              <w:jc w:val="left"/>
              <w:rPr>
                <w:rFonts w:ascii="宋体" w:hAnsi="宋体" w:eastAsia="宋体" w:cs="宋体"/>
                <w:sz w:val="24"/>
              </w:rPr>
            </w:pPr>
            <w:r>
              <w:rPr>
                <w:rFonts w:hint="eastAsia" w:ascii="宋体" w:hAnsi="宋体" w:eastAsia="宋体" w:cs="宋体"/>
                <w:sz w:val="24"/>
              </w:rPr>
              <w:t>Trigger-IN线缆</w:t>
            </w:r>
          </w:p>
        </w:tc>
        <w:tc>
          <w:tcPr>
            <w:tcW w:w="3893" w:type="dxa"/>
            <w:vAlign w:val="center"/>
          </w:tcPr>
          <w:p w14:paraId="6A459226">
            <w:pPr>
              <w:jc w:val="left"/>
              <w:rPr>
                <w:rFonts w:ascii="宋体" w:hAnsi="宋体" w:eastAsia="宋体" w:cs="宋体"/>
                <w:sz w:val="24"/>
              </w:rPr>
            </w:pPr>
            <w:r>
              <w:rPr>
                <w:rFonts w:hint="eastAsia" w:ascii="宋体" w:hAnsi="宋体" w:eastAsia="宋体" w:cs="宋体"/>
                <w:sz w:val="24"/>
              </w:rPr>
              <w:t>连接主机与电脑，传输标记信号（含转接头）</w:t>
            </w:r>
          </w:p>
        </w:tc>
        <w:tc>
          <w:tcPr>
            <w:tcW w:w="1742" w:type="dxa"/>
            <w:vAlign w:val="center"/>
          </w:tcPr>
          <w:p w14:paraId="4CD735DE">
            <w:pPr>
              <w:jc w:val="left"/>
              <w:rPr>
                <w:rFonts w:ascii="宋体" w:hAnsi="宋体" w:eastAsia="宋体" w:cs="宋体"/>
                <w:sz w:val="24"/>
              </w:rPr>
            </w:pPr>
            <w:r>
              <w:rPr>
                <w:rFonts w:hint="eastAsia" w:ascii="宋体" w:hAnsi="宋体" w:eastAsia="宋体" w:cs="宋体"/>
                <w:sz w:val="24"/>
              </w:rPr>
              <w:t>1根</w:t>
            </w:r>
          </w:p>
        </w:tc>
      </w:tr>
      <w:tr w14:paraId="5616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0" w:type="dxa"/>
            <w:vAlign w:val="center"/>
          </w:tcPr>
          <w:p w14:paraId="13BC4F98">
            <w:pPr>
              <w:jc w:val="left"/>
              <w:rPr>
                <w:rFonts w:ascii="宋体" w:hAnsi="宋体" w:eastAsia="宋体" w:cs="宋体"/>
                <w:sz w:val="24"/>
              </w:rPr>
            </w:pPr>
            <w:r>
              <w:rPr>
                <w:rFonts w:hint="eastAsia" w:ascii="宋体" w:hAnsi="宋体" w:eastAsia="宋体" w:cs="宋体"/>
                <w:sz w:val="24"/>
              </w:rPr>
              <w:t>7</w:t>
            </w:r>
          </w:p>
        </w:tc>
        <w:tc>
          <w:tcPr>
            <w:tcW w:w="2064" w:type="dxa"/>
            <w:vAlign w:val="center"/>
          </w:tcPr>
          <w:p w14:paraId="5894E12A">
            <w:pPr>
              <w:jc w:val="left"/>
              <w:rPr>
                <w:rFonts w:ascii="宋体" w:hAnsi="宋体" w:eastAsia="宋体" w:cs="宋体"/>
                <w:sz w:val="24"/>
              </w:rPr>
            </w:pPr>
            <w:r>
              <w:rPr>
                <w:rFonts w:hint="eastAsia" w:ascii="宋体" w:hAnsi="宋体" w:eastAsia="宋体" w:cs="宋体"/>
                <w:sz w:val="24"/>
              </w:rPr>
              <w:t>耳机</w:t>
            </w:r>
          </w:p>
        </w:tc>
        <w:tc>
          <w:tcPr>
            <w:tcW w:w="3893" w:type="dxa"/>
            <w:vAlign w:val="center"/>
          </w:tcPr>
          <w:p w14:paraId="52BFEA21">
            <w:pPr>
              <w:jc w:val="left"/>
              <w:rPr>
                <w:rFonts w:ascii="宋体" w:hAnsi="宋体" w:eastAsia="宋体" w:cs="宋体"/>
                <w:sz w:val="24"/>
              </w:rPr>
            </w:pPr>
            <w:r>
              <w:rPr>
                <w:rFonts w:hint="eastAsia" w:ascii="宋体" w:hAnsi="宋体" w:eastAsia="宋体" w:cs="宋体"/>
                <w:sz w:val="24"/>
              </w:rPr>
              <w:t>入耳式空气振动耳机</w:t>
            </w:r>
          </w:p>
        </w:tc>
        <w:tc>
          <w:tcPr>
            <w:tcW w:w="1742" w:type="dxa"/>
            <w:vAlign w:val="center"/>
          </w:tcPr>
          <w:p w14:paraId="49BC2B28">
            <w:pPr>
              <w:jc w:val="left"/>
              <w:rPr>
                <w:rFonts w:ascii="宋体" w:hAnsi="宋体" w:eastAsia="宋体" w:cs="宋体"/>
                <w:sz w:val="24"/>
              </w:rPr>
            </w:pPr>
            <w:r>
              <w:rPr>
                <w:rFonts w:hint="eastAsia" w:ascii="宋体" w:hAnsi="宋体" w:eastAsia="宋体" w:cs="宋体"/>
                <w:sz w:val="24"/>
              </w:rPr>
              <w:t>1套</w:t>
            </w:r>
          </w:p>
        </w:tc>
      </w:tr>
      <w:tr w14:paraId="14ED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0" w:type="dxa"/>
            <w:vAlign w:val="center"/>
          </w:tcPr>
          <w:p w14:paraId="11E09ABC">
            <w:pPr>
              <w:jc w:val="left"/>
              <w:rPr>
                <w:rFonts w:ascii="宋体" w:hAnsi="宋体" w:eastAsia="宋体" w:cs="宋体"/>
                <w:sz w:val="24"/>
              </w:rPr>
            </w:pPr>
            <w:r>
              <w:rPr>
                <w:rFonts w:hint="eastAsia" w:ascii="宋体" w:hAnsi="宋体" w:eastAsia="宋体" w:cs="宋体"/>
                <w:sz w:val="24"/>
              </w:rPr>
              <w:t>8</w:t>
            </w:r>
          </w:p>
        </w:tc>
        <w:tc>
          <w:tcPr>
            <w:tcW w:w="2064" w:type="dxa"/>
            <w:vAlign w:val="center"/>
          </w:tcPr>
          <w:p w14:paraId="723F9243">
            <w:pPr>
              <w:jc w:val="left"/>
              <w:rPr>
                <w:rFonts w:ascii="宋体" w:hAnsi="宋体" w:eastAsia="宋体" w:cs="宋体"/>
                <w:sz w:val="24"/>
              </w:rPr>
            </w:pPr>
            <w:r>
              <w:rPr>
                <w:rFonts w:hint="eastAsia" w:ascii="宋体" w:hAnsi="宋体" w:eastAsia="宋体" w:cs="宋体"/>
                <w:sz w:val="24"/>
              </w:rPr>
              <w:t>事件按键</w:t>
            </w:r>
          </w:p>
        </w:tc>
        <w:tc>
          <w:tcPr>
            <w:tcW w:w="3893" w:type="dxa"/>
            <w:vAlign w:val="center"/>
          </w:tcPr>
          <w:p w14:paraId="2295A884">
            <w:pPr>
              <w:jc w:val="left"/>
              <w:rPr>
                <w:rFonts w:ascii="宋体" w:hAnsi="宋体" w:eastAsia="宋体" w:cs="宋体"/>
                <w:sz w:val="24"/>
              </w:rPr>
            </w:pPr>
            <w:r>
              <w:rPr>
                <w:rFonts w:hint="eastAsia" w:ascii="宋体" w:hAnsi="宋体" w:eastAsia="宋体" w:cs="宋体"/>
                <w:sz w:val="24"/>
              </w:rPr>
              <w:t>事件标记用按键</w:t>
            </w:r>
          </w:p>
        </w:tc>
        <w:tc>
          <w:tcPr>
            <w:tcW w:w="1742" w:type="dxa"/>
            <w:vAlign w:val="center"/>
          </w:tcPr>
          <w:p w14:paraId="1B193A16">
            <w:pPr>
              <w:jc w:val="left"/>
              <w:rPr>
                <w:rFonts w:ascii="宋体" w:hAnsi="宋体" w:eastAsia="宋体" w:cs="宋体"/>
                <w:sz w:val="24"/>
              </w:rPr>
            </w:pPr>
            <w:r>
              <w:rPr>
                <w:rFonts w:hint="eastAsia" w:ascii="宋体" w:hAnsi="宋体" w:eastAsia="宋体" w:cs="宋体"/>
                <w:sz w:val="24"/>
              </w:rPr>
              <w:t>1个</w:t>
            </w:r>
          </w:p>
        </w:tc>
      </w:tr>
      <w:tr w14:paraId="74D1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0" w:type="dxa"/>
            <w:vAlign w:val="center"/>
          </w:tcPr>
          <w:p w14:paraId="457CC596">
            <w:pPr>
              <w:jc w:val="left"/>
              <w:rPr>
                <w:rFonts w:ascii="宋体" w:hAnsi="宋体" w:eastAsia="宋体" w:cs="宋体"/>
                <w:sz w:val="24"/>
              </w:rPr>
            </w:pPr>
            <w:r>
              <w:rPr>
                <w:rFonts w:hint="eastAsia" w:ascii="宋体" w:hAnsi="宋体" w:eastAsia="宋体" w:cs="宋体"/>
                <w:sz w:val="24"/>
              </w:rPr>
              <w:t>9</w:t>
            </w:r>
          </w:p>
        </w:tc>
        <w:tc>
          <w:tcPr>
            <w:tcW w:w="2064" w:type="dxa"/>
            <w:vAlign w:val="center"/>
          </w:tcPr>
          <w:p w14:paraId="2EA9920C">
            <w:pPr>
              <w:jc w:val="left"/>
              <w:rPr>
                <w:rFonts w:ascii="宋体" w:hAnsi="宋体" w:eastAsia="宋体" w:cs="宋体"/>
                <w:sz w:val="24"/>
              </w:rPr>
            </w:pPr>
            <w:r>
              <w:rPr>
                <w:rFonts w:hint="eastAsia" w:ascii="宋体" w:hAnsi="宋体" w:eastAsia="宋体" w:cs="宋体"/>
                <w:sz w:val="24"/>
              </w:rPr>
              <w:t>网线</w:t>
            </w:r>
          </w:p>
        </w:tc>
        <w:tc>
          <w:tcPr>
            <w:tcW w:w="3893" w:type="dxa"/>
            <w:vAlign w:val="center"/>
          </w:tcPr>
          <w:p w14:paraId="1C22AFA3">
            <w:pPr>
              <w:jc w:val="left"/>
              <w:rPr>
                <w:rFonts w:ascii="宋体" w:hAnsi="宋体" w:eastAsia="宋体" w:cs="宋体"/>
                <w:sz w:val="24"/>
              </w:rPr>
            </w:pPr>
            <w:r>
              <w:rPr>
                <w:rFonts w:hint="eastAsia" w:ascii="宋体" w:hAnsi="宋体" w:eastAsia="宋体" w:cs="宋体"/>
                <w:sz w:val="24"/>
              </w:rPr>
              <w:t>连接主机与电脑</w:t>
            </w:r>
          </w:p>
        </w:tc>
        <w:tc>
          <w:tcPr>
            <w:tcW w:w="1742" w:type="dxa"/>
            <w:vAlign w:val="center"/>
          </w:tcPr>
          <w:p w14:paraId="5FD82201">
            <w:pPr>
              <w:jc w:val="left"/>
              <w:rPr>
                <w:rFonts w:ascii="宋体" w:hAnsi="宋体" w:eastAsia="宋体" w:cs="宋体"/>
                <w:sz w:val="24"/>
              </w:rPr>
            </w:pPr>
            <w:r>
              <w:rPr>
                <w:rFonts w:hint="eastAsia" w:ascii="宋体" w:hAnsi="宋体" w:eastAsia="宋体" w:cs="宋体"/>
                <w:sz w:val="24"/>
              </w:rPr>
              <w:t>1根</w:t>
            </w:r>
          </w:p>
        </w:tc>
      </w:tr>
      <w:tr w14:paraId="100C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0" w:type="dxa"/>
            <w:vAlign w:val="center"/>
          </w:tcPr>
          <w:p w14:paraId="48EBF277">
            <w:pPr>
              <w:jc w:val="left"/>
              <w:rPr>
                <w:rFonts w:ascii="宋体" w:hAnsi="宋体" w:eastAsia="宋体" w:cs="宋体"/>
                <w:sz w:val="24"/>
              </w:rPr>
            </w:pPr>
            <w:r>
              <w:rPr>
                <w:rFonts w:hint="eastAsia" w:ascii="宋体" w:hAnsi="宋体" w:eastAsia="宋体" w:cs="宋体"/>
                <w:sz w:val="24"/>
              </w:rPr>
              <w:t>10</w:t>
            </w:r>
          </w:p>
        </w:tc>
        <w:tc>
          <w:tcPr>
            <w:tcW w:w="2064" w:type="dxa"/>
            <w:vAlign w:val="center"/>
          </w:tcPr>
          <w:p w14:paraId="5D305B1B">
            <w:pPr>
              <w:jc w:val="left"/>
              <w:rPr>
                <w:rFonts w:ascii="宋体" w:hAnsi="宋体" w:eastAsia="宋体" w:cs="宋体"/>
                <w:sz w:val="24"/>
              </w:rPr>
            </w:pPr>
            <w:r>
              <w:rPr>
                <w:rFonts w:hint="eastAsia" w:ascii="宋体" w:hAnsi="宋体" w:eastAsia="宋体" w:cs="宋体"/>
                <w:sz w:val="24"/>
              </w:rPr>
              <w:t>摄像头</w:t>
            </w:r>
          </w:p>
        </w:tc>
        <w:tc>
          <w:tcPr>
            <w:tcW w:w="3893" w:type="dxa"/>
            <w:vAlign w:val="center"/>
          </w:tcPr>
          <w:p w14:paraId="0F3486B3">
            <w:pPr>
              <w:jc w:val="left"/>
              <w:rPr>
                <w:rFonts w:ascii="宋体" w:hAnsi="宋体" w:eastAsia="宋体" w:cs="宋体"/>
                <w:sz w:val="24"/>
              </w:rPr>
            </w:pPr>
            <w:r>
              <w:rPr>
                <w:rFonts w:hint="eastAsia" w:ascii="宋体" w:hAnsi="宋体" w:eastAsia="宋体" w:cs="宋体"/>
                <w:sz w:val="24"/>
              </w:rPr>
              <w:t xml:space="preserve">高清摄像头 </w:t>
            </w:r>
          </w:p>
        </w:tc>
        <w:tc>
          <w:tcPr>
            <w:tcW w:w="1742" w:type="dxa"/>
            <w:vAlign w:val="center"/>
          </w:tcPr>
          <w:p w14:paraId="7BFAFBAC">
            <w:pPr>
              <w:jc w:val="left"/>
              <w:rPr>
                <w:rFonts w:ascii="宋体" w:hAnsi="宋体" w:eastAsia="宋体" w:cs="宋体"/>
                <w:sz w:val="24"/>
              </w:rPr>
            </w:pPr>
            <w:r>
              <w:rPr>
                <w:rFonts w:hint="eastAsia" w:ascii="宋体" w:hAnsi="宋体" w:eastAsia="宋体" w:cs="宋体"/>
                <w:sz w:val="24"/>
              </w:rPr>
              <w:t>1套</w:t>
            </w:r>
          </w:p>
        </w:tc>
      </w:tr>
      <w:tr w14:paraId="0384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0" w:type="dxa"/>
            <w:vAlign w:val="center"/>
          </w:tcPr>
          <w:p w14:paraId="0E25B50B">
            <w:pPr>
              <w:jc w:val="left"/>
              <w:rPr>
                <w:rFonts w:ascii="宋体" w:hAnsi="宋体" w:eastAsia="宋体" w:cs="宋体"/>
                <w:sz w:val="24"/>
              </w:rPr>
            </w:pPr>
            <w:r>
              <w:rPr>
                <w:rFonts w:hint="eastAsia" w:ascii="宋体" w:hAnsi="宋体" w:eastAsia="宋体" w:cs="宋体"/>
                <w:sz w:val="24"/>
              </w:rPr>
              <w:t>11</w:t>
            </w:r>
          </w:p>
        </w:tc>
        <w:tc>
          <w:tcPr>
            <w:tcW w:w="2064" w:type="dxa"/>
            <w:vAlign w:val="center"/>
          </w:tcPr>
          <w:p w14:paraId="2684C55B">
            <w:pPr>
              <w:jc w:val="left"/>
              <w:rPr>
                <w:rFonts w:ascii="宋体" w:hAnsi="宋体" w:eastAsia="宋体" w:cs="宋体"/>
                <w:sz w:val="24"/>
              </w:rPr>
            </w:pPr>
            <w:r>
              <w:rPr>
                <w:rFonts w:hint="eastAsia" w:ascii="宋体" w:hAnsi="宋体" w:eastAsia="宋体" w:cs="宋体"/>
                <w:sz w:val="24"/>
              </w:rPr>
              <w:t>设备便携箱</w:t>
            </w:r>
          </w:p>
        </w:tc>
        <w:tc>
          <w:tcPr>
            <w:tcW w:w="3893" w:type="dxa"/>
            <w:vAlign w:val="center"/>
          </w:tcPr>
          <w:p w14:paraId="287C1337">
            <w:pPr>
              <w:jc w:val="left"/>
              <w:rPr>
                <w:rFonts w:ascii="宋体" w:hAnsi="宋体" w:eastAsia="宋体" w:cs="宋体"/>
                <w:sz w:val="24"/>
              </w:rPr>
            </w:pPr>
            <w:r>
              <w:rPr>
                <w:rFonts w:hint="eastAsia" w:ascii="宋体" w:hAnsi="宋体" w:eastAsia="宋体" w:cs="宋体"/>
                <w:sz w:val="24"/>
              </w:rPr>
              <w:t>三防设备便携箱</w:t>
            </w:r>
          </w:p>
        </w:tc>
        <w:tc>
          <w:tcPr>
            <w:tcW w:w="1742" w:type="dxa"/>
            <w:vAlign w:val="center"/>
          </w:tcPr>
          <w:p w14:paraId="17184AE9">
            <w:pPr>
              <w:jc w:val="left"/>
              <w:rPr>
                <w:rFonts w:ascii="宋体" w:hAnsi="宋体" w:eastAsia="宋体" w:cs="宋体"/>
                <w:sz w:val="24"/>
              </w:rPr>
            </w:pPr>
            <w:r>
              <w:rPr>
                <w:rFonts w:hint="eastAsia" w:ascii="宋体" w:hAnsi="宋体" w:eastAsia="宋体" w:cs="宋体"/>
                <w:sz w:val="24"/>
              </w:rPr>
              <w:t>1套</w:t>
            </w:r>
          </w:p>
        </w:tc>
      </w:tr>
      <w:tr w14:paraId="209E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0" w:type="dxa"/>
            <w:vAlign w:val="center"/>
          </w:tcPr>
          <w:p w14:paraId="3CEED4E2">
            <w:pPr>
              <w:jc w:val="left"/>
              <w:rPr>
                <w:rFonts w:ascii="宋体" w:hAnsi="宋体" w:eastAsia="宋体" w:cs="宋体"/>
                <w:sz w:val="24"/>
              </w:rPr>
            </w:pPr>
            <w:r>
              <w:rPr>
                <w:rFonts w:hint="eastAsia" w:ascii="宋体" w:hAnsi="宋体" w:eastAsia="宋体" w:cs="宋体"/>
                <w:sz w:val="24"/>
              </w:rPr>
              <w:t>12</w:t>
            </w:r>
          </w:p>
        </w:tc>
        <w:tc>
          <w:tcPr>
            <w:tcW w:w="2064" w:type="dxa"/>
            <w:vAlign w:val="center"/>
          </w:tcPr>
          <w:p w14:paraId="1769FF92">
            <w:pPr>
              <w:jc w:val="left"/>
              <w:rPr>
                <w:rFonts w:ascii="宋体" w:hAnsi="宋体" w:eastAsia="宋体" w:cs="宋体"/>
                <w:sz w:val="24"/>
              </w:rPr>
            </w:pPr>
            <w:r>
              <w:rPr>
                <w:rFonts w:hint="eastAsia" w:ascii="宋体" w:hAnsi="宋体" w:eastAsia="宋体" w:cs="宋体"/>
                <w:sz w:val="24"/>
              </w:rPr>
              <w:t>医用事件相关电位仪软件</w:t>
            </w:r>
          </w:p>
        </w:tc>
        <w:tc>
          <w:tcPr>
            <w:tcW w:w="3893" w:type="dxa"/>
            <w:vAlign w:val="center"/>
          </w:tcPr>
          <w:p w14:paraId="54A2F536">
            <w:pPr>
              <w:jc w:val="left"/>
              <w:rPr>
                <w:rFonts w:ascii="宋体" w:hAnsi="宋体" w:eastAsia="宋体" w:cs="宋体"/>
                <w:sz w:val="24"/>
              </w:rPr>
            </w:pPr>
            <w:r>
              <w:rPr>
                <w:rFonts w:hint="eastAsia" w:ascii="宋体" w:hAnsi="宋体" w:eastAsia="宋体" w:cs="宋体"/>
                <w:sz w:val="24"/>
              </w:rPr>
              <w:t>脑电和视频同步采集、记录、回放；事件标记；脑电地形图；ERP检测；患者信息登记管理；报告编辑和出具</w:t>
            </w:r>
          </w:p>
        </w:tc>
        <w:tc>
          <w:tcPr>
            <w:tcW w:w="1742" w:type="dxa"/>
            <w:vAlign w:val="center"/>
          </w:tcPr>
          <w:p w14:paraId="2E56DA33">
            <w:pPr>
              <w:jc w:val="left"/>
              <w:rPr>
                <w:rFonts w:ascii="宋体" w:hAnsi="宋体" w:eastAsia="宋体" w:cs="宋体"/>
                <w:sz w:val="24"/>
              </w:rPr>
            </w:pPr>
            <w:r>
              <w:rPr>
                <w:rFonts w:hint="eastAsia" w:ascii="宋体" w:hAnsi="宋体" w:eastAsia="宋体" w:cs="宋体"/>
                <w:sz w:val="24"/>
              </w:rPr>
              <w:t>1套</w:t>
            </w:r>
          </w:p>
        </w:tc>
      </w:tr>
      <w:tr w14:paraId="2A07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0" w:type="dxa"/>
            <w:vAlign w:val="center"/>
          </w:tcPr>
          <w:p w14:paraId="7E2976B7">
            <w:pPr>
              <w:jc w:val="left"/>
              <w:rPr>
                <w:rFonts w:ascii="宋体" w:hAnsi="宋体" w:eastAsia="宋体" w:cs="宋体"/>
                <w:sz w:val="24"/>
              </w:rPr>
            </w:pPr>
            <w:r>
              <w:rPr>
                <w:rFonts w:hint="eastAsia" w:ascii="宋体" w:hAnsi="宋体" w:eastAsia="宋体" w:cs="宋体"/>
                <w:sz w:val="24"/>
              </w:rPr>
              <w:t>13</w:t>
            </w:r>
          </w:p>
        </w:tc>
        <w:tc>
          <w:tcPr>
            <w:tcW w:w="2064" w:type="dxa"/>
            <w:vAlign w:val="center"/>
          </w:tcPr>
          <w:p w14:paraId="14BA86CA">
            <w:pPr>
              <w:jc w:val="left"/>
              <w:rPr>
                <w:rFonts w:ascii="宋体" w:hAnsi="宋体" w:eastAsia="宋体" w:cs="宋体"/>
                <w:sz w:val="24"/>
              </w:rPr>
            </w:pPr>
            <w:r>
              <w:rPr>
                <w:rFonts w:hint="eastAsia" w:ascii="宋体" w:hAnsi="宋体" w:eastAsia="宋体" w:cs="宋体"/>
                <w:sz w:val="24"/>
              </w:rPr>
              <w:t>盘状电极</w:t>
            </w:r>
          </w:p>
        </w:tc>
        <w:tc>
          <w:tcPr>
            <w:tcW w:w="3893" w:type="dxa"/>
            <w:vAlign w:val="center"/>
          </w:tcPr>
          <w:p w14:paraId="5154C505">
            <w:pPr>
              <w:jc w:val="left"/>
              <w:rPr>
                <w:rFonts w:ascii="宋体" w:hAnsi="宋体" w:eastAsia="宋体" w:cs="宋体"/>
                <w:sz w:val="24"/>
              </w:rPr>
            </w:pPr>
            <w:r>
              <w:rPr>
                <w:rFonts w:hint="eastAsia" w:ascii="宋体" w:hAnsi="宋体" w:eastAsia="宋体" w:cs="宋体"/>
                <w:sz w:val="24"/>
              </w:rPr>
              <w:t>Ag/AgCl盘状电极线</w:t>
            </w:r>
          </w:p>
        </w:tc>
        <w:tc>
          <w:tcPr>
            <w:tcW w:w="1742" w:type="dxa"/>
            <w:vAlign w:val="center"/>
          </w:tcPr>
          <w:p w14:paraId="7F2BA28B">
            <w:pPr>
              <w:jc w:val="left"/>
              <w:rPr>
                <w:rFonts w:ascii="宋体" w:hAnsi="宋体" w:eastAsia="宋体" w:cs="宋体"/>
                <w:sz w:val="24"/>
              </w:rPr>
            </w:pPr>
            <w:r>
              <w:rPr>
                <w:rFonts w:hint="eastAsia" w:ascii="宋体" w:hAnsi="宋体" w:eastAsia="宋体" w:cs="宋体"/>
                <w:sz w:val="24"/>
              </w:rPr>
              <w:t>3包（12根/包）</w:t>
            </w:r>
          </w:p>
        </w:tc>
      </w:tr>
      <w:tr w14:paraId="4672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0" w:type="dxa"/>
            <w:vAlign w:val="center"/>
          </w:tcPr>
          <w:p w14:paraId="0B486740">
            <w:pPr>
              <w:jc w:val="left"/>
              <w:rPr>
                <w:rFonts w:ascii="宋体" w:hAnsi="宋体" w:eastAsia="宋体" w:cs="宋体"/>
                <w:sz w:val="24"/>
              </w:rPr>
            </w:pPr>
            <w:r>
              <w:rPr>
                <w:rFonts w:hint="eastAsia" w:ascii="宋体" w:hAnsi="宋体" w:eastAsia="宋体" w:cs="宋体"/>
                <w:sz w:val="24"/>
              </w:rPr>
              <w:t>14</w:t>
            </w:r>
          </w:p>
        </w:tc>
        <w:tc>
          <w:tcPr>
            <w:tcW w:w="2064" w:type="dxa"/>
            <w:vAlign w:val="center"/>
          </w:tcPr>
          <w:p w14:paraId="5151E627">
            <w:pPr>
              <w:jc w:val="left"/>
              <w:rPr>
                <w:rFonts w:ascii="宋体" w:hAnsi="宋体" w:eastAsia="宋体" w:cs="宋体"/>
                <w:sz w:val="24"/>
              </w:rPr>
            </w:pPr>
            <w:r>
              <w:rPr>
                <w:rFonts w:hint="eastAsia" w:ascii="宋体" w:hAnsi="宋体" w:eastAsia="宋体" w:cs="宋体"/>
                <w:sz w:val="24"/>
              </w:rPr>
              <w:t>导电膏</w:t>
            </w:r>
          </w:p>
        </w:tc>
        <w:tc>
          <w:tcPr>
            <w:tcW w:w="3893" w:type="dxa"/>
            <w:vAlign w:val="center"/>
          </w:tcPr>
          <w:p w14:paraId="512671FE">
            <w:pPr>
              <w:jc w:val="left"/>
              <w:rPr>
                <w:rFonts w:ascii="宋体" w:hAnsi="宋体" w:eastAsia="宋体" w:cs="宋体"/>
                <w:sz w:val="24"/>
              </w:rPr>
            </w:pPr>
            <w:r>
              <w:rPr>
                <w:rFonts w:hint="eastAsia" w:ascii="宋体" w:hAnsi="宋体" w:eastAsia="宋体" w:cs="宋体"/>
                <w:sz w:val="24"/>
              </w:rPr>
              <w:t>医用导电膏</w:t>
            </w:r>
          </w:p>
        </w:tc>
        <w:tc>
          <w:tcPr>
            <w:tcW w:w="1742" w:type="dxa"/>
            <w:vAlign w:val="center"/>
          </w:tcPr>
          <w:p w14:paraId="4284A84C">
            <w:pPr>
              <w:jc w:val="left"/>
              <w:rPr>
                <w:rFonts w:ascii="宋体" w:hAnsi="宋体" w:eastAsia="宋体" w:cs="宋体"/>
                <w:sz w:val="24"/>
              </w:rPr>
            </w:pPr>
            <w:r>
              <w:rPr>
                <w:rFonts w:hint="eastAsia" w:ascii="宋体" w:hAnsi="宋体" w:eastAsia="宋体" w:cs="宋体"/>
                <w:sz w:val="24"/>
              </w:rPr>
              <w:t>1瓶</w:t>
            </w:r>
          </w:p>
        </w:tc>
      </w:tr>
      <w:tr w14:paraId="6BAE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0" w:type="dxa"/>
            <w:vAlign w:val="center"/>
          </w:tcPr>
          <w:p w14:paraId="5401C178">
            <w:pPr>
              <w:jc w:val="left"/>
              <w:rPr>
                <w:rFonts w:ascii="宋体" w:hAnsi="宋体" w:eastAsia="宋体" w:cs="宋体"/>
                <w:sz w:val="24"/>
              </w:rPr>
            </w:pPr>
            <w:r>
              <w:rPr>
                <w:rFonts w:hint="eastAsia" w:ascii="宋体" w:hAnsi="宋体" w:eastAsia="宋体" w:cs="宋体"/>
                <w:sz w:val="24"/>
              </w:rPr>
              <w:t>15</w:t>
            </w:r>
          </w:p>
        </w:tc>
        <w:tc>
          <w:tcPr>
            <w:tcW w:w="2064" w:type="dxa"/>
            <w:vAlign w:val="center"/>
          </w:tcPr>
          <w:p w14:paraId="73EB432B">
            <w:pPr>
              <w:jc w:val="left"/>
              <w:rPr>
                <w:rFonts w:ascii="宋体" w:hAnsi="宋体" w:eastAsia="宋体" w:cs="宋体"/>
                <w:sz w:val="24"/>
              </w:rPr>
            </w:pPr>
            <w:r>
              <w:rPr>
                <w:rFonts w:hint="eastAsia" w:ascii="宋体" w:hAnsi="宋体" w:eastAsia="宋体" w:cs="宋体"/>
                <w:sz w:val="24"/>
              </w:rPr>
              <w:t>导电（磨砂）膏</w:t>
            </w:r>
          </w:p>
        </w:tc>
        <w:tc>
          <w:tcPr>
            <w:tcW w:w="3893" w:type="dxa"/>
            <w:vAlign w:val="center"/>
          </w:tcPr>
          <w:p w14:paraId="7E5E44F4">
            <w:pPr>
              <w:jc w:val="left"/>
              <w:rPr>
                <w:rFonts w:ascii="宋体" w:hAnsi="宋体" w:eastAsia="宋体" w:cs="宋体"/>
                <w:sz w:val="24"/>
              </w:rPr>
            </w:pPr>
            <w:r>
              <w:rPr>
                <w:rFonts w:hint="eastAsia" w:ascii="宋体" w:hAnsi="宋体" w:eastAsia="宋体" w:cs="宋体"/>
                <w:sz w:val="24"/>
              </w:rPr>
              <w:t>医用磨砂导电膏</w:t>
            </w:r>
          </w:p>
        </w:tc>
        <w:tc>
          <w:tcPr>
            <w:tcW w:w="1742" w:type="dxa"/>
            <w:vAlign w:val="center"/>
          </w:tcPr>
          <w:p w14:paraId="702DEDEB">
            <w:pPr>
              <w:jc w:val="left"/>
              <w:rPr>
                <w:rFonts w:ascii="宋体" w:hAnsi="宋体" w:eastAsia="宋体" w:cs="宋体"/>
                <w:sz w:val="24"/>
              </w:rPr>
            </w:pPr>
            <w:r>
              <w:rPr>
                <w:rFonts w:hint="eastAsia" w:ascii="宋体" w:hAnsi="宋体" w:eastAsia="宋体" w:cs="宋体"/>
                <w:sz w:val="24"/>
              </w:rPr>
              <w:t>1瓶</w:t>
            </w:r>
          </w:p>
        </w:tc>
      </w:tr>
      <w:tr w14:paraId="4559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0" w:type="dxa"/>
            <w:vAlign w:val="center"/>
          </w:tcPr>
          <w:p w14:paraId="4B7525C5">
            <w:pPr>
              <w:jc w:val="left"/>
              <w:rPr>
                <w:rFonts w:ascii="宋体" w:hAnsi="宋体" w:eastAsia="宋体" w:cs="宋体"/>
                <w:sz w:val="24"/>
              </w:rPr>
            </w:pPr>
            <w:r>
              <w:rPr>
                <w:rFonts w:hint="eastAsia" w:ascii="宋体" w:hAnsi="宋体" w:eastAsia="宋体" w:cs="宋体"/>
                <w:sz w:val="24"/>
              </w:rPr>
              <w:t>16</w:t>
            </w:r>
          </w:p>
        </w:tc>
        <w:tc>
          <w:tcPr>
            <w:tcW w:w="2064" w:type="dxa"/>
            <w:vAlign w:val="center"/>
          </w:tcPr>
          <w:p w14:paraId="69354BFA">
            <w:pPr>
              <w:jc w:val="left"/>
              <w:rPr>
                <w:rFonts w:ascii="宋体" w:hAnsi="宋体" w:eastAsia="宋体" w:cs="宋体"/>
                <w:sz w:val="24"/>
              </w:rPr>
            </w:pPr>
            <w:r>
              <w:rPr>
                <w:rFonts w:hint="eastAsia" w:ascii="宋体" w:hAnsi="宋体" w:eastAsia="宋体" w:cs="宋体"/>
                <w:sz w:val="24"/>
              </w:rPr>
              <w:t>产品说明书</w:t>
            </w:r>
          </w:p>
        </w:tc>
        <w:tc>
          <w:tcPr>
            <w:tcW w:w="3893" w:type="dxa"/>
            <w:vAlign w:val="center"/>
          </w:tcPr>
          <w:p w14:paraId="6D65FDE9">
            <w:pPr>
              <w:jc w:val="left"/>
              <w:rPr>
                <w:rFonts w:ascii="宋体" w:hAnsi="宋体" w:eastAsia="宋体" w:cs="宋体"/>
                <w:sz w:val="24"/>
              </w:rPr>
            </w:pPr>
            <w:r>
              <w:rPr>
                <w:rFonts w:hint="eastAsia" w:ascii="宋体" w:hAnsi="宋体" w:eastAsia="宋体" w:cs="宋体"/>
                <w:sz w:val="24"/>
              </w:rPr>
              <w:t>用户手册</w:t>
            </w:r>
          </w:p>
        </w:tc>
        <w:tc>
          <w:tcPr>
            <w:tcW w:w="1742" w:type="dxa"/>
            <w:vAlign w:val="center"/>
          </w:tcPr>
          <w:p w14:paraId="02EA5C78">
            <w:pPr>
              <w:jc w:val="left"/>
              <w:rPr>
                <w:rFonts w:ascii="宋体" w:hAnsi="宋体" w:eastAsia="宋体" w:cs="宋体"/>
                <w:sz w:val="24"/>
              </w:rPr>
            </w:pPr>
            <w:r>
              <w:rPr>
                <w:rFonts w:hint="eastAsia" w:ascii="宋体" w:hAnsi="宋体" w:eastAsia="宋体" w:cs="宋体"/>
                <w:sz w:val="24"/>
              </w:rPr>
              <w:t>1套</w:t>
            </w:r>
          </w:p>
        </w:tc>
      </w:tr>
      <w:tr w14:paraId="1554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0" w:type="dxa"/>
            <w:vAlign w:val="center"/>
          </w:tcPr>
          <w:p w14:paraId="04923E28">
            <w:pPr>
              <w:jc w:val="left"/>
              <w:rPr>
                <w:rFonts w:ascii="宋体" w:hAnsi="宋体" w:eastAsia="宋体" w:cs="宋体"/>
                <w:sz w:val="24"/>
              </w:rPr>
            </w:pPr>
            <w:r>
              <w:rPr>
                <w:rFonts w:hint="eastAsia" w:ascii="宋体" w:hAnsi="宋体" w:eastAsia="宋体" w:cs="宋体"/>
                <w:sz w:val="24"/>
              </w:rPr>
              <w:t>17</w:t>
            </w:r>
          </w:p>
        </w:tc>
        <w:tc>
          <w:tcPr>
            <w:tcW w:w="2064" w:type="dxa"/>
            <w:vAlign w:val="center"/>
          </w:tcPr>
          <w:p w14:paraId="7F3C1268">
            <w:pPr>
              <w:jc w:val="left"/>
              <w:rPr>
                <w:rFonts w:ascii="宋体" w:hAnsi="宋体" w:eastAsia="宋体" w:cs="宋体"/>
                <w:sz w:val="24"/>
              </w:rPr>
            </w:pPr>
            <w:r>
              <w:rPr>
                <w:rFonts w:hint="eastAsia" w:ascii="宋体" w:hAnsi="宋体" w:eastAsia="宋体" w:cs="宋体"/>
                <w:sz w:val="24"/>
              </w:rPr>
              <w:t>保修卡</w:t>
            </w:r>
          </w:p>
        </w:tc>
        <w:tc>
          <w:tcPr>
            <w:tcW w:w="3893" w:type="dxa"/>
            <w:vAlign w:val="center"/>
          </w:tcPr>
          <w:p w14:paraId="4A36E330">
            <w:pPr>
              <w:jc w:val="left"/>
              <w:rPr>
                <w:rFonts w:ascii="宋体" w:hAnsi="宋体" w:eastAsia="宋体" w:cs="宋体"/>
                <w:sz w:val="24"/>
              </w:rPr>
            </w:pPr>
            <w:r>
              <w:rPr>
                <w:rFonts w:hint="eastAsia" w:ascii="宋体" w:hAnsi="宋体" w:eastAsia="宋体" w:cs="宋体"/>
                <w:sz w:val="24"/>
              </w:rPr>
              <w:t>保修卡</w:t>
            </w:r>
          </w:p>
        </w:tc>
        <w:tc>
          <w:tcPr>
            <w:tcW w:w="1742" w:type="dxa"/>
            <w:vAlign w:val="center"/>
          </w:tcPr>
          <w:p w14:paraId="29CA9500">
            <w:pPr>
              <w:jc w:val="left"/>
              <w:rPr>
                <w:rFonts w:ascii="宋体" w:hAnsi="宋体" w:eastAsia="宋体" w:cs="宋体"/>
                <w:sz w:val="24"/>
              </w:rPr>
            </w:pPr>
            <w:r>
              <w:rPr>
                <w:rFonts w:hint="eastAsia" w:ascii="宋体" w:hAnsi="宋体" w:eastAsia="宋体" w:cs="宋体"/>
                <w:sz w:val="24"/>
              </w:rPr>
              <w:t>1张</w:t>
            </w:r>
          </w:p>
        </w:tc>
      </w:tr>
      <w:tr w14:paraId="3DDA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0" w:type="dxa"/>
            <w:vAlign w:val="center"/>
          </w:tcPr>
          <w:p w14:paraId="0E3146D4">
            <w:pPr>
              <w:jc w:val="left"/>
              <w:rPr>
                <w:rFonts w:ascii="宋体" w:hAnsi="宋体" w:eastAsia="宋体" w:cs="宋体"/>
                <w:sz w:val="24"/>
              </w:rPr>
            </w:pPr>
            <w:r>
              <w:rPr>
                <w:rFonts w:hint="eastAsia" w:ascii="宋体" w:hAnsi="宋体" w:eastAsia="宋体" w:cs="宋体"/>
                <w:sz w:val="24"/>
              </w:rPr>
              <w:t>18</w:t>
            </w:r>
          </w:p>
        </w:tc>
        <w:tc>
          <w:tcPr>
            <w:tcW w:w="2064" w:type="dxa"/>
            <w:vAlign w:val="center"/>
          </w:tcPr>
          <w:p w14:paraId="6239C379">
            <w:pPr>
              <w:jc w:val="left"/>
              <w:rPr>
                <w:rFonts w:ascii="宋体" w:hAnsi="宋体" w:eastAsia="宋体" w:cs="宋体"/>
                <w:sz w:val="24"/>
              </w:rPr>
            </w:pPr>
            <w:r>
              <w:rPr>
                <w:rFonts w:hint="eastAsia" w:ascii="宋体" w:hAnsi="宋体" w:eastAsia="宋体" w:cs="宋体"/>
                <w:sz w:val="24"/>
              </w:rPr>
              <w:t>合格证</w:t>
            </w:r>
          </w:p>
        </w:tc>
        <w:tc>
          <w:tcPr>
            <w:tcW w:w="3893" w:type="dxa"/>
            <w:vAlign w:val="center"/>
          </w:tcPr>
          <w:p w14:paraId="770935BD">
            <w:pPr>
              <w:jc w:val="left"/>
              <w:rPr>
                <w:rFonts w:ascii="宋体" w:hAnsi="宋体" w:eastAsia="宋体" w:cs="宋体"/>
                <w:sz w:val="24"/>
              </w:rPr>
            </w:pPr>
            <w:r>
              <w:rPr>
                <w:rFonts w:hint="eastAsia" w:ascii="宋体" w:hAnsi="宋体" w:eastAsia="宋体" w:cs="宋体"/>
                <w:sz w:val="24"/>
              </w:rPr>
              <w:t>合格证</w:t>
            </w:r>
          </w:p>
        </w:tc>
        <w:tc>
          <w:tcPr>
            <w:tcW w:w="1742" w:type="dxa"/>
            <w:vAlign w:val="center"/>
          </w:tcPr>
          <w:p w14:paraId="21A16A12">
            <w:pPr>
              <w:jc w:val="left"/>
              <w:rPr>
                <w:rFonts w:ascii="宋体" w:hAnsi="宋体" w:eastAsia="宋体" w:cs="宋体"/>
                <w:sz w:val="24"/>
              </w:rPr>
            </w:pPr>
            <w:r>
              <w:rPr>
                <w:rFonts w:hint="eastAsia" w:ascii="宋体" w:hAnsi="宋体" w:eastAsia="宋体" w:cs="宋体"/>
                <w:sz w:val="24"/>
              </w:rPr>
              <w:t>1张</w:t>
            </w:r>
          </w:p>
        </w:tc>
      </w:tr>
    </w:tbl>
    <w:p w14:paraId="07135424">
      <w:pPr>
        <w:rPr>
          <w:rFonts w:hint="eastAsia"/>
          <w:lang w:val="en-US" w:eastAsia="zh-CN"/>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04C57DD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691F7A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225CFCB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51B73B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75166D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 年，终身维修。验收时出具原厂售后质保承诺书，质保期内每年巡检一次，并提交巡检记录。质保期内出现故障，1小时响应，响应后24小时上门服务。</w:t>
      </w:r>
    </w:p>
    <w:p w14:paraId="22E365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54E167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7、设备如涉及网络接口费用，由中标人承担，采购人不再出具任何费用。 </w:t>
      </w:r>
    </w:p>
    <w:p w14:paraId="46A704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bookmarkStart w:id="4" w:name="_GoBack"/>
      <w:bookmarkEnd w:id="4"/>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6CFB01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34A7325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6688B19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E642B1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303DE01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15EE9F4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3780A63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DAAB86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27A7250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69B976F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5678446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1002B6A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48E9B5A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141B694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2C87CCE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2C46C50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3E1383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w:t>
      </w:r>
      <w:r>
        <w:rPr>
          <w:rFonts w:hint="eastAsia" w:ascii="宋体" w:hAnsi="宋体" w:cs="宋体"/>
          <w:color w:val="000000" w:themeColor="text1"/>
          <w:sz w:val="24"/>
          <w:szCs w:val="24"/>
          <w:highlight w:val="none"/>
          <w:u w:val="single"/>
          <w:lang w:val="en-US" w:eastAsia="zh-CN"/>
          <w14:textFill>
            <w14:solidFill>
              <w14:schemeClr w14:val="tx1"/>
            </w14:solidFill>
          </w14:textFill>
        </w:rPr>
        <w:t>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脑电图仪+便携式医用事件相关电位仪</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脑电图仪+便携式医用事件相关电位仪</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39E6F3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646A8F0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1728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vAlign w:val="top"/>
          </w:tcPr>
          <w:p w14:paraId="1349999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5FBC88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0612E51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3EE880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3C7012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32D4B72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7325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top"/>
          </w:tcPr>
          <w:p w14:paraId="40CBC69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脑电图仪</w:t>
            </w:r>
          </w:p>
        </w:tc>
        <w:tc>
          <w:tcPr>
            <w:tcW w:w="1220" w:type="dxa"/>
            <w:vAlign w:val="center"/>
          </w:tcPr>
          <w:p w14:paraId="2291ED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4B7382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1BE897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5D53F0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252BD0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04A5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top"/>
          </w:tcPr>
          <w:p w14:paraId="2657857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便携式医用事件相关电位仪</w:t>
            </w: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220" w:type="dxa"/>
            <w:vAlign w:val="center"/>
          </w:tcPr>
          <w:p w14:paraId="16D325A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0D5D5BE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042E30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top"/>
          </w:tcPr>
          <w:p w14:paraId="76ACEB9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251834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6281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4A0237D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31C4994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682A341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DDEC4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4BB0463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9C5BC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4DC9209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259450D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249D33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2A8B80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61394E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70AB30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7F9F24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0F6402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1121EAB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6D9A6D6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34DB1B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26B947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02C5944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3685FA2">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371D62C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6FADEBC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2DFC7F7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5EFEDB7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44A2F4A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DC45C2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1F9308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2D7B6FD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2D0287B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D9D34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0A07CAA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083CFB7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00419D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C59F7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510FD3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764F76B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4FB0C9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36DE19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CFB661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323DFC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070A71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02E7F26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73D28F3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4FDE8D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71BD80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78370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C5DA72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2049CD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4BE1C38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2098226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34C030F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681005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3019A9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C3629B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69716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399EA7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F3FFC8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4AF69E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2A7BF5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6479357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3FEB5B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5FA086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5C5A20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6FFFE7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4FE6D9B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13624B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3CF1A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42D51F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645BD2F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C7642C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196CA17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B48DC7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0857BB1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A1AC80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2DDAC82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3C2A233F">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4"/>
          <w:szCs w:val="24"/>
          <w:lang w:val="en-US" w:eastAsia="zh-CN"/>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6"/>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5"/>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5"/>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6"/>
        <w:rPr>
          <w:color w:val="auto"/>
        </w:rPr>
      </w:pPr>
    </w:p>
    <w:p w14:paraId="43E00E01">
      <w:pPr>
        <w:pStyle w:val="15"/>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68B23106"/>
    <w:multiLevelType w:val="multilevel"/>
    <w:tmpl w:val="68B23106"/>
    <w:lvl w:ilvl="0" w:tentative="0">
      <w:start w:val="1"/>
      <w:numFmt w:val="decimal"/>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7F91BB8"/>
    <w:rsid w:val="1AF56B46"/>
    <w:rsid w:val="1DD7486D"/>
    <w:rsid w:val="1E79119D"/>
    <w:rsid w:val="1F334F58"/>
    <w:rsid w:val="1F796B24"/>
    <w:rsid w:val="1FE73549"/>
    <w:rsid w:val="2038045E"/>
    <w:rsid w:val="20AF0900"/>
    <w:rsid w:val="20B41DA7"/>
    <w:rsid w:val="21C61C7A"/>
    <w:rsid w:val="21D553D1"/>
    <w:rsid w:val="24881A32"/>
    <w:rsid w:val="25266F96"/>
    <w:rsid w:val="272B6E6C"/>
    <w:rsid w:val="27CF2BB7"/>
    <w:rsid w:val="28E81B29"/>
    <w:rsid w:val="28FD390A"/>
    <w:rsid w:val="29B45A41"/>
    <w:rsid w:val="2A174DA9"/>
    <w:rsid w:val="2AB010A8"/>
    <w:rsid w:val="2AC66F99"/>
    <w:rsid w:val="2B232C58"/>
    <w:rsid w:val="2C0A2E19"/>
    <w:rsid w:val="2C7642D0"/>
    <w:rsid w:val="2DD77C64"/>
    <w:rsid w:val="2DDA1E78"/>
    <w:rsid w:val="2DE00B8C"/>
    <w:rsid w:val="2EAC037F"/>
    <w:rsid w:val="2EB67A5C"/>
    <w:rsid w:val="302741D2"/>
    <w:rsid w:val="308B184D"/>
    <w:rsid w:val="309C1E01"/>
    <w:rsid w:val="30BB11DD"/>
    <w:rsid w:val="31F17CD1"/>
    <w:rsid w:val="33384C93"/>
    <w:rsid w:val="340F06E9"/>
    <w:rsid w:val="36E47928"/>
    <w:rsid w:val="372F7378"/>
    <w:rsid w:val="397348CD"/>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9A4992"/>
    <w:rsid w:val="435B161D"/>
    <w:rsid w:val="43B25DAC"/>
    <w:rsid w:val="44771DFD"/>
    <w:rsid w:val="45B77FE4"/>
    <w:rsid w:val="45D569C3"/>
    <w:rsid w:val="4A354E62"/>
    <w:rsid w:val="4AEE1A11"/>
    <w:rsid w:val="4B7F39F4"/>
    <w:rsid w:val="4BAE646F"/>
    <w:rsid w:val="4CAC1559"/>
    <w:rsid w:val="4D754257"/>
    <w:rsid w:val="4DCD6AB3"/>
    <w:rsid w:val="50216DCD"/>
    <w:rsid w:val="50540C20"/>
    <w:rsid w:val="506258C6"/>
    <w:rsid w:val="51AC28BD"/>
    <w:rsid w:val="52183ACC"/>
    <w:rsid w:val="53B55872"/>
    <w:rsid w:val="54AD4386"/>
    <w:rsid w:val="581A7C72"/>
    <w:rsid w:val="583A4BD7"/>
    <w:rsid w:val="59C74B1F"/>
    <w:rsid w:val="611B6B1B"/>
    <w:rsid w:val="62C222C2"/>
    <w:rsid w:val="632D7C40"/>
    <w:rsid w:val="64133D6A"/>
    <w:rsid w:val="678E4F5D"/>
    <w:rsid w:val="680E122C"/>
    <w:rsid w:val="6A4E1D63"/>
    <w:rsid w:val="6DE375E4"/>
    <w:rsid w:val="6E8E5287"/>
    <w:rsid w:val="6FBE332C"/>
    <w:rsid w:val="6FE92D44"/>
    <w:rsid w:val="711C7339"/>
    <w:rsid w:val="71554367"/>
    <w:rsid w:val="71584067"/>
    <w:rsid w:val="71F26E91"/>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8"/>
    <w:autoRedefine/>
    <w:qFormat/>
    <w:uiPriority w:val="0"/>
    <w:pPr>
      <w:jc w:val="center"/>
    </w:pPr>
    <w:rPr>
      <w:rFonts w:ascii="Arial" w:hAnsi="Arial" w:eastAsia="宋体"/>
      <w:b/>
      <w:sz w:val="28"/>
      <w:szCs w:val="24"/>
    </w:rPr>
  </w:style>
  <w:style w:type="paragraph" w:customStyle="1" w:styleId="15">
    <w:name w:val="列出段落1"/>
    <w:basedOn w:val="1"/>
    <w:autoRedefine/>
    <w:qFormat/>
    <w:uiPriority w:val="99"/>
    <w:pPr>
      <w:ind w:firstLine="420" w:firstLineChars="200"/>
    </w:pPr>
  </w:style>
  <w:style w:type="paragraph" w:customStyle="1" w:styleId="1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5702</Words>
  <Characters>7086</Characters>
  <Lines>0</Lines>
  <Paragraphs>0</Paragraphs>
  <TotalTime>0</TotalTime>
  <ScaleCrop>false</ScaleCrop>
  <LinksUpToDate>false</LinksUpToDate>
  <CharactersWithSpaces>7158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2025-05-19T07:51:57Z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